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10A4F176-4E4A-4B32-A606-6D703151AFD8" style="width:450.35pt;height:374.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after="240" w:line="240" w:lineRule="auto"/>
        <w:jc w:val="center"/>
        <w:rPr>
          <w:rFonts w:ascii="Times New Roman" w:eastAsia="Times New Roman" w:hAnsi="Times New Roman"/>
          <w:b/>
          <w:noProof/>
          <w:sz w:val="28"/>
          <w:szCs w:val="24"/>
        </w:rPr>
      </w:pPr>
      <w:bookmarkStart w:id="1" w:name="_GoBack"/>
      <w:bookmarkEnd w:id="1"/>
    </w:p>
    <w:p>
      <w:pPr>
        <w:pStyle w:val="TOCHeading"/>
        <w:jc w:val="left"/>
        <w:rPr>
          <w:b w:val="0"/>
          <w:noProof/>
        </w:rPr>
      </w:pPr>
    </w:p>
    <w:sdt>
      <w:sdtPr>
        <w:rPr>
          <w:rFonts w:asciiTheme="minorHAnsi" w:eastAsiaTheme="minorHAnsi" w:hAnsiTheme="minorHAnsi" w:cstheme="minorBidi"/>
          <w:b w:val="0"/>
          <w:noProof/>
          <w:sz w:val="22"/>
          <w:szCs w:val="22"/>
        </w:rPr>
        <w:id w:val="-365300493"/>
        <w:docPartObj>
          <w:docPartGallery w:val="Table of Contents"/>
          <w:docPartUnique/>
        </w:docPartObj>
      </w:sdtPr>
      <w:sdtEndPr>
        <w:rPr>
          <w:bCs/>
        </w:rPr>
      </w:sdtEndPr>
      <w:sdtContent>
        <w:p>
          <w:pPr>
            <w:pStyle w:val="TOCHeading"/>
            <w:rPr>
              <w:noProof/>
            </w:rPr>
          </w:pPr>
          <w:r>
            <w:rPr>
              <w:noProof/>
            </w:rPr>
            <w:t>Съдържание</w:t>
          </w:r>
        </w:p>
        <w:p>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33780452" w:history="1">
            <w:r>
              <w:rPr>
                <w:rStyle w:val="Hyperlink"/>
                <w:noProof/>
              </w:rPr>
              <w:t>1.</w:t>
            </w:r>
            <w:r>
              <w:rPr>
                <w:rFonts w:asciiTheme="minorHAnsi" w:eastAsiaTheme="minorEastAsia" w:hAnsiTheme="minorHAnsi" w:cstheme="minorBidi"/>
                <w:noProof/>
                <w:sz w:val="22"/>
                <w:szCs w:val="22"/>
                <w:lang w:val="en-US"/>
              </w:rPr>
              <w:tab/>
            </w:r>
            <w:r>
              <w:rPr>
                <w:rStyle w:val="Hyperlink"/>
                <w:noProof/>
              </w:rPr>
              <w:t>ВЪВЕДЕНИЕ</w:t>
            </w:r>
            <w:r>
              <w:rPr>
                <w:noProof/>
                <w:webHidden/>
              </w:rPr>
              <w:tab/>
            </w:r>
            <w:r>
              <w:rPr>
                <w:noProof/>
                <w:webHidden/>
              </w:rPr>
              <w:fldChar w:fldCharType="begin"/>
            </w:r>
            <w:r>
              <w:rPr>
                <w:noProof/>
                <w:webHidden/>
              </w:rPr>
              <w:instrText xml:space="preserve"> PAGEREF _Toc33780452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780453" w:history="1">
            <w:r>
              <w:rPr>
                <w:rStyle w:val="Hyperlink"/>
                <w:noProof/>
              </w:rPr>
              <w:t>2.</w:t>
            </w:r>
            <w:r>
              <w:rPr>
                <w:rFonts w:asciiTheme="minorHAnsi" w:eastAsiaTheme="minorEastAsia" w:hAnsiTheme="minorHAnsi" w:cstheme="minorBidi"/>
                <w:noProof/>
                <w:sz w:val="22"/>
                <w:szCs w:val="22"/>
                <w:lang w:val="en-US"/>
              </w:rPr>
              <w:tab/>
            </w:r>
            <w:r>
              <w:rPr>
                <w:rStyle w:val="Hyperlink"/>
                <w:noProof/>
              </w:rPr>
              <w:t>ДИРЕКТИВА 2000/30/ЕО</w:t>
            </w:r>
            <w:r>
              <w:rPr>
                <w:noProof/>
                <w:webHidden/>
              </w:rPr>
              <w:tab/>
            </w:r>
            <w:r>
              <w:rPr>
                <w:noProof/>
                <w:webHidden/>
              </w:rPr>
              <w:fldChar w:fldCharType="begin"/>
            </w:r>
            <w:r>
              <w:rPr>
                <w:noProof/>
                <w:webHidden/>
              </w:rPr>
              <w:instrText xml:space="preserve"> PAGEREF _Toc33780453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780454" w:history="1">
            <w:r>
              <w:rPr>
                <w:rStyle w:val="Hyperlink"/>
                <w:noProof/>
              </w:rPr>
              <w:t>3.</w:t>
            </w:r>
            <w:r>
              <w:rPr>
                <w:rFonts w:asciiTheme="minorHAnsi" w:eastAsiaTheme="minorEastAsia" w:hAnsiTheme="minorHAnsi" w:cstheme="minorBidi"/>
                <w:noProof/>
                <w:sz w:val="22"/>
                <w:szCs w:val="22"/>
                <w:lang w:val="en-US"/>
              </w:rPr>
              <w:tab/>
            </w:r>
            <w:r>
              <w:rPr>
                <w:rStyle w:val="Hyperlink"/>
                <w:noProof/>
              </w:rPr>
              <w:t>ДАННИ, СЪОБЩЕНИ ОТ ДЪРЖАВИТЕ ЧЛЕНКИ</w:t>
            </w:r>
            <w:r>
              <w:rPr>
                <w:noProof/>
                <w:webHidden/>
              </w:rPr>
              <w:tab/>
            </w:r>
            <w:r>
              <w:rPr>
                <w:noProof/>
                <w:webHidden/>
              </w:rPr>
              <w:fldChar w:fldCharType="begin"/>
            </w:r>
            <w:r>
              <w:rPr>
                <w:noProof/>
                <w:webHidden/>
              </w:rPr>
              <w:instrText xml:space="preserve"> PAGEREF _Toc33780454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780455" w:history="1">
            <w:r>
              <w:rPr>
                <w:rStyle w:val="Hyperlink"/>
                <w:noProof/>
              </w:rPr>
              <w:t>4.</w:t>
            </w:r>
            <w:r>
              <w:rPr>
                <w:rFonts w:asciiTheme="minorHAnsi" w:eastAsiaTheme="minorEastAsia" w:hAnsiTheme="minorHAnsi" w:cstheme="minorBidi"/>
                <w:noProof/>
                <w:sz w:val="22"/>
                <w:szCs w:val="22"/>
                <w:lang w:val="en-US"/>
              </w:rPr>
              <w:tab/>
            </w:r>
            <w:r>
              <w:rPr>
                <w:rStyle w:val="Hyperlink"/>
                <w:noProof/>
              </w:rPr>
              <w:t>СЪДЪРЖАНИЕ НА ПРОВЕРКАТА</w:t>
            </w:r>
            <w:r>
              <w:rPr>
                <w:noProof/>
                <w:webHidden/>
              </w:rPr>
              <w:tab/>
            </w:r>
            <w:r>
              <w:rPr>
                <w:noProof/>
                <w:webHidden/>
              </w:rPr>
              <w:fldChar w:fldCharType="begin"/>
            </w:r>
            <w:r>
              <w:rPr>
                <w:noProof/>
                <w:webHidden/>
              </w:rPr>
              <w:instrText xml:space="preserve"> PAGEREF _Toc33780455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780456" w:history="1">
            <w:r>
              <w:rPr>
                <w:rStyle w:val="Hyperlink"/>
                <w:noProof/>
              </w:rPr>
              <w:t>5.</w:t>
            </w:r>
            <w:r>
              <w:rPr>
                <w:rFonts w:asciiTheme="minorHAnsi" w:eastAsiaTheme="minorEastAsia" w:hAnsiTheme="minorHAnsi" w:cstheme="minorBidi"/>
                <w:noProof/>
                <w:sz w:val="22"/>
                <w:szCs w:val="22"/>
                <w:lang w:val="en-US"/>
              </w:rPr>
              <w:tab/>
            </w:r>
            <w:r>
              <w:rPr>
                <w:rStyle w:val="Hyperlink"/>
                <w:noProof/>
              </w:rPr>
              <w:t>СТАТИСТИЧЕСКИ ДАННИ</w:t>
            </w:r>
            <w:r>
              <w:rPr>
                <w:noProof/>
                <w:webHidden/>
              </w:rPr>
              <w:tab/>
            </w:r>
            <w:r>
              <w:rPr>
                <w:noProof/>
                <w:webHidden/>
              </w:rPr>
              <w:fldChar w:fldCharType="begin"/>
            </w:r>
            <w:r>
              <w:rPr>
                <w:noProof/>
                <w:webHidden/>
              </w:rPr>
              <w:instrText xml:space="preserve"> PAGEREF _Toc33780456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780457" w:history="1">
            <w:r>
              <w:rPr>
                <w:rStyle w:val="Hyperlink"/>
                <w:noProof/>
              </w:rPr>
              <w:t xml:space="preserve">5.1. </w:t>
            </w:r>
            <w:r>
              <w:rPr>
                <w:rFonts w:asciiTheme="minorHAnsi" w:eastAsiaTheme="minorEastAsia" w:hAnsiTheme="minorHAnsi" w:cstheme="minorBidi"/>
                <w:noProof/>
                <w:sz w:val="22"/>
                <w:szCs w:val="22"/>
                <w:lang w:val="en-US"/>
              </w:rPr>
              <w:tab/>
            </w:r>
            <w:r>
              <w:rPr>
                <w:rStyle w:val="Hyperlink"/>
                <w:noProof/>
              </w:rPr>
              <w:t>Брой на проверките</w:t>
            </w:r>
            <w:r>
              <w:rPr>
                <w:noProof/>
                <w:webHidden/>
              </w:rPr>
              <w:tab/>
            </w:r>
            <w:r>
              <w:rPr>
                <w:noProof/>
                <w:webHidden/>
              </w:rPr>
              <w:fldChar w:fldCharType="begin"/>
            </w:r>
            <w:r>
              <w:rPr>
                <w:noProof/>
                <w:webHidden/>
              </w:rPr>
              <w:instrText xml:space="preserve"> PAGEREF _Toc33780457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780458" w:history="1">
            <w:r>
              <w:rPr>
                <w:rStyle w:val="Hyperlink"/>
                <w:noProof/>
              </w:rPr>
              <w:t xml:space="preserve">5.2. </w:t>
            </w:r>
            <w:r>
              <w:rPr>
                <w:rFonts w:asciiTheme="minorHAnsi" w:eastAsiaTheme="minorEastAsia" w:hAnsiTheme="minorHAnsi" w:cstheme="minorBidi"/>
                <w:noProof/>
                <w:sz w:val="22"/>
                <w:szCs w:val="22"/>
                <w:lang w:val="en-US"/>
              </w:rPr>
              <w:tab/>
            </w:r>
            <w:r>
              <w:rPr>
                <w:rStyle w:val="Hyperlink"/>
                <w:noProof/>
              </w:rPr>
              <w:t>Произход на проверените превозни средства</w:t>
            </w:r>
            <w:r>
              <w:rPr>
                <w:noProof/>
                <w:webHidden/>
              </w:rPr>
              <w:tab/>
            </w:r>
            <w:r>
              <w:rPr>
                <w:noProof/>
                <w:webHidden/>
              </w:rPr>
              <w:fldChar w:fldCharType="begin"/>
            </w:r>
            <w:r>
              <w:rPr>
                <w:noProof/>
                <w:webHidden/>
              </w:rPr>
              <w:instrText xml:space="preserve"> PAGEREF _Toc33780458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780459" w:history="1">
            <w:r>
              <w:rPr>
                <w:rStyle w:val="Hyperlink"/>
                <w:noProof/>
              </w:rPr>
              <w:t>5.3.</w:t>
            </w:r>
            <w:r>
              <w:rPr>
                <w:rFonts w:asciiTheme="minorHAnsi" w:eastAsiaTheme="minorEastAsia" w:hAnsiTheme="minorHAnsi" w:cstheme="minorBidi"/>
                <w:noProof/>
                <w:sz w:val="22"/>
                <w:szCs w:val="22"/>
                <w:lang w:val="en-US"/>
              </w:rPr>
              <w:tab/>
            </w:r>
            <w:r>
              <w:rPr>
                <w:rStyle w:val="Hyperlink"/>
                <w:noProof/>
              </w:rPr>
              <w:t>Брой на спрените от движение превозни средства</w:t>
            </w:r>
            <w:r>
              <w:rPr>
                <w:noProof/>
                <w:webHidden/>
              </w:rPr>
              <w:tab/>
            </w:r>
            <w:r>
              <w:rPr>
                <w:noProof/>
                <w:webHidden/>
              </w:rPr>
              <w:fldChar w:fldCharType="begin"/>
            </w:r>
            <w:r>
              <w:rPr>
                <w:noProof/>
                <w:webHidden/>
              </w:rPr>
              <w:instrText xml:space="preserve"> PAGEREF _Toc33780459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780460" w:history="1">
            <w:r>
              <w:rPr>
                <w:rStyle w:val="Hyperlink"/>
                <w:noProof/>
              </w:rPr>
              <w:t>5.4.</w:t>
            </w:r>
            <w:r>
              <w:rPr>
                <w:rFonts w:asciiTheme="minorHAnsi" w:eastAsiaTheme="minorEastAsia" w:hAnsiTheme="minorHAnsi" w:cstheme="minorBidi"/>
                <w:noProof/>
                <w:sz w:val="22"/>
                <w:szCs w:val="22"/>
                <w:lang w:val="en-US"/>
              </w:rPr>
              <w:tab/>
            </w:r>
            <w:r>
              <w:rPr>
                <w:rStyle w:val="Hyperlink"/>
                <w:noProof/>
              </w:rPr>
              <w:t>Произход на спрените от движение превозни средства</w:t>
            </w:r>
            <w:r>
              <w:rPr>
                <w:noProof/>
                <w:webHidden/>
              </w:rPr>
              <w:tab/>
            </w:r>
            <w:r>
              <w:rPr>
                <w:noProof/>
                <w:webHidden/>
              </w:rPr>
              <w:fldChar w:fldCharType="begin"/>
            </w:r>
            <w:r>
              <w:rPr>
                <w:noProof/>
                <w:webHidden/>
              </w:rPr>
              <w:instrText xml:space="preserve"> PAGEREF _Toc33780460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780461" w:history="1">
            <w:r>
              <w:rPr>
                <w:rStyle w:val="Hyperlink"/>
                <w:noProof/>
              </w:rPr>
              <w:t>5.5.</w:t>
            </w:r>
            <w:r>
              <w:rPr>
                <w:rFonts w:asciiTheme="minorHAnsi" w:eastAsiaTheme="minorEastAsia" w:hAnsiTheme="minorHAnsi" w:cstheme="minorBidi"/>
                <w:noProof/>
                <w:sz w:val="22"/>
                <w:szCs w:val="22"/>
                <w:lang w:val="en-US"/>
              </w:rPr>
              <w:tab/>
            </w:r>
            <w:r>
              <w:rPr>
                <w:rStyle w:val="Hyperlink"/>
                <w:noProof/>
              </w:rPr>
              <w:t>Спрени от движение превозни средства по категория и по държава членка на регистрация</w:t>
            </w:r>
            <w:r>
              <w:rPr>
                <w:noProof/>
                <w:webHidden/>
              </w:rPr>
              <w:tab/>
            </w:r>
            <w:r>
              <w:rPr>
                <w:noProof/>
                <w:webHidden/>
              </w:rPr>
              <w:fldChar w:fldCharType="begin"/>
            </w:r>
            <w:r>
              <w:rPr>
                <w:noProof/>
                <w:webHidden/>
              </w:rPr>
              <w:instrText xml:space="preserve"> PAGEREF _Toc33780461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780462" w:history="1">
            <w:r>
              <w:rPr>
                <w:rStyle w:val="Hyperlink"/>
                <w:noProof/>
              </w:rPr>
              <w:t>5.6.</w:t>
            </w:r>
            <w:r>
              <w:rPr>
                <w:rFonts w:asciiTheme="minorHAnsi" w:eastAsiaTheme="minorEastAsia" w:hAnsiTheme="minorHAnsi" w:cstheme="minorBidi"/>
                <w:noProof/>
                <w:sz w:val="22"/>
                <w:szCs w:val="22"/>
                <w:lang w:val="en-US"/>
              </w:rPr>
              <w:tab/>
            </w:r>
            <w:r>
              <w:rPr>
                <w:rStyle w:val="Hyperlink"/>
                <w:noProof/>
              </w:rPr>
              <w:t>Видове неизправности, докладвани от държавите членки</w:t>
            </w:r>
            <w:r>
              <w:rPr>
                <w:noProof/>
                <w:webHidden/>
              </w:rPr>
              <w:tab/>
            </w:r>
            <w:r>
              <w:rPr>
                <w:noProof/>
                <w:webHidden/>
              </w:rPr>
              <w:fldChar w:fldCharType="begin"/>
            </w:r>
            <w:r>
              <w:rPr>
                <w:noProof/>
                <w:webHidden/>
              </w:rPr>
              <w:instrText xml:space="preserve"> PAGEREF _Toc33780462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780463" w:history="1">
            <w:r>
              <w:rPr>
                <w:rStyle w:val="Hyperlink"/>
                <w:noProof/>
              </w:rPr>
              <w:t>6.</w:t>
            </w:r>
            <w:r>
              <w:rPr>
                <w:rFonts w:asciiTheme="minorHAnsi" w:eastAsiaTheme="minorEastAsia" w:hAnsiTheme="minorHAnsi" w:cstheme="minorBidi"/>
                <w:noProof/>
                <w:sz w:val="22"/>
                <w:szCs w:val="22"/>
                <w:lang w:val="en-US"/>
              </w:rPr>
              <w:tab/>
            </w:r>
            <w:r>
              <w:rPr>
                <w:rStyle w:val="Hyperlink"/>
                <w:noProof/>
              </w:rPr>
              <w:t>ВИДОВЕ САНКЦИИ</w:t>
            </w:r>
            <w:r>
              <w:rPr>
                <w:noProof/>
                <w:webHidden/>
              </w:rPr>
              <w:tab/>
            </w:r>
            <w:r>
              <w:rPr>
                <w:noProof/>
                <w:webHidden/>
              </w:rPr>
              <w:fldChar w:fldCharType="begin"/>
            </w:r>
            <w:r>
              <w:rPr>
                <w:noProof/>
                <w:webHidden/>
              </w:rPr>
              <w:instrText xml:space="preserve"> PAGEREF _Toc33780463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3780464" w:history="1">
            <w:r>
              <w:rPr>
                <w:rStyle w:val="Hyperlink"/>
                <w:noProof/>
              </w:rPr>
              <w:t>7.</w:t>
            </w:r>
            <w:r>
              <w:rPr>
                <w:rFonts w:asciiTheme="minorHAnsi" w:eastAsiaTheme="minorEastAsia" w:hAnsiTheme="minorHAnsi" w:cstheme="minorBidi"/>
                <w:noProof/>
                <w:sz w:val="22"/>
                <w:szCs w:val="22"/>
                <w:lang w:val="en-US"/>
              </w:rPr>
              <w:tab/>
            </w:r>
            <w:r>
              <w:rPr>
                <w:rStyle w:val="Hyperlink"/>
                <w:noProof/>
              </w:rPr>
              <w:t>ОБОБЩЕНИ ЗАКЛЮЧЕНИЯ</w:t>
            </w:r>
            <w:r>
              <w:rPr>
                <w:noProof/>
                <w:webHidden/>
              </w:rPr>
              <w:tab/>
            </w:r>
            <w:r>
              <w:rPr>
                <w:noProof/>
                <w:webHidden/>
              </w:rPr>
              <w:fldChar w:fldCharType="begin"/>
            </w:r>
            <w:r>
              <w:rPr>
                <w:noProof/>
                <w:webHidden/>
              </w:rPr>
              <w:instrText xml:space="preserve"> PAGEREF _Toc33780464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780465" w:history="1">
            <w:r>
              <w:rPr>
                <w:rStyle w:val="Hyperlink"/>
                <w:noProof/>
              </w:rPr>
              <w:t>7.1        Проверки</w:t>
            </w:r>
            <w:r>
              <w:rPr>
                <w:noProof/>
                <w:webHidden/>
              </w:rPr>
              <w:tab/>
            </w:r>
            <w:r>
              <w:rPr>
                <w:noProof/>
                <w:webHidden/>
              </w:rPr>
              <w:fldChar w:fldCharType="begin"/>
            </w:r>
            <w:r>
              <w:rPr>
                <w:noProof/>
                <w:webHidden/>
              </w:rPr>
              <w:instrText xml:space="preserve"> PAGEREF _Toc33780465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780466" w:history="1">
            <w:r>
              <w:rPr>
                <w:rStyle w:val="Hyperlink"/>
                <w:noProof/>
              </w:rPr>
              <w:t>7.2        Спрени от движение преводни средства</w:t>
            </w:r>
            <w:r>
              <w:rPr>
                <w:noProof/>
                <w:webHidden/>
              </w:rPr>
              <w:tab/>
            </w:r>
            <w:r>
              <w:rPr>
                <w:noProof/>
                <w:webHidden/>
              </w:rPr>
              <w:fldChar w:fldCharType="begin"/>
            </w:r>
            <w:r>
              <w:rPr>
                <w:noProof/>
                <w:webHidden/>
              </w:rPr>
              <w:instrText xml:space="preserve"> PAGEREF _Toc33780466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3780467" w:history="1">
            <w:r>
              <w:rPr>
                <w:rStyle w:val="Hyperlink"/>
                <w:noProof/>
              </w:rPr>
              <w:t>7.3        Неизправности</w:t>
            </w:r>
            <w:r>
              <w:rPr>
                <w:noProof/>
                <w:webHidden/>
              </w:rPr>
              <w:tab/>
            </w:r>
            <w:r>
              <w:rPr>
                <w:noProof/>
                <w:webHidden/>
              </w:rPr>
              <w:fldChar w:fldCharType="begin"/>
            </w:r>
            <w:r>
              <w:rPr>
                <w:noProof/>
                <w:webHidden/>
              </w:rPr>
              <w:instrText xml:space="preserve"> PAGEREF _Toc33780467 \h </w:instrText>
            </w:r>
            <w:r>
              <w:rPr>
                <w:noProof/>
                <w:webHidden/>
              </w:rPr>
            </w:r>
            <w:r>
              <w:rPr>
                <w:noProof/>
                <w:webHidden/>
              </w:rPr>
              <w:fldChar w:fldCharType="separate"/>
            </w:r>
            <w:r>
              <w:rPr>
                <w:noProof/>
                <w:webHidden/>
              </w:rPr>
              <w:t>19</w:t>
            </w:r>
            <w:r>
              <w:rPr>
                <w:noProof/>
                <w:webHidden/>
              </w:rPr>
              <w:fldChar w:fldCharType="end"/>
            </w:r>
          </w:hyperlink>
        </w:p>
        <w:p>
          <w:pPr>
            <w:rPr>
              <w:noProof/>
            </w:rPr>
          </w:pPr>
          <w:r>
            <w:rPr>
              <w:b/>
              <w:bCs/>
              <w:noProof/>
            </w:rPr>
            <w:fldChar w:fldCharType="end"/>
          </w:r>
        </w:p>
      </w:sdtContent>
    </w:sdt>
    <w:p>
      <w:pPr>
        <w:rPr>
          <w:rFonts w:ascii="Times New Roman" w:eastAsia="Times New Roman" w:hAnsi="Times New Roman"/>
          <w:b/>
          <w:noProof/>
          <w:sz w:val="28"/>
          <w:szCs w:val="24"/>
        </w:rPr>
      </w:pPr>
    </w:p>
    <w:p>
      <w:pPr>
        <w:spacing w:before="120" w:after="120" w:line="240" w:lineRule="auto"/>
        <w:jc w:val="both"/>
        <w:rPr>
          <w:rFonts w:ascii="Times New Roman" w:eastAsia="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docGrid w:linePitch="326"/>
        </w:sectPr>
      </w:pPr>
    </w:p>
    <w:p>
      <w:pPr>
        <w:pStyle w:val="Heading1"/>
        <w:rPr>
          <w:noProof/>
        </w:rPr>
      </w:pPr>
      <w:bookmarkStart w:id="2" w:name="_Toc33780452"/>
      <w:r>
        <w:rPr>
          <w:noProof/>
        </w:rPr>
        <w:t>1.</w:t>
      </w:r>
      <w:r>
        <w:rPr>
          <w:noProof/>
        </w:rPr>
        <w:tab/>
        <w:t>ВЪВЕДЕНИЕ</w:t>
      </w:r>
      <w:bookmarkEnd w:id="2"/>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 интерес на пътната безопасност, опазването на околната среда и лоялната конкуренция, европейското законодателство предвижда набор от мерки, които гарантират, че търговските превозни средства по пътищата на Европа са в подходящо техническо състояние. Те включват:</w:t>
      </w:r>
    </w:p>
    <w:p>
      <w:pPr>
        <w:numPr>
          <w:ilvl w:val="0"/>
          <w:numId w:val="39"/>
        </w:numPr>
        <w:spacing w:after="240" w:line="240" w:lineRule="auto"/>
        <w:jc w:val="both"/>
        <w:rPr>
          <w:rFonts w:ascii="Times New Roman" w:eastAsia="Times New Roman" w:hAnsi="Times New Roman"/>
          <w:noProof/>
          <w:sz w:val="24"/>
          <w:szCs w:val="24"/>
        </w:rPr>
      </w:pPr>
      <w:r>
        <w:rPr>
          <w:rFonts w:ascii="Times New Roman" w:hAnsi="Times New Roman"/>
          <w:noProof/>
          <w:sz w:val="24"/>
          <w:szCs w:val="24"/>
        </w:rPr>
        <w:t>правила относно достъпа до професията, които изискват превозвачите да разполагат с достатъчни финансови възможности за осигуряване на адекватна поддръжка на превозните средства (Регламент (ЕО) № 1072/2009</w:t>
      </w:r>
      <w:r>
        <w:rPr>
          <w:rStyle w:val="FootnoteReference"/>
          <w:noProof/>
          <w:sz w:val="24"/>
          <w:szCs w:val="24"/>
        </w:rPr>
        <w:footnoteReference w:id="1"/>
      </w:r>
      <w:r>
        <w:rPr>
          <w:rFonts w:ascii="Times New Roman" w:hAnsi="Times New Roman"/>
          <w:noProof/>
          <w:sz w:val="24"/>
          <w:szCs w:val="24"/>
        </w:rPr>
        <w:t>);</w:t>
      </w:r>
    </w:p>
    <w:p>
      <w:pPr>
        <w:numPr>
          <w:ilvl w:val="0"/>
          <w:numId w:val="39"/>
        </w:numPr>
        <w:spacing w:after="240" w:line="240" w:lineRule="auto"/>
        <w:jc w:val="both"/>
        <w:rPr>
          <w:rFonts w:ascii="Times New Roman" w:eastAsia="Times New Roman" w:hAnsi="Times New Roman"/>
          <w:noProof/>
          <w:sz w:val="24"/>
          <w:szCs w:val="24"/>
        </w:rPr>
      </w:pPr>
      <w:r>
        <w:rPr>
          <w:rFonts w:ascii="Times New Roman" w:hAnsi="Times New Roman"/>
          <w:noProof/>
          <w:sz w:val="24"/>
          <w:szCs w:val="24"/>
        </w:rPr>
        <w:t>периодични прегледи за проверка на техническата изправност на превозните средства, които да се извършват в държавите членки на превозните средства, регистрирани на тяхната територия, с минимална честота, определена на европейско равнище (Директива 2009/40/ЕО</w:t>
      </w:r>
      <w:r>
        <w:rPr>
          <w:rStyle w:val="FootnoteReference"/>
          <w:noProof/>
          <w:sz w:val="24"/>
          <w:szCs w:val="24"/>
        </w:rPr>
        <w:footnoteReference w:id="2"/>
      </w:r>
      <w:r>
        <w:rPr>
          <w:rFonts w:ascii="Times New Roman" w:hAnsi="Times New Roman"/>
          <w:noProof/>
          <w:sz w:val="24"/>
          <w:szCs w:val="24"/>
        </w:rPr>
        <w:t>);</w:t>
      </w:r>
    </w:p>
    <w:p>
      <w:pPr>
        <w:numPr>
          <w:ilvl w:val="0"/>
          <w:numId w:val="39"/>
        </w:numPr>
        <w:spacing w:after="240" w:line="240" w:lineRule="auto"/>
        <w:jc w:val="both"/>
        <w:rPr>
          <w:rFonts w:ascii="Times New Roman" w:eastAsia="Times New Roman" w:hAnsi="Times New Roman"/>
          <w:noProof/>
          <w:sz w:val="24"/>
          <w:szCs w:val="24"/>
        </w:rPr>
      </w:pPr>
      <w:r>
        <w:rPr>
          <w:rFonts w:ascii="Times New Roman" w:hAnsi="Times New Roman"/>
          <w:noProof/>
          <w:sz w:val="24"/>
          <w:szCs w:val="24"/>
        </w:rPr>
        <w:t>крайпътни технически проверки — предметът на настоящия доклад — които гарантират, че търговските превозни средства се използват само ако се поддържат по начин, който осигурява висока степен на техническа изправност (Директива 2000/30/EО</w:t>
      </w:r>
      <w:r>
        <w:rPr>
          <w:rStyle w:val="FootnoteReference"/>
          <w:noProof/>
          <w:sz w:val="24"/>
          <w:szCs w:val="24"/>
        </w:rPr>
        <w:footnoteReference w:id="3"/>
      </w:r>
      <w:r>
        <w:rPr>
          <w:rFonts w:ascii="Times New Roman" w:hAnsi="Times New Roman"/>
          <w:noProof/>
          <w:sz w:val="24"/>
          <w:szCs w:val="24"/>
        </w:rPr>
        <w: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Съгласно Директива 2000/30/ЕО търговските превозни средства, които се движат в държавите членки, подлежат на крайпътни технически проверки, т.е. проверки на техническата изправност, насочени към подобряване на пътната безопасност и опазване на околната среда. В член 6 от нея се предвижда, че на всеки две години държавите членки следва да предоставят на Комисията събраните през предходните две години данни за:</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броя на проверените търговски превозни средства, групирани в седем категории превозни средства и допълнително групирани по държава на регистрация; </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проверените съгласно директивата елементи; и</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установените неизправности.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 Директива 2000/30/ЕО също така се изисква, след като бъдат събрани тези данни, Комисията да представя на Съвета доклад за прилагането на директивата въз основа на данните, получени от държавите членки, заедно с обобщение на получените резултати. Това е предметът на настоящия доклад. Директива 2000/30/ЕО предвижда и изискване Комисията да предава на Европейския парламент информация, получена от държавите членки съгласно член 6 от нея.</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Директива 2000/30/ЕО са изброени девет различни области, попадащи в обхвата на крайпътните технически проверки. Допълнителни подробности са представени в раздел 4 по-долу. Ако по време на проверката се установи, че дадено търговско превозно средство представлява сериозен риск за пътниците или за другите участници в пътното движение, превозното средство може да бъде спряно от движение до отстраняване на откритите опасни неизправности. Освен това след извършване на проверка на превозно средство всички установени неизправности трябва да бъдат документирани в протокол за проверка, който да се представи на водача.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През 2014 г. Европейският парламент и Съветът преразгледаха правилата и процедурите за крайпътни технически проверки на търговски превозни средства.  На 3 април 2014 г. беше приета Директива 2014/47/ЕС</w:t>
      </w:r>
      <w:r>
        <w:rPr>
          <w:rFonts w:ascii="Times New Roman" w:eastAsia="Times New Roman" w:hAnsi="Times New Roman"/>
          <w:noProof/>
          <w:sz w:val="24"/>
          <w:szCs w:val="24"/>
          <w:vertAlign w:val="superscript"/>
        </w:rPr>
        <w:footnoteReference w:id="4"/>
      </w:r>
      <w:r>
        <w:rPr>
          <w:rFonts w:ascii="Times New Roman" w:hAnsi="Times New Roman"/>
          <w:noProof/>
          <w:sz w:val="24"/>
          <w:szCs w:val="24"/>
        </w:rPr>
        <w:t xml:space="preserve"> (наричана по-нататък „Директива 2014/47/ЕС“). Тя се прилага от 20 май 2018 г. насам. С Директива 2014/47/ЕС се въвеждат </w:t>
      </w:r>
      <w:r>
        <w:rPr>
          <w:rFonts w:ascii="Times New Roman" w:hAnsi="Times New Roman"/>
          <w:i/>
          <w:noProof/>
          <w:sz w:val="24"/>
          <w:szCs w:val="24"/>
        </w:rPr>
        <w:t>inter alia</w:t>
      </w:r>
      <w:r>
        <w:rPr>
          <w:rFonts w:ascii="Times New Roman" w:hAnsi="Times New Roman"/>
          <w:noProof/>
          <w:sz w:val="24"/>
          <w:szCs w:val="24"/>
        </w:rPr>
        <w:t xml:space="preserve"> два типа проверки, т.е. първоначални и по-подробни проверки</w:t>
      </w:r>
      <w:r>
        <w:rPr>
          <w:rFonts w:ascii="Times New Roman" w:eastAsia="Times New Roman" w:hAnsi="Times New Roman"/>
          <w:noProof/>
          <w:sz w:val="24"/>
          <w:szCs w:val="24"/>
          <w:vertAlign w:val="superscript"/>
        </w:rPr>
        <w:footnoteReference w:id="5"/>
      </w:r>
      <w:r>
        <w:rPr>
          <w:rFonts w:ascii="Times New Roman" w:hAnsi="Times New Roman"/>
          <w:noProof/>
          <w:sz w:val="24"/>
          <w:szCs w:val="24"/>
        </w:rPr>
        <w:t xml:space="preserve">, и изискването общият брой на първоначалните крайпътни проверки в ЕС през всяка календарна година да отговаря на поне 5 % от общия брой на тези превозни средства, които са регистрирани в държавите членки. За да бъде изпълнена тази цел, всяка държава членка трябва да полага усилия да извърши подходящ брой крайпътни проверки, пропорционален на общия брой на подобни превозни средства, които са регистрирани на нейна територия. Първото задължение за докладване, когато ще се проследи изпълнението на тази цел, трябва да бъде изпълнено до 31 март 2021 г съответно за периода 2019—2020 г.  </w:t>
      </w:r>
    </w:p>
    <w:p>
      <w:pPr>
        <w:pStyle w:val="Heading1"/>
        <w:rPr>
          <w:noProof/>
        </w:rPr>
      </w:pPr>
      <w:bookmarkStart w:id="3" w:name="_Toc33780453"/>
      <w:r>
        <w:rPr>
          <w:noProof/>
        </w:rPr>
        <w:t>2.</w:t>
      </w:r>
      <w:r>
        <w:rPr>
          <w:noProof/>
        </w:rPr>
        <w:tab/>
        <w:t>ДИРЕКТИВА 2000/30/ЕО</w:t>
      </w:r>
      <w:bookmarkEnd w:id="3"/>
    </w:p>
    <w:p>
      <w:pPr>
        <w:spacing w:before="120" w:after="120" w:line="240" w:lineRule="auto"/>
        <w:jc w:val="both"/>
        <w:rPr>
          <w:rFonts w:ascii="Times New Roman" w:eastAsia="Times New Roman" w:hAnsi="Times New Roman"/>
          <w:noProof/>
          <w:sz w:val="24"/>
          <w:szCs w:val="24"/>
          <w:highlight w:val="yellow"/>
        </w:rPr>
      </w:pPr>
      <w:r>
        <w:rPr>
          <w:rFonts w:ascii="Times New Roman" w:hAnsi="Times New Roman"/>
          <w:noProof/>
          <w:sz w:val="24"/>
          <w:szCs w:val="24"/>
        </w:rPr>
        <w:t xml:space="preserve">Съгласно Директива 2009/40/ЕО относно прегледите за проверка на техническата изправност на моторните превозни средства и техните ремаркета, превозните средства, използвани за търговски цели, трябва да се подлагат на преглед ежегодно. Тъй като обаче се смята, че ежегодният преглед не е достатъчен да се гарантира, че тези превозни средства остават в състояние на техническа изправност през периода между последователните технически прегледи, необходима мярка за правоприлагане е да се извършват и крайпътни технически проверки като мярка за пътна безопасност.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Крайпътна техническа проверка означава внезапна проверка на търговско превозно средство, движещо се на територията на дадена държава членка. Проверката се извършва предимно на обществени пътища от органите на тази държава членка или от друг орган, действащ под техен надзор.</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Всички крайпътни технически проверки трябва да се извършват без дискриминация на основата на националността на водача или държавата, в която търговското превозно средство е било регистрирано или въведено в експлоатация. Дейностите по проверка също така трябва да се извършват по такъв начин, че да се сведат до минимум разходите и забавянето за водачи и ползватели.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Следва да се прилага целенасочен подход при подбора на търговските превозни средства, подлагани на крайпътни технически проверки, като се отдава особена важност на разпознаването на превозните средства, за които изглежда най-вероятно да са обект на лошо техническо обслужване</w:t>
      </w:r>
      <w:r>
        <w:rPr>
          <w:rStyle w:val="FootnoteReference"/>
          <w:rFonts w:ascii="Times New Roman" w:eastAsia="Times New Roman" w:hAnsi="Times New Roman"/>
          <w:noProof/>
          <w:sz w:val="24"/>
          <w:szCs w:val="24"/>
        </w:rPr>
        <w:footnoteReference w:id="6"/>
      </w:r>
      <w:r>
        <w:rPr>
          <w:rFonts w:ascii="Times New Roman" w:hAnsi="Times New Roman"/>
          <w:noProof/>
          <w:sz w:val="24"/>
          <w:szCs w:val="24"/>
        </w:rPr>
        <w: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Крайпътните проверки обикновено се извършват, като се използва поетапен подход. Първо се извършва визуална оценка на състоянието на техническо обслужване на превозното средство в спряло положение, придружена с проверка на документите за извършени наскоро крайпътна техническа проверка (ако е приложимо) и преглед за проверка на техническата изправност. На място или в разположен в близост контролно-технически пункт може да бъде извършена подробна проверка за неизправности въз основа на списъка с елементи, посочен в Директива 2000/30/ЕО. В случай на подробна проверка резултатите трябва да бъдат документирани в протокол за крайпътна техническа проверка, изготвен по модела, определен в директивата. Тези данни са в основата на информацията, която държавите членки са длъжни да съобщават на Европейската комисия.</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Ако дадено търговско превозно средство с опасни неизправности представлява сериозен риск за пътната безопасност, то може да бъде спряно от движение до отстраняване на откритите неизправности. В допълнение, чуждестранните превозни средства със сериозни неизправности трябва да бъдат докладвани на държавата членка на регистрация с оглед предприемане на подходящи последващи мерки.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Директива 2000/30/ЕО с измененията ѝ</w:t>
      </w:r>
      <w:r>
        <w:rPr>
          <w:rStyle w:val="FootnoteReference"/>
          <w:noProof/>
          <w:sz w:val="24"/>
          <w:szCs w:val="24"/>
        </w:rPr>
        <w:footnoteReference w:id="7"/>
      </w:r>
      <w:r>
        <w:rPr>
          <w:rFonts w:ascii="Times New Roman" w:hAnsi="Times New Roman"/>
          <w:noProof/>
          <w:sz w:val="24"/>
          <w:szCs w:val="24"/>
        </w:rPr>
        <w:t xml:space="preserve">, която се прилага до 19 май 2018 г., определя редица условия за крайпътни технически проверки на търговски превозни средства, които се движат на територията на ЕС. С Директива 2010/47/ЕС считано от 1 януари 2012 г. бяха изменени категориите превозни средства и списъкът на подлежащите на проверка елементи от приложение I към директивата.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Преди изменението превозните средства в протокола за крайпътна техническа проверка (приложение I) са били дефинирани чрез класове, например автовлак, което означава всяко моторно превозно средство, предназначено за превоз на стоки с максимална маса над 3,5 тона (категории N2 и N3), съчленено с ремарке (категории O3 и O4). Същевременно, превозните средства от категория N2 трябва да се означават като „лекотоварно превозно средство“, тези от категория N3 — като „камион“, докато превозните средства от категории О3 и О4 трябва да се означават като „ремарке“ или „полуремарке“. </w:t>
      </w:r>
    </w:p>
    <w:p>
      <w:pPr>
        <w:spacing w:before="120" w:after="120" w:line="240" w:lineRule="auto"/>
        <w:jc w:val="both"/>
        <w:rPr>
          <w:rFonts w:ascii="Times New Roman" w:eastAsia="Times New Roman" w:hAnsi="Times New Roman"/>
          <w:noProof/>
          <w:sz w:val="24"/>
          <w:szCs w:val="24"/>
          <w:highlight w:val="cyan"/>
        </w:rPr>
      </w:pPr>
      <w:r>
        <w:rPr>
          <w:rFonts w:ascii="Times New Roman" w:hAnsi="Times New Roman"/>
          <w:noProof/>
          <w:sz w:val="24"/>
          <w:szCs w:val="24"/>
        </w:rPr>
        <w:t>С едно от измененията на Директива 2010/47/ЕС обаче беше въведен различен начин на групиране на превозните средства, като се използва обозначението им за категория съгласно законодателството в областта на одобряването на типа. В резултат на това превозно средство, което е могло да бъде посочено като спадащо към различни класове, вече може да бъде посочено, че принадлежи само към една категория превозни средства. Във връзка с това теглещото превозно средство и ремаркето трябва да се посочват поотделно. Като се има предвид, че теглещото превозно средство и ремаркето могат да бъдат регистрирани в различни държави членки, тези преразгледани класификации предоставят по-точна информация, като същевременно подобряват положението на държавите членки в ситуации, в които е необходимо да се уведоми друга държава членка, ако са установени сериозни неизправности на превозно средство, регистрирано в тази държава членка.</w:t>
      </w:r>
    </w:p>
    <w:p>
      <w:pPr>
        <w:pStyle w:val="Heading1"/>
        <w:rPr>
          <w:noProof/>
        </w:rPr>
      </w:pPr>
      <w:bookmarkStart w:id="4" w:name="_Toc33780454"/>
      <w:r>
        <w:rPr>
          <w:noProof/>
        </w:rPr>
        <w:t>3.</w:t>
      </w:r>
      <w:r>
        <w:rPr>
          <w:noProof/>
        </w:rPr>
        <w:tab/>
        <w:t>ДАННИ, СЪОБЩЕНИ ОТ ДЪРЖАВИТЕ ЧЛЕНКИ</w:t>
      </w:r>
      <w:bookmarkEnd w:id="4"/>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Това е седмият поред доклад относно начина, по който Директива 2000/30/ЕО се прилага в държавите членки, и обхваща календарните години 2017—2018. Следва да се отбележи, че Директива 2000/30/ЕО беше отменена с Директива 2014/47/ЕС на 20 май 2018 г., но първият доклад въз основа на Директива 2014/47/ЕС ще обхваща само годините 2019—2020. Ето защо, поради липсата на установени в Директива 2014/47/ЕС преходни мерки, държавите членки бяха насърчени да представят своите доклади съгласно изискванията на Директива 2000/30/ЕО също и за периода от 20 май 2018 г. до 31 декември 2018 г., за да се постигне целта на Директива 2000/30/ЕО и Директива 2014/47/ЕС, която не се е променила, въпреки че извършваните проверки и събираните данни вече се основават на Директива 2014/47/ЕС. Този правен вакуум предизвика значителни практически проблеми за държавите членки и в някои случаи доведе до неправилни доклади, поради което заключенията следва да се правят предпазливо. Крайният срок за държавите членки да представят своите данни на Комисията за този период на докладване беше 31 март 2019 г.</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С цел да се улесни изпълнението на задължението за докладване и в съответствие с предходната практика, в средата на февруари 2019 г. Комисията изпрати до държавите членки уведомително писмо. Това писмо бе придружено от предварително изготвен образец (разработен съвместно от Комисията и експерти от държавите членки) и държавите членки бяха насърчени да го използват за подаване на справките с данните по електронен път, т.е. да се опрости задачата по обработване на данните, след като цялата информация бъде получена. След това, през март 2019 г. беше разпратено съобщение за напомняне, с което на държавите членки да се обърне внимание, че крайният срок за подаване на техните справки с данни бързо наближава. Трето напомняне беше изпратено през май 2019 г. на онези държави членки, които не бяха представили своите доклади до крайния срок. Последваха размени на конкретна кореспонденция между Комисията и определени държави членки. Всички държави членки използваха предварително изготвения образец, за да представят своите данни по електронен път — действие, което беше приветствано, тъй като така бе опростена задачата за съпоставяне на данните.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Не всички държави членки обаче спазиха срока за представяне на своите данни. Естония, Гърция, Кипър, Латвия, Литва, Нидерландия, Австрия, Полша, Португалия и Швеция предадоха своевременно данните си преди крайния срок — 31 март 2019 г. Някои други държави членки незначително закъсняха (а именно България, Дания, Германия, Ирландия, Люксембург, Словения и Обединеното кралство), докато други (а именно Малта, Унгария, Франция, Испания и Финландия) не представиха своите данни до септември 2019 г. През този период не бяха образувани производства за установяване на нарушение срещу държава членка, която не е съобщила данните си на Комисията.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Седемнадесет държави членки, а именно Австрия, България, Чехия, Дания, Естония, Финландия, Германия, Унгария, Ирландия, Латвия, Литва, Люксембург, Нидерландия, Полша, Румъния, Словения и Швеция представиха данни за превозни средства, които са регистрирани извън ЕС, класифицирани според държавата на регистрация. Белгия, Италия и Обединеното кралство представиха данни за всички проверки на превозните средства, регистрирани извън ЕС, без да посочват за кои държави членки се отнасят. Словакия не представи подробни статистически данни за превозните средства от държави извън ЕС в използваем формат, така че тези данни трябваше да бъдат пренебрегнати.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Франция, Испания и Гърция не посочиха никаква информация за трети държави и за Хърватия; Гърция обаче потвърди, че не е извършвала проверки на превозни средства от тези географски области. Кипър не представи никаква информация за други държави членки, като потвърди, че са извършвани проверки само на превозни средства, регистрирани на територията на Кипър. Малта също не представи никакви данни от трети държави, като потвърди, че такива проверки не са извършвани. Освен това Малта и Австрия представиха информация и за категориите Т5 — задължение, попадащо в обхвата на Директива 2014/47/ЕС.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И накрая, дванадесет държави членки, а именно Австрия, България, Чехия, Дания, Франция, Малта, Нидерландия, Португалия, Румъния, Словения, Словакия и Обединеното кралство, представиха допълнителна информация във връзка с кодовете на неизправности в рамките на проверяваните елементи (например 1. Спирачно оборудване; 1.1.8. Съединения за спирачки на ремаркета). Тези подробни данни бяха въведени с Директива 2010/47/ЕС, с която считано от 1 януари 2012 г. бе изменено приложение I към Директива 2000/30/ЕО, не е задължително обаче да се предоставят данни с такава допълнителна степен на детайлност.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След първия анализ на националните доклади Комисията се свърза с няколко държави членки, за да разбере потенциалните причини за явната разлика в резултатите или промените в сравнение с предходния период. Според обясненията, предоставени от държавите членки, съществуват редица обстоятелства, които са оказали отрицателно въздействие върху броя и качеството на крайпътните технически проверки. Такива обстоятелства са, наред с другото, събирането на данни въз основа на Директива 2014/47/ЕС, реорганизацията или децентрализацията на компетентностите и финансовите ограничения, водещи до недостиг на персонал, ограничен брой проверки и ограничен достъп до оборудване. Обменът на информация с държавите членки също така разкри, че съществуват значителни разлики по отношение на разбирането, изпълнението на събирането на данни и докладването, които също може да допринасят за разликите. Тези разлики може да намалеят от 20 май 2018 г. нататък, като се има предвид, че с Директива 2014/47/ЕС ще се въведе по-голямо хармонизиране на методите за изпитване, оценката на неизправностите, използването на оборудване за изпитване и изискванията за докладване. Първият доклад, изготвен въз основа на Директива 2014/47/ЕС, ще обхване периода 2019—2020 г., а държавите членки ще трябва да представят своите национални доклади до 31 март 2021 г.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p>
    <w:p>
      <w:pPr>
        <w:pStyle w:val="Heading1"/>
        <w:rPr>
          <w:noProof/>
          <w:color w:val="FF0000"/>
        </w:rPr>
      </w:pPr>
      <w:bookmarkStart w:id="5" w:name="_Toc33780455"/>
      <w:r>
        <w:rPr>
          <w:noProof/>
        </w:rPr>
        <w:t>4.</w:t>
      </w:r>
      <w:r>
        <w:rPr>
          <w:noProof/>
        </w:rPr>
        <w:tab/>
        <w:t>СЪДЪРЖАНИЕ НА ПРОВЕРКАТА</w:t>
      </w:r>
      <w:bookmarkEnd w:id="5"/>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На Комисията трябва да бъдат предадени най-малко данните, свързани с подлежащите на проверка области, описани подробно в точка 10 от представения в приложение I към Директива 2000/30/ЕО образец на протокол. Тези области са:</w:t>
      </w:r>
    </w:p>
    <w:p>
      <w:pPr>
        <w:numPr>
          <w:ilvl w:val="0"/>
          <w:numId w:val="41"/>
        </w:numPr>
        <w:spacing w:after="120" w:line="240" w:lineRule="auto"/>
        <w:ind w:left="1196" w:hanging="357"/>
        <w:jc w:val="both"/>
        <w:rPr>
          <w:rFonts w:ascii="Times New Roman" w:eastAsia="Times New Roman" w:hAnsi="Times New Roman"/>
          <w:noProof/>
          <w:sz w:val="24"/>
          <w:szCs w:val="24"/>
        </w:rPr>
      </w:pPr>
      <w:r>
        <w:rPr>
          <w:rFonts w:ascii="Times New Roman" w:hAnsi="Times New Roman"/>
          <w:noProof/>
          <w:sz w:val="24"/>
          <w:szCs w:val="24"/>
        </w:rPr>
        <w:t>идентификация;</w:t>
      </w:r>
    </w:p>
    <w:p>
      <w:pPr>
        <w:numPr>
          <w:ilvl w:val="0"/>
          <w:numId w:val="41"/>
        </w:numPr>
        <w:spacing w:after="120" w:line="240" w:lineRule="auto"/>
        <w:ind w:left="1196" w:hanging="357"/>
        <w:jc w:val="both"/>
        <w:rPr>
          <w:rFonts w:ascii="Times New Roman" w:eastAsia="Times New Roman" w:hAnsi="Times New Roman"/>
          <w:noProof/>
          <w:sz w:val="24"/>
          <w:szCs w:val="24"/>
        </w:rPr>
      </w:pPr>
      <w:r>
        <w:rPr>
          <w:rFonts w:ascii="Times New Roman" w:hAnsi="Times New Roman"/>
          <w:noProof/>
          <w:sz w:val="24"/>
          <w:szCs w:val="24"/>
        </w:rPr>
        <w:t>спирачно оборудване;</w:t>
      </w:r>
    </w:p>
    <w:p>
      <w:pPr>
        <w:numPr>
          <w:ilvl w:val="0"/>
          <w:numId w:val="41"/>
        </w:numPr>
        <w:spacing w:after="120" w:line="240" w:lineRule="auto"/>
        <w:ind w:left="1196" w:hanging="357"/>
        <w:jc w:val="both"/>
        <w:rPr>
          <w:rFonts w:ascii="Times New Roman" w:eastAsia="Times New Roman" w:hAnsi="Times New Roman"/>
          <w:noProof/>
          <w:sz w:val="24"/>
          <w:szCs w:val="24"/>
        </w:rPr>
      </w:pPr>
      <w:r>
        <w:rPr>
          <w:rFonts w:ascii="Times New Roman" w:hAnsi="Times New Roman"/>
          <w:noProof/>
          <w:sz w:val="24"/>
          <w:szCs w:val="24"/>
        </w:rPr>
        <w:t>кормилно управление;</w:t>
      </w:r>
    </w:p>
    <w:p>
      <w:pPr>
        <w:numPr>
          <w:ilvl w:val="0"/>
          <w:numId w:val="41"/>
        </w:numPr>
        <w:spacing w:after="120" w:line="240" w:lineRule="auto"/>
        <w:ind w:left="1196" w:hanging="357"/>
        <w:jc w:val="both"/>
        <w:rPr>
          <w:rFonts w:ascii="Times New Roman" w:eastAsia="Times New Roman" w:hAnsi="Times New Roman"/>
          <w:noProof/>
          <w:sz w:val="24"/>
          <w:szCs w:val="24"/>
        </w:rPr>
      </w:pPr>
      <w:r>
        <w:rPr>
          <w:rFonts w:ascii="Times New Roman" w:hAnsi="Times New Roman"/>
          <w:noProof/>
          <w:sz w:val="24"/>
          <w:szCs w:val="24"/>
        </w:rPr>
        <w:t>видимост;</w:t>
      </w:r>
    </w:p>
    <w:p>
      <w:pPr>
        <w:numPr>
          <w:ilvl w:val="0"/>
          <w:numId w:val="41"/>
        </w:numPr>
        <w:spacing w:after="120" w:line="240" w:lineRule="auto"/>
        <w:ind w:left="1196" w:hanging="357"/>
        <w:jc w:val="both"/>
        <w:rPr>
          <w:rFonts w:ascii="Times New Roman" w:eastAsia="Times New Roman" w:hAnsi="Times New Roman"/>
          <w:noProof/>
          <w:sz w:val="24"/>
          <w:szCs w:val="24"/>
        </w:rPr>
      </w:pPr>
      <w:r>
        <w:rPr>
          <w:rFonts w:ascii="Times New Roman" w:hAnsi="Times New Roman"/>
          <w:noProof/>
          <w:sz w:val="24"/>
          <w:szCs w:val="24"/>
        </w:rPr>
        <w:t>осветително оборудване и електрическа система;</w:t>
      </w:r>
    </w:p>
    <w:p>
      <w:pPr>
        <w:numPr>
          <w:ilvl w:val="0"/>
          <w:numId w:val="41"/>
        </w:numPr>
        <w:spacing w:after="120" w:line="240" w:lineRule="auto"/>
        <w:ind w:left="1196" w:hanging="357"/>
        <w:jc w:val="both"/>
        <w:rPr>
          <w:rFonts w:ascii="Times New Roman" w:eastAsia="Times New Roman" w:hAnsi="Times New Roman"/>
          <w:noProof/>
          <w:sz w:val="24"/>
          <w:szCs w:val="24"/>
        </w:rPr>
      </w:pPr>
      <w:r>
        <w:rPr>
          <w:rFonts w:ascii="Times New Roman" w:hAnsi="Times New Roman"/>
          <w:noProof/>
          <w:sz w:val="24"/>
          <w:szCs w:val="24"/>
        </w:rPr>
        <w:t>оси, колела, гуми, окачване;</w:t>
      </w:r>
    </w:p>
    <w:p>
      <w:pPr>
        <w:numPr>
          <w:ilvl w:val="0"/>
          <w:numId w:val="41"/>
        </w:numPr>
        <w:spacing w:after="120" w:line="240" w:lineRule="auto"/>
        <w:ind w:left="1196" w:hanging="357"/>
        <w:jc w:val="both"/>
        <w:rPr>
          <w:rFonts w:ascii="Times New Roman" w:eastAsia="Times New Roman" w:hAnsi="Times New Roman"/>
          <w:noProof/>
          <w:sz w:val="24"/>
          <w:szCs w:val="24"/>
        </w:rPr>
      </w:pPr>
      <w:r>
        <w:rPr>
          <w:rFonts w:ascii="Times New Roman" w:hAnsi="Times New Roman"/>
          <w:noProof/>
          <w:sz w:val="24"/>
          <w:szCs w:val="24"/>
        </w:rPr>
        <w:t>шаси и приставки на шасито;</w:t>
      </w:r>
    </w:p>
    <w:p>
      <w:pPr>
        <w:numPr>
          <w:ilvl w:val="0"/>
          <w:numId w:val="41"/>
        </w:numPr>
        <w:spacing w:after="120" w:line="240" w:lineRule="auto"/>
        <w:ind w:left="1196" w:hanging="357"/>
        <w:jc w:val="both"/>
        <w:rPr>
          <w:rFonts w:ascii="Times New Roman" w:eastAsia="Times New Roman" w:hAnsi="Times New Roman"/>
          <w:noProof/>
          <w:sz w:val="24"/>
          <w:szCs w:val="24"/>
        </w:rPr>
      </w:pPr>
      <w:r>
        <w:rPr>
          <w:rFonts w:ascii="Times New Roman" w:hAnsi="Times New Roman"/>
          <w:noProof/>
          <w:sz w:val="24"/>
          <w:szCs w:val="24"/>
        </w:rPr>
        <w:t>друго оборудване, включително тахограф и устройства за ограничаване на скоростта;</w:t>
      </w:r>
    </w:p>
    <w:p>
      <w:pPr>
        <w:numPr>
          <w:ilvl w:val="0"/>
          <w:numId w:val="41"/>
        </w:numPr>
        <w:spacing w:after="120" w:line="240" w:lineRule="auto"/>
        <w:ind w:left="1196" w:hanging="357"/>
        <w:jc w:val="both"/>
        <w:rPr>
          <w:rFonts w:ascii="Times New Roman" w:eastAsia="Times New Roman" w:hAnsi="Times New Roman"/>
          <w:noProof/>
          <w:sz w:val="24"/>
          <w:szCs w:val="24"/>
        </w:rPr>
      </w:pPr>
      <w:r>
        <w:rPr>
          <w:rFonts w:ascii="Times New Roman" w:hAnsi="Times New Roman"/>
          <w:noProof/>
          <w:sz w:val="24"/>
          <w:szCs w:val="24"/>
        </w:rPr>
        <w:t>вредно въздействие, включително емисии и разлив на гориво и/или масло.</w:t>
      </w:r>
    </w:p>
    <w:p>
      <w:pPr>
        <w:spacing w:after="240" w:line="240" w:lineRule="auto"/>
        <w:jc w:val="both"/>
        <w:rPr>
          <w:rFonts w:ascii="Times New Roman" w:eastAsia="Times New Roman" w:hAnsi="Times New Roman"/>
          <w:noProof/>
          <w:sz w:val="24"/>
          <w:szCs w:val="24"/>
        </w:rPr>
      </w:pPr>
      <w:r>
        <w:rPr>
          <w:rFonts w:ascii="Times New Roman" w:hAnsi="Times New Roman"/>
          <w:noProof/>
          <w:sz w:val="24"/>
          <w:szCs w:val="24"/>
        </w:rPr>
        <w:t>За да се улесни регистрирането на неизправностите, установени от проверяващите, протоколът за проверката следва да съдържа на обратната си страна пълен списък на подлежащите на проверка елементи. От проверяващите се изисква да отбележат в протокола (като използват предварително определените кодове) всички области, в които са установили неизправности, и след като приключат своята проверка, да предоставят копие от този протокол на водача на превозното средство.</w:t>
      </w:r>
    </w:p>
    <w:p>
      <w:pPr>
        <w:spacing w:after="24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Ако проверяващият счете, че установените неизправности може да представляват такъв риск за безопасността, по отношение по-специално на спирачките, че да са необходими допълнителни проверки, той/тя може да насочи превозното средство към предназначено за проверка на техническата изправност съоръжение за по-подробен преглед. </w:t>
      </w:r>
    </w:p>
    <w:p>
      <w:pPr>
        <w:spacing w:after="24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допълнение, ако по време на проверката се установи, че дадено търговско превозно средство представлява сериозен риск за пътниците или за другите участници в пътното движение, превозното средство може да бъде спряно от движение до отстраняване на установените опасни неизправности. </w:t>
      </w:r>
    </w:p>
    <w:p>
      <w:pPr>
        <w:spacing w:after="24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p>
    <w:p>
      <w:pPr>
        <w:pStyle w:val="Heading1"/>
        <w:rPr>
          <w:noProof/>
        </w:rPr>
      </w:pPr>
      <w:bookmarkStart w:id="6" w:name="_Toc33780456"/>
      <w:r>
        <w:rPr>
          <w:noProof/>
        </w:rPr>
        <w:t>5.</w:t>
      </w:r>
      <w:r>
        <w:rPr>
          <w:noProof/>
        </w:rPr>
        <w:tab/>
        <w:t>СТАТИСТИЧЕСКИ ДАННИ</w:t>
      </w:r>
      <w:bookmarkEnd w:id="6"/>
    </w:p>
    <w:p>
      <w:pPr>
        <w:pStyle w:val="Heading2"/>
        <w:rPr>
          <w:noProof/>
        </w:rPr>
      </w:pPr>
      <w:bookmarkStart w:id="7" w:name="_Toc33780457"/>
      <w:r>
        <w:rPr>
          <w:noProof/>
        </w:rPr>
        <w:t xml:space="preserve">5.1. </w:t>
      </w:r>
      <w:r>
        <w:rPr>
          <w:noProof/>
        </w:rPr>
        <w:tab/>
        <w:t>Брой на проверките</w:t>
      </w:r>
      <w:bookmarkEnd w:id="7"/>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сравнение с периода на докладване 2015—2016 г., през периода на докладване 2017—2018 г. са били проверени </w:t>
      </w:r>
      <w:r>
        <w:rPr>
          <w:rFonts w:ascii="Times New Roman" w:hAnsi="Times New Roman"/>
          <w:b/>
          <w:noProof/>
          <w:sz w:val="24"/>
          <w:szCs w:val="24"/>
        </w:rPr>
        <w:t>1 048 863 по-малко превозни средства</w:t>
      </w:r>
      <w:r>
        <w:rPr>
          <w:rFonts w:ascii="Times New Roman" w:hAnsi="Times New Roman"/>
          <w:noProof/>
          <w:sz w:val="24"/>
          <w:szCs w:val="24"/>
        </w:rPr>
        <w:t xml:space="preserve">, което представлява </w:t>
      </w:r>
      <w:r>
        <w:rPr>
          <w:rFonts w:ascii="Times New Roman" w:hAnsi="Times New Roman"/>
          <w:b/>
          <w:noProof/>
          <w:sz w:val="24"/>
          <w:szCs w:val="24"/>
        </w:rPr>
        <w:t>намаление с 20,9 %</w:t>
      </w:r>
      <w:r>
        <w:rPr>
          <w:rFonts w:ascii="Times New Roman" w:hAnsi="Times New Roman"/>
          <w:noProof/>
          <w:sz w:val="24"/>
          <w:szCs w:val="24"/>
        </w:rPr>
        <w:t xml:space="preserv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Следва да се отбележи, че през периода 2015—2016 г. вече са били извършени с </w:t>
      </w:r>
      <w:r>
        <w:rPr>
          <w:rFonts w:ascii="Times New Roman" w:hAnsi="Times New Roman"/>
          <w:b/>
          <w:noProof/>
          <w:sz w:val="24"/>
          <w:szCs w:val="24"/>
        </w:rPr>
        <w:t>534 473 проверки по-малко</w:t>
      </w:r>
      <w:r>
        <w:rPr>
          <w:rFonts w:ascii="Times New Roman" w:hAnsi="Times New Roman"/>
          <w:noProof/>
          <w:sz w:val="24"/>
          <w:szCs w:val="24"/>
        </w:rPr>
        <w:t xml:space="preserve">, отколкото през периода 2013—2014 г. Докато през периода 2011—2012 г. са били проверени </w:t>
      </w:r>
      <w:r>
        <w:rPr>
          <w:rFonts w:ascii="Times New Roman" w:hAnsi="Times New Roman"/>
          <w:b/>
          <w:noProof/>
          <w:sz w:val="24"/>
          <w:szCs w:val="24"/>
        </w:rPr>
        <w:t>6 016 947</w:t>
      </w:r>
      <w:r>
        <w:rPr>
          <w:rFonts w:ascii="Times New Roman" w:hAnsi="Times New Roman"/>
          <w:noProof/>
          <w:sz w:val="24"/>
          <w:szCs w:val="24"/>
        </w:rPr>
        <w:t xml:space="preserve"> превозни средства, през периода 2017—2018 г. са били проверени едва </w:t>
      </w:r>
      <w:r>
        <w:rPr>
          <w:rFonts w:ascii="Times New Roman" w:hAnsi="Times New Roman"/>
          <w:b/>
          <w:noProof/>
          <w:sz w:val="24"/>
          <w:szCs w:val="24"/>
        </w:rPr>
        <w:t>3 980 900</w:t>
      </w:r>
      <w:r>
        <w:rPr>
          <w:rFonts w:ascii="Times New Roman" w:hAnsi="Times New Roman"/>
          <w:noProof/>
          <w:sz w:val="24"/>
          <w:szCs w:val="24"/>
        </w:rPr>
        <w:t xml:space="preserve"> превозни средства, </w:t>
      </w:r>
      <w:r>
        <w:rPr>
          <w:rFonts w:ascii="Times New Roman" w:hAnsi="Times New Roman"/>
          <w:b/>
          <w:noProof/>
          <w:sz w:val="24"/>
          <w:szCs w:val="24"/>
        </w:rPr>
        <w:t>което означава, че от 2011 г. до 2018 г. броят на извършените проверки е намалял с 1/3</w:t>
      </w:r>
      <w:r>
        <w:rPr>
          <w:rFonts w:ascii="Times New Roman" w:hAnsi="Times New Roman"/>
          <w:noProof/>
          <w:sz w:val="24"/>
          <w:szCs w:val="24"/>
        </w:rPr>
        <w:t xml:space="preserve">. Ако намаляването на броя на проверките е придружено от по-високи дялове на спрените от движение превозни средства, което е признак за усъвършенствана система за насочване, намаляването на броя на проверките не би било тревожно, но както показват цифрите, това невинаги е така.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szCs w:val="24"/>
        </w:rPr>
        <w:t xml:space="preserve">Таблица 1: Брой на проверките — сравнение между периода 2015—2016 г. и периода 2017—2018 г. </w:t>
      </w:r>
    </w:p>
    <w:tbl>
      <w:tblPr>
        <w:tblW w:w="8084" w:type="dxa"/>
        <w:jc w:val="center"/>
        <w:tblLook w:val="04A0" w:firstRow="1" w:lastRow="0" w:firstColumn="1" w:lastColumn="0" w:noHBand="0" w:noVBand="1"/>
      </w:tblPr>
      <w:tblGrid>
        <w:gridCol w:w="1856"/>
        <w:gridCol w:w="1458"/>
        <w:gridCol w:w="1437"/>
        <w:gridCol w:w="1874"/>
        <w:gridCol w:w="1874"/>
      </w:tblGrid>
      <w:tr>
        <w:trPr>
          <w:trHeight w:val="1238"/>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Докладваща държава членка</w:t>
            </w:r>
          </w:p>
        </w:tc>
        <w:tc>
          <w:tcPr>
            <w:tcW w:w="1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Превозни средства, проверени през периода 2015—2016 г.</w:t>
            </w:r>
          </w:p>
        </w:tc>
        <w:tc>
          <w:tcPr>
            <w:tcW w:w="14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Превозни средства, проверени през периода 2017—2018 г.</w:t>
            </w:r>
          </w:p>
        </w:tc>
        <w:tc>
          <w:tcPr>
            <w:tcW w:w="1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Разлики между периода 2015—2016 г. и периода 2017—2018 г.</w:t>
            </w:r>
          </w:p>
        </w:tc>
        <w:tc>
          <w:tcPr>
            <w:tcW w:w="16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Разлика в % между периода 2015—2016 г. и периода 2017—2018 г.</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Aвстрия</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42 438</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39 754</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-2 684</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-6,3 %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Белгия</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9 693</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 xml:space="preserve">11 282 </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1 589</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16,4 %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България</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250 516</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153 748</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-96 768</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-38,6 %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Хърватия</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39 204</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22 169</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-17 035</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-43,5 %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Кипър</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6 214</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5 984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-230</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-3,7 %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Чехия</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88 389</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96 261</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7 872</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8,9 %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Дания</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3 753</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5 054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1 301</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34,7 %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Естония</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2 768</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2 281</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-487</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-17,6 %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Финландия</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8 390</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12 060</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3 670</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43,7 %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Франция</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996 892</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612 476</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-384 416</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-38,6 %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Германия</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1 620 465</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1 247 506</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-372 959</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-23,0 %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Гърция</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5 395</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360</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-5 035</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-93,3 %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 xml:space="preserve">Унгария </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195 905</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202 323</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6 418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3,3 %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Ирландия</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29 840</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27 501</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-2 339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-4,5 %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Италия</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5 514</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5 446</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-68</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-1,2 %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Латвия</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8 652</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8 804</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152</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1,8 %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Литва</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70 586</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50 238</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-20 348</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-28,8 %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Люксембург</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398</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2 107</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1 709</w:t>
            </w:r>
          </w:p>
        </w:tc>
        <w:tc>
          <w:tcPr>
            <w:tcW w:w="161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429,4 %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Малта</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6 943</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6 305</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3 172</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-9,2 %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Нидерландия</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6 709</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10 989</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1 004</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63,8 %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Полша</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627 384</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758 414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131 030</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20,9 %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Португалия</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1 522</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962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-560</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-36,8 %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Румъния</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13 144</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19 535</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6 391</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48,6 %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Словакия</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18 760</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23 582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4 822</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25,7 %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Словения</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4 945</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5 402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457</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9,2 %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Испания</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654 392</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345 620</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-308 772</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-47,2 %</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Швеция</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45 417</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44 711</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-706</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-1,6 %</w:t>
            </w:r>
          </w:p>
        </w:tc>
      </w:tr>
      <w:tr>
        <w:trPr>
          <w:trHeight w:val="315"/>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Обединено кралство</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265 535</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260 026</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-5 509</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-2,1 %</w:t>
            </w:r>
          </w:p>
        </w:tc>
      </w:tr>
      <w:tr>
        <w:trPr>
          <w:trHeight w:val="315"/>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Общо</w:t>
            </w:r>
          </w:p>
        </w:tc>
        <w:tc>
          <w:tcPr>
            <w:tcW w:w="145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5 029 763</w:t>
            </w:r>
          </w:p>
        </w:tc>
        <w:tc>
          <w:tcPr>
            <w:tcW w:w="1437" w:type="dxa"/>
            <w:tcBorders>
              <w:top w:val="single" w:sz="4" w:space="0" w:color="auto"/>
              <w:left w:val="nil"/>
              <w:bottom w:val="single" w:sz="4" w:space="0" w:color="auto"/>
              <w:right w:val="single" w:sz="4"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3 980 900</w:t>
            </w:r>
          </w:p>
        </w:tc>
        <w:tc>
          <w:tcPr>
            <w:tcW w:w="1716" w:type="dxa"/>
            <w:tcBorders>
              <w:top w:val="single" w:sz="4" w:space="0" w:color="auto"/>
              <w:left w:val="nil"/>
              <w:bottom w:val="single" w:sz="4" w:space="0" w:color="auto"/>
              <w:right w:val="single" w:sz="4"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-1 048 863</w:t>
            </w:r>
          </w:p>
        </w:tc>
        <w:tc>
          <w:tcPr>
            <w:tcW w:w="1617" w:type="dxa"/>
            <w:tcBorders>
              <w:top w:val="single" w:sz="4" w:space="0" w:color="auto"/>
              <w:left w:val="nil"/>
              <w:bottom w:val="single" w:sz="4" w:space="0" w:color="auto"/>
              <w:right w:val="single" w:sz="4"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-20,9 %</w:t>
            </w:r>
          </w:p>
        </w:tc>
      </w:tr>
    </w:tbl>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Шестнадесет държави членки са извършили по-малко проверки през периода 2017—2018 г. в сравнение с периода 2015—2016 г. </w:t>
      </w:r>
    </w:p>
    <w:p>
      <w:pPr>
        <w:jc w:val="both"/>
        <w:rPr>
          <w:rFonts w:ascii="Times New Roman" w:eastAsia="Times New Roman" w:hAnsi="Times New Roman"/>
          <w:noProof/>
          <w:sz w:val="24"/>
          <w:szCs w:val="24"/>
        </w:rPr>
      </w:pPr>
      <w:r>
        <w:rPr>
          <w:rFonts w:ascii="Times New Roman" w:hAnsi="Times New Roman"/>
          <w:noProof/>
          <w:sz w:val="24"/>
          <w:szCs w:val="24"/>
        </w:rPr>
        <w:t>Процентът на намаленията варира от 1,2 % за Италия до 93,3 % за Гърция. Други държави членки, които отчитат значителни намаления, са Испания (47,2 %), Хърватия (43,5 %), България (38,6 %), Франция (38,6 %) и Португалия (36,8 %). По отношение на причините за намаленията, освен Швеция, която поясни, че е приложила основан на риска подход съгласно Директива 2014/47/ЕС, държавите членки обясниха, че те са комбинираният резултат от намалени ресурси, реорганизация, промени в националното законодателство и прилагане на правилата.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От друга страна, дванадесет държави членки отчитат увеличение на броя на проверките, извършени през периода 2017—2018 г. Процентът на увеличенията варира от 1,8 % за Латвия до 48,6 % за Румъния, 63,8 % за Нидерландия и 429,4 % за Люксембург.  </w:t>
      </w:r>
    </w:p>
    <w:p>
      <w:pPr>
        <w:pStyle w:val="Heading2"/>
        <w:rPr>
          <w:noProof/>
        </w:rPr>
      </w:pPr>
    </w:p>
    <w:p>
      <w:pPr>
        <w:pStyle w:val="Heading2"/>
        <w:rPr>
          <w:noProof/>
        </w:rPr>
      </w:pPr>
      <w:bookmarkStart w:id="8" w:name="_Toc33780458"/>
      <w:r>
        <w:rPr>
          <w:noProof/>
        </w:rPr>
        <w:t xml:space="preserve">5.2. </w:t>
      </w:r>
      <w:r>
        <w:rPr>
          <w:noProof/>
        </w:rPr>
        <w:tab/>
        <w:t>Произход на проверените превозни средства</w:t>
      </w:r>
      <w:bookmarkEnd w:id="8"/>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таблица 2 по-долу е представен общ преглед на произхода на превозните средства, проверени от държавите членки. Както беше посочено по-горе, само Кипър не е представил данни относно проверките на превозни средства с произход от други държави, т.е. регистрирани или в друга държава членка, или извън ЕС. Двадесет и седем държави членки са докладвали данни за извършени проверки на превозни средства, регистрирани в друга държава членка, а двадесет държави членки са извършили проверки и на превозни средства, движещи се на тяхна територия, но регистрирани извън ЕС.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Някои основни моменти от данните, показани в таблица 2, на които следва да се обърне внимание, са например че 57,7 % от извършените през периода 2017—2018 г. проверки са на превозни средства, регистрирани в държавата членка, в която е извършена проверката, 34,1 % са на превозни средства, регистрирани в друга държава членка, и само 8,2 % са на превозни средства, регистрирани извън ЕС.</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Едва 14,4 % от проверките, извършени в Люксембург, са на превозни средства, регистрирани там, докато 80,1 % от проверките в Люксембург засягат превозни средства в друга държава членка. От друга страна, 49,4 % и 63,4 % от превозните средства, проверени съответно от полските и от българските органи, са регистрирани в тези държави членки, докато те са извършили по-голям процент проверки на превозни средства, регистрирани извън ЕС, отколкото на превозни средства от други държави членки. Обосновката за тези статистически данни вероятно е свързана с географското местоположение на тези държави членки с голям транзитен трафик.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center"/>
        <w:rPr>
          <w:rFonts w:ascii="Times New Roman" w:eastAsia="Times New Roman" w:hAnsi="Times New Roman"/>
          <w:b/>
          <w:noProof/>
          <w:sz w:val="24"/>
          <w:szCs w:val="24"/>
        </w:rPr>
      </w:pPr>
      <w:r>
        <w:rPr>
          <w:rFonts w:ascii="Times New Roman" w:hAnsi="Times New Roman"/>
          <w:b/>
          <w:noProof/>
          <w:sz w:val="24"/>
          <w:szCs w:val="24"/>
        </w:rPr>
        <w:t>Таблица 2: Произход на проверените превозни средства</w:t>
      </w:r>
    </w:p>
    <w:tbl>
      <w:tblPr>
        <w:tblW w:w="8286" w:type="dxa"/>
        <w:jc w:val="center"/>
        <w:tblLook w:val="04A0" w:firstRow="1" w:lastRow="0" w:firstColumn="1" w:lastColumn="0" w:noHBand="0" w:noVBand="1"/>
      </w:tblPr>
      <w:tblGrid>
        <w:gridCol w:w="1764"/>
        <w:gridCol w:w="1709"/>
        <w:gridCol w:w="1709"/>
        <w:gridCol w:w="1709"/>
        <w:gridCol w:w="1154"/>
        <w:gridCol w:w="1242"/>
      </w:tblGrid>
      <w:tr>
        <w:trPr>
          <w:trHeight w:val="915"/>
          <w:jc w:val="center"/>
        </w:trPr>
        <w:tc>
          <w:tcPr>
            <w:tcW w:w="1800" w:type="dxa"/>
            <w:tcBorders>
              <w:top w:val="single" w:sz="8" w:space="0" w:color="auto"/>
              <w:left w:val="single" w:sz="8" w:space="0" w:color="auto"/>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Докладваща държава членка (ДЧ)</w:t>
            </w:r>
          </w:p>
        </w:tc>
        <w:tc>
          <w:tcPr>
            <w:tcW w:w="1280"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Регистрирани в държавата членка</w:t>
            </w:r>
          </w:p>
        </w:tc>
        <w:tc>
          <w:tcPr>
            <w:tcW w:w="1360"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Регистрирани в друга държава членка</w:t>
            </w:r>
          </w:p>
        </w:tc>
        <w:tc>
          <w:tcPr>
            <w:tcW w:w="1500"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Регистрирани извън ЕС</w:t>
            </w:r>
          </w:p>
        </w:tc>
        <w:tc>
          <w:tcPr>
            <w:tcW w:w="1106"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Общо</w:t>
            </w:r>
          </w:p>
        </w:tc>
        <w:tc>
          <w:tcPr>
            <w:tcW w:w="1240" w:type="dxa"/>
            <w:tcBorders>
              <w:top w:val="single" w:sz="8" w:space="0" w:color="auto"/>
              <w:left w:val="nil"/>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Превозни средства от ДЧ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Aвстрия</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16 667</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21 399</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1 688</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39 754</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41,9 %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Белгия</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3 825</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7 118</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339</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11 282</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33,9 %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България</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97 469</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14 782</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41 497</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153 748</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63,4 %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Хърватия</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18 418</w:t>
            </w:r>
          </w:p>
        </w:tc>
        <w:tc>
          <w:tcPr>
            <w:tcW w:w="1360" w:type="dxa"/>
            <w:tcBorders>
              <w:top w:val="single" w:sz="4" w:space="0" w:color="000000"/>
              <w:left w:val="nil"/>
              <w:bottom w:val="single" w:sz="4" w:space="0" w:color="000000"/>
              <w:right w:val="single" w:sz="4" w:space="0" w:color="000000"/>
            </w:tcBorders>
            <w:shd w:val="clear" w:color="auto" w:fill="auto"/>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3 751</w:t>
            </w:r>
          </w:p>
        </w:tc>
        <w:tc>
          <w:tcPr>
            <w:tcW w:w="1500" w:type="dxa"/>
            <w:tcBorders>
              <w:top w:val="single" w:sz="4" w:space="0" w:color="000000"/>
              <w:left w:val="nil"/>
              <w:bottom w:val="single" w:sz="4" w:space="0" w:color="000000"/>
              <w:right w:val="single" w:sz="4" w:space="0" w:color="000000"/>
            </w:tcBorders>
            <w:shd w:val="clear" w:color="auto" w:fill="auto"/>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0 </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22 169</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83,1 %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Кипър</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5 984</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0 </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0 </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5 984</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100,0 %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Чехия</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54 001</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39 397</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2 863</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96 261</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56,1 %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Дания</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4 199</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806</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49</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5 054</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83,1 %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Естония</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1 858</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152</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271</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2 281</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81,5 %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Финландия</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7 408</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2 102</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2 550</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12 060</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61,4 %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Франция</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220 388</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392 088</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0 </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612 476</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36,0 %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Германия</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735 289</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475 644</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36 573</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1 247 506</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58,9 %</w:t>
            </w:r>
          </w:p>
        </w:tc>
      </w:tr>
      <w:tr>
        <w:trPr>
          <w:trHeight w:val="300"/>
          <w:jc w:val="center"/>
        </w:trPr>
        <w:tc>
          <w:tcPr>
            <w:tcW w:w="1800" w:type="dxa"/>
            <w:tcBorders>
              <w:top w:val="nil"/>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Гърция</w:t>
            </w:r>
          </w:p>
        </w:tc>
        <w:tc>
          <w:tcPr>
            <w:tcW w:w="1280" w:type="dxa"/>
            <w:tcBorders>
              <w:top w:val="single" w:sz="4" w:space="0" w:color="000000"/>
              <w:left w:val="single" w:sz="4" w:space="0" w:color="000000"/>
              <w:bottom w:val="single" w:sz="2" w:space="0" w:color="auto"/>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204</w:t>
            </w:r>
          </w:p>
        </w:tc>
        <w:tc>
          <w:tcPr>
            <w:tcW w:w="1360" w:type="dxa"/>
            <w:tcBorders>
              <w:top w:val="single" w:sz="4" w:space="0" w:color="000000"/>
              <w:left w:val="nil"/>
              <w:bottom w:val="single" w:sz="2" w:space="0" w:color="auto"/>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156</w:t>
            </w:r>
          </w:p>
        </w:tc>
        <w:tc>
          <w:tcPr>
            <w:tcW w:w="1500" w:type="dxa"/>
            <w:tcBorders>
              <w:top w:val="single" w:sz="4" w:space="0" w:color="000000"/>
              <w:left w:val="nil"/>
              <w:bottom w:val="single" w:sz="2" w:space="0" w:color="auto"/>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0 </w:t>
            </w:r>
          </w:p>
        </w:tc>
        <w:tc>
          <w:tcPr>
            <w:tcW w:w="1106" w:type="dxa"/>
            <w:tcBorders>
              <w:top w:val="single" w:sz="4" w:space="0" w:color="000000"/>
              <w:left w:val="nil"/>
              <w:bottom w:val="single" w:sz="2" w:space="0" w:color="auto"/>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360</w:t>
            </w:r>
          </w:p>
        </w:tc>
        <w:tc>
          <w:tcPr>
            <w:tcW w:w="1240" w:type="dxa"/>
            <w:tcBorders>
              <w:top w:val="single" w:sz="4" w:space="0" w:color="000000"/>
              <w:left w:val="nil"/>
              <w:bottom w:val="single" w:sz="2" w:space="0" w:color="auto"/>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56,7 %</w:t>
            </w:r>
          </w:p>
        </w:tc>
      </w:tr>
      <w:tr>
        <w:trPr>
          <w:trHeight w:val="300"/>
          <w:jc w:val="center"/>
        </w:trPr>
        <w:tc>
          <w:tcPr>
            <w:tcW w:w="1800" w:type="dxa"/>
            <w:tcBorders>
              <w:top w:val="single" w:sz="4" w:space="0" w:color="auto"/>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Унгария</w:t>
            </w:r>
          </w:p>
        </w:tc>
        <w:tc>
          <w:tcPr>
            <w:tcW w:w="1280" w:type="dxa"/>
            <w:tcBorders>
              <w:top w:val="single" w:sz="2" w:space="0" w:color="auto"/>
              <w:left w:val="single" w:sz="8" w:space="0" w:color="auto"/>
              <w:bottom w:val="single" w:sz="2" w:space="0" w:color="auto"/>
              <w:right w:val="single" w:sz="2" w:space="0" w:color="auto"/>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148 164</w:t>
            </w:r>
          </w:p>
        </w:tc>
        <w:tc>
          <w:tcPr>
            <w:tcW w:w="1360" w:type="dxa"/>
            <w:tcBorders>
              <w:top w:val="single" w:sz="2" w:space="0" w:color="auto"/>
              <w:left w:val="single" w:sz="2" w:space="0" w:color="auto"/>
              <w:bottom w:val="single" w:sz="2" w:space="0" w:color="auto"/>
              <w:right w:val="single" w:sz="2" w:space="0" w:color="auto"/>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51 517</w:t>
            </w:r>
          </w:p>
        </w:tc>
        <w:tc>
          <w:tcPr>
            <w:tcW w:w="1500" w:type="dxa"/>
            <w:tcBorders>
              <w:top w:val="single" w:sz="2" w:space="0" w:color="auto"/>
              <w:left w:val="single" w:sz="2" w:space="0" w:color="auto"/>
              <w:bottom w:val="single" w:sz="2" w:space="0" w:color="auto"/>
              <w:right w:val="single" w:sz="2" w:space="0" w:color="auto"/>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2 642</w:t>
            </w:r>
          </w:p>
        </w:tc>
        <w:tc>
          <w:tcPr>
            <w:tcW w:w="1106" w:type="dxa"/>
            <w:tcBorders>
              <w:top w:val="single" w:sz="2" w:space="0" w:color="auto"/>
              <w:left w:val="single" w:sz="2" w:space="0" w:color="auto"/>
              <w:bottom w:val="single" w:sz="2" w:space="0" w:color="auto"/>
              <w:right w:val="single" w:sz="2" w:space="0" w:color="auto"/>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202 323</w:t>
            </w:r>
          </w:p>
        </w:tc>
        <w:tc>
          <w:tcPr>
            <w:tcW w:w="1240" w:type="dxa"/>
            <w:tcBorders>
              <w:top w:val="single" w:sz="2" w:space="0" w:color="auto"/>
              <w:left w:val="single" w:sz="2" w:space="0" w:color="auto"/>
              <w:bottom w:val="single" w:sz="2" w:space="0" w:color="auto"/>
              <w:right w:val="single" w:sz="2" w:space="0" w:color="auto"/>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73,2 %</w:t>
            </w:r>
          </w:p>
        </w:tc>
      </w:tr>
      <w:tr>
        <w:trPr>
          <w:trHeight w:val="300"/>
          <w:jc w:val="center"/>
        </w:trPr>
        <w:tc>
          <w:tcPr>
            <w:tcW w:w="1800" w:type="dxa"/>
            <w:tcBorders>
              <w:top w:val="single" w:sz="2"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Ирландия</w:t>
            </w:r>
          </w:p>
        </w:tc>
        <w:tc>
          <w:tcPr>
            <w:tcW w:w="1280" w:type="dxa"/>
            <w:tcBorders>
              <w:top w:val="single" w:sz="2" w:space="0" w:color="auto"/>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24 539</w:t>
            </w:r>
          </w:p>
        </w:tc>
        <w:tc>
          <w:tcPr>
            <w:tcW w:w="1360" w:type="dxa"/>
            <w:tcBorders>
              <w:top w:val="single" w:sz="2" w:space="0" w:color="auto"/>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2 953</w:t>
            </w:r>
          </w:p>
        </w:tc>
        <w:tc>
          <w:tcPr>
            <w:tcW w:w="1500" w:type="dxa"/>
            <w:tcBorders>
              <w:top w:val="single" w:sz="2" w:space="0" w:color="auto"/>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w:t>
            </w:r>
          </w:p>
        </w:tc>
        <w:tc>
          <w:tcPr>
            <w:tcW w:w="1106" w:type="dxa"/>
            <w:tcBorders>
              <w:top w:val="single" w:sz="2" w:space="0" w:color="auto"/>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27 501</w:t>
            </w:r>
          </w:p>
        </w:tc>
        <w:tc>
          <w:tcPr>
            <w:tcW w:w="1240" w:type="dxa"/>
            <w:tcBorders>
              <w:top w:val="single" w:sz="2" w:space="0" w:color="auto"/>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89,2 %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Италия</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4 480</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954</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12</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5 446</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82,3 %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Латвия</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5 491</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2 908</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405</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8 804</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62,4 %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Литва</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35 081</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9 137</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6 020</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50 238</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69,8 %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Люксембург</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303</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1 726</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78</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2 107</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14,4 %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Малта</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6 277</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28</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0 </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6 305</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99,6 %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Нидерландия</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7 816</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2 993</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180</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10 989</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71,1 %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Полша</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374 840</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158 367</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225 207</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758 414</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49,4 %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Португалия</w:t>
            </w:r>
          </w:p>
        </w:tc>
        <w:tc>
          <w:tcPr>
            <w:tcW w:w="1280" w:type="dxa"/>
            <w:tcBorders>
              <w:top w:val="nil"/>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935</w:t>
            </w:r>
          </w:p>
        </w:tc>
        <w:tc>
          <w:tcPr>
            <w:tcW w:w="1360"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27</w:t>
            </w:r>
          </w:p>
        </w:tc>
        <w:tc>
          <w:tcPr>
            <w:tcW w:w="1500"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0 </w:t>
            </w:r>
          </w:p>
        </w:tc>
        <w:tc>
          <w:tcPr>
            <w:tcW w:w="1106"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962</w:t>
            </w:r>
          </w:p>
        </w:tc>
        <w:tc>
          <w:tcPr>
            <w:tcW w:w="1240"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97,2 %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Румъния</w:t>
            </w:r>
          </w:p>
        </w:tc>
        <w:tc>
          <w:tcPr>
            <w:tcW w:w="1280" w:type="dxa"/>
            <w:tcBorders>
              <w:top w:val="nil"/>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18 686</w:t>
            </w:r>
          </w:p>
        </w:tc>
        <w:tc>
          <w:tcPr>
            <w:tcW w:w="1360"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513</w:t>
            </w:r>
          </w:p>
        </w:tc>
        <w:tc>
          <w:tcPr>
            <w:tcW w:w="1500"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336</w:t>
            </w:r>
          </w:p>
        </w:tc>
        <w:tc>
          <w:tcPr>
            <w:tcW w:w="1106"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19 535</w:t>
            </w:r>
          </w:p>
        </w:tc>
        <w:tc>
          <w:tcPr>
            <w:tcW w:w="1240"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95,7 %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Словакия</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14 923</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8 659</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0 </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23 582</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63,3 %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Словения</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4 271</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1 028</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103</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5 402</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79,1 %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Испания</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316 637</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28 983</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0 </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345 620</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91,6 %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Швеция</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37 658</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6 727</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326</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44 711</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84,2 %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Обединено кралство</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131 402</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122 409</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6 215</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260 026</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bCs/>
                <w:noProof/>
                <w:sz w:val="24"/>
                <w:szCs w:val="24"/>
              </w:rPr>
              <w:t>50,5 %</w:t>
            </w:r>
          </w:p>
        </w:tc>
      </w:tr>
      <w:tr>
        <w:trPr>
          <w:trHeight w:val="315"/>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Общо</w:t>
            </w:r>
          </w:p>
        </w:tc>
        <w:tc>
          <w:tcPr>
            <w:tcW w:w="1280" w:type="dxa"/>
            <w:tcBorders>
              <w:top w:val="single" w:sz="4" w:space="0" w:color="000000"/>
              <w:left w:val="single" w:sz="4" w:space="0" w:color="000000"/>
              <w:bottom w:val="single" w:sz="4" w:space="0" w:color="auto"/>
              <w:right w:val="single" w:sz="4" w:space="0" w:color="000000"/>
            </w:tcBorders>
            <w:shd w:val="clear" w:color="FFFFFF" w:fill="FFFFFF"/>
            <w:noWrap/>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2 297 213</w:t>
            </w:r>
          </w:p>
        </w:tc>
        <w:tc>
          <w:tcPr>
            <w:tcW w:w="1360"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1 356 324</w:t>
            </w:r>
          </w:p>
        </w:tc>
        <w:tc>
          <w:tcPr>
            <w:tcW w:w="1500"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327 363</w:t>
            </w:r>
          </w:p>
        </w:tc>
        <w:tc>
          <w:tcPr>
            <w:tcW w:w="1106"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noProof/>
                <w:sz w:val="24"/>
                <w:szCs w:val="24"/>
              </w:rPr>
              <w:t>3 980 900</w:t>
            </w:r>
          </w:p>
        </w:tc>
        <w:tc>
          <w:tcPr>
            <w:tcW w:w="1240"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57,7 %</w:t>
            </w:r>
          </w:p>
        </w:tc>
      </w:tr>
      <w:tr>
        <w:trPr>
          <w:trHeight w:val="315"/>
          <w:jc w:val="center"/>
        </w:trPr>
        <w:tc>
          <w:tcPr>
            <w:tcW w:w="1800" w:type="dxa"/>
            <w:tcBorders>
              <w:top w:val="single" w:sz="4" w:space="0" w:color="auto"/>
              <w:left w:val="single" w:sz="8" w:space="0" w:color="auto"/>
              <w:bottom w:val="single" w:sz="4"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color w:val="FF0000"/>
                <w:sz w:val="24"/>
                <w:szCs w:val="24"/>
              </w:rPr>
              <w:t>Швейцария</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Cs/>
                <w:noProof/>
                <w:color w:val="000000"/>
                <w:sz w:val="24"/>
                <w:szCs w:val="24"/>
              </w:rPr>
            </w:pPr>
            <w:r>
              <w:rPr>
                <w:rFonts w:ascii="Times New Roman" w:hAnsi="Times New Roman"/>
                <w:noProof/>
                <w:sz w:val="24"/>
                <w:szCs w:val="24"/>
              </w:rPr>
              <w:t>85 873</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Cs/>
                <w:noProof/>
                <w:color w:val="000000"/>
                <w:sz w:val="24"/>
                <w:szCs w:val="24"/>
              </w:rPr>
            </w:pPr>
            <w:r>
              <w:rPr>
                <w:rFonts w:ascii="Times New Roman" w:hAnsi="Times New Roman"/>
                <w:noProof/>
                <w:sz w:val="24"/>
                <w:szCs w:val="24"/>
              </w:rPr>
              <w:t>91 914</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Cs/>
                <w:noProof/>
                <w:color w:val="000000"/>
                <w:sz w:val="24"/>
                <w:szCs w:val="24"/>
              </w:rPr>
            </w:pPr>
            <w:r>
              <w:rPr>
                <w:rFonts w:ascii="Times New Roman" w:hAnsi="Times New Roman"/>
                <w:noProof/>
                <w:sz w:val="24"/>
                <w:szCs w:val="24"/>
              </w:rPr>
              <w:t>3 935</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hAnsi="Times New Roman" w:cs="Times New Roman"/>
                <w:noProof/>
                <w:color w:val="000000"/>
                <w:sz w:val="24"/>
                <w:szCs w:val="24"/>
              </w:rPr>
            </w:pPr>
            <w:r>
              <w:rPr>
                <w:rFonts w:ascii="Times New Roman" w:hAnsi="Times New Roman"/>
                <w:bCs/>
                <w:noProof/>
                <w:sz w:val="24"/>
                <w:szCs w:val="24"/>
              </w:rPr>
              <w:t>181 722</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Cs/>
                <w:noProof/>
                <w:color w:val="000000"/>
                <w:sz w:val="24"/>
                <w:szCs w:val="24"/>
              </w:rPr>
            </w:pPr>
            <w:r>
              <w:rPr>
                <w:rFonts w:ascii="Times New Roman" w:hAnsi="Times New Roman"/>
                <w:bCs/>
                <w:noProof/>
                <w:sz w:val="24"/>
                <w:szCs w:val="24"/>
              </w:rPr>
              <w:t>47,3 %</w:t>
            </w:r>
          </w:p>
        </w:tc>
      </w:tr>
      <w:tr>
        <w:trPr>
          <w:trHeight w:val="315"/>
          <w:jc w:val="center"/>
        </w:trPr>
        <w:tc>
          <w:tcPr>
            <w:tcW w:w="1800" w:type="dxa"/>
            <w:tcBorders>
              <w:top w:val="single" w:sz="4" w:space="0" w:color="auto"/>
              <w:left w:val="single" w:sz="8" w:space="0" w:color="auto"/>
              <w:bottom w:val="single" w:sz="8"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 xml:space="preserve">Общо </w:t>
            </w:r>
          </w:p>
        </w:tc>
        <w:tc>
          <w:tcPr>
            <w:tcW w:w="1280" w:type="dxa"/>
            <w:tcBorders>
              <w:top w:val="single" w:sz="4" w:space="0" w:color="auto"/>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2 383 086</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1 448 238</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331 298</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hAnsi="Times New Roman" w:cs="Times New Roman"/>
                <w:b/>
                <w:noProof/>
                <w:color w:val="000000"/>
                <w:sz w:val="24"/>
                <w:szCs w:val="24"/>
              </w:rPr>
            </w:pPr>
            <w:r>
              <w:rPr>
                <w:rFonts w:ascii="Times New Roman" w:hAnsi="Times New Roman"/>
                <w:b/>
                <w:noProof/>
                <w:sz w:val="24"/>
                <w:szCs w:val="24"/>
              </w:rPr>
              <w:t>4 162 622</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57,2 %</w:t>
            </w:r>
          </w:p>
        </w:tc>
      </w:tr>
    </w:tbl>
    <w:p>
      <w:pPr>
        <w:pStyle w:val="Heading2"/>
        <w:rPr>
          <w:noProof/>
        </w:rPr>
      </w:pPr>
    </w:p>
    <w:p>
      <w:pPr>
        <w:pStyle w:val="Heading2"/>
        <w:rPr>
          <w:noProof/>
        </w:rPr>
      </w:pPr>
      <w:bookmarkStart w:id="9" w:name="_Toc33780459"/>
      <w:r>
        <w:rPr>
          <w:noProof/>
        </w:rPr>
        <w:t>5.3.</w:t>
      </w:r>
      <w:r>
        <w:rPr>
          <w:noProof/>
        </w:rPr>
        <w:tab/>
        <w:t>Брой на спрените от движение превозни средства</w:t>
      </w:r>
      <w:bookmarkEnd w:id="9"/>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сравнение с периода на докладване 2015—2016 г., през периода на докладване 2017—2018 г. бяха спрени от движение с 99 617 </w:t>
      </w:r>
      <w:r>
        <w:rPr>
          <w:rFonts w:ascii="Times New Roman" w:hAnsi="Times New Roman"/>
          <w:b/>
          <w:noProof/>
          <w:sz w:val="24"/>
          <w:szCs w:val="24"/>
        </w:rPr>
        <w:t>по-малко превозни средства</w:t>
      </w:r>
      <w:r>
        <w:rPr>
          <w:rFonts w:ascii="Times New Roman" w:hAnsi="Times New Roman"/>
          <w:noProof/>
          <w:sz w:val="24"/>
          <w:szCs w:val="24"/>
        </w:rPr>
        <w:t xml:space="preserve">, което представлява </w:t>
      </w:r>
      <w:r>
        <w:rPr>
          <w:rFonts w:ascii="Times New Roman" w:hAnsi="Times New Roman"/>
          <w:b/>
          <w:noProof/>
          <w:sz w:val="24"/>
          <w:szCs w:val="24"/>
        </w:rPr>
        <w:t>намаление с 24,7 %</w:t>
      </w:r>
      <w:r>
        <w:rPr>
          <w:rFonts w:ascii="Times New Roman" w:hAnsi="Times New Roman"/>
          <w:noProof/>
          <w:sz w:val="24"/>
          <w:szCs w:val="24"/>
        </w:rPr>
        <w:t xml:space="preserve">.  В таблица 3 по-долу е представена разбивка за всяка държава членка. Като се има предвид, че за същия период броят на проверените превозни средства също е намалял с 20,9 % в сравнение с периода 2015—2016 г., това може да е признак за липса на подобрение в метода за по-добро насочване.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center"/>
        <w:rPr>
          <w:rFonts w:ascii="Times New Roman" w:eastAsia="Times New Roman" w:hAnsi="Times New Roman"/>
          <w:noProof/>
          <w:sz w:val="24"/>
          <w:szCs w:val="24"/>
        </w:rPr>
      </w:pPr>
      <w:r>
        <w:rPr>
          <w:rFonts w:ascii="Times New Roman" w:hAnsi="Times New Roman"/>
          <w:b/>
          <w:noProof/>
          <w:sz w:val="24"/>
          <w:szCs w:val="24"/>
        </w:rPr>
        <w:t>Таблица 3: Спрени от движение превозни средства — сравнение между периода 2015—2016 г. и периода 2017—2018 г.</w:t>
      </w:r>
    </w:p>
    <w:tbl>
      <w:tblPr>
        <w:tblW w:w="8259" w:type="dxa"/>
        <w:jc w:val="center"/>
        <w:tblLook w:val="04A0" w:firstRow="1" w:lastRow="0" w:firstColumn="1" w:lastColumn="0" w:noHBand="0" w:noVBand="1"/>
      </w:tblPr>
      <w:tblGrid>
        <w:gridCol w:w="1939"/>
        <w:gridCol w:w="1476"/>
        <w:gridCol w:w="1466"/>
        <w:gridCol w:w="1874"/>
        <w:gridCol w:w="1874"/>
      </w:tblGrid>
      <w:tr>
        <w:trPr>
          <w:trHeight w:val="1170"/>
          <w:jc w:val="center"/>
        </w:trPr>
        <w:tc>
          <w:tcPr>
            <w:tcW w:w="1939" w:type="dxa"/>
            <w:tcBorders>
              <w:top w:val="single" w:sz="8" w:space="0" w:color="auto"/>
              <w:left w:val="single" w:sz="8" w:space="0" w:color="auto"/>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Докладваща държава членка (ДЧ)</w:t>
            </w:r>
          </w:p>
        </w:tc>
        <w:tc>
          <w:tcPr>
            <w:tcW w:w="1476"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Спрени от движение превозни средства през периода 2015—2016 г.</w:t>
            </w:r>
          </w:p>
        </w:tc>
        <w:tc>
          <w:tcPr>
            <w:tcW w:w="1466"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Спрени от движение превозни средства през периода 2017—2018 г.</w:t>
            </w:r>
          </w:p>
        </w:tc>
        <w:tc>
          <w:tcPr>
            <w:tcW w:w="1677"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Разлики между периода 2015—2016 г. и периода 2017—2018 г.</w:t>
            </w:r>
          </w:p>
        </w:tc>
        <w:tc>
          <w:tcPr>
            <w:tcW w:w="1701" w:type="dxa"/>
            <w:tcBorders>
              <w:top w:val="single" w:sz="8" w:space="0" w:color="auto"/>
              <w:left w:val="nil"/>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Разлика в % между периода 2015—2016 г. и периода 2017—2018 г.</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Aвстрия</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24 194</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25 180</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986</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4,1 %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Белгия</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691</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1 015</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324</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46,9 %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България</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1 646</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1 720</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74</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4,5 %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 xml:space="preserve">Хърватия </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2 548</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1 675</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-873</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-34,3 %</w:t>
            </w:r>
          </w:p>
        </w:tc>
      </w:tr>
      <w:tr>
        <w:trPr>
          <w:trHeight w:val="300"/>
          <w:jc w:val="center"/>
        </w:trPr>
        <w:tc>
          <w:tcPr>
            <w:tcW w:w="1939" w:type="dxa"/>
            <w:tcBorders>
              <w:top w:val="nil"/>
              <w:left w:val="single" w:sz="8" w:space="0" w:color="auto"/>
              <w:bottom w:val="single" w:sz="8"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Кипър</w:t>
            </w:r>
          </w:p>
        </w:tc>
        <w:tc>
          <w:tcPr>
            <w:tcW w:w="1476" w:type="dxa"/>
            <w:tcBorders>
              <w:top w:val="nil"/>
              <w:left w:val="nil"/>
              <w:bottom w:val="single" w:sz="8"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1 232</w:t>
            </w:r>
          </w:p>
        </w:tc>
        <w:tc>
          <w:tcPr>
            <w:tcW w:w="1466" w:type="dxa"/>
            <w:tcBorders>
              <w:top w:val="nil"/>
              <w:left w:val="nil"/>
              <w:bottom w:val="single" w:sz="8"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1 012</w:t>
            </w:r>
          </w:p>
        </w:tc>
        <w:tc>
          <w:tcPr>
            <w:tcW w:w="1677" w:type="dxa"/>
            <w:tcBorders>
              <w:top w:val="nil"/>
              <w:left w:val="nil"/>
              <w:bottom w:val="single" w:sz="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-220</w:t>
            </w:r>
          </w:p>
        </w:tc>
        <w:tc>
          <w:tcPr>
            <w:tcW w:w="1701" w:type="dxa"/>
            <w:tcBorders>
              <w:top w:val="nil"/>
              <w:left w:val="nil"/>
              <w:bottom w:val="single" w:sz="8"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-17,9 %</w:t>
            </w:r>
          </w:p>
        </w:tc>
      </w:tr>
      <w:tr>
        <w:trPr>
          <w:trHeight w:val="300"/>
          <w:jc w:val="center"/>
        </w:trPr>
        <w:tc>
          <w:tcPr>
            <w:tcW w:w="1939" w:type="dxa"/>
            <w:tcBorders>
              <w:top w:val="single" w:sz="8"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Чехия</w:t>
            </w:r>
          </w:p>
        </w:tc>
        <w:tc>
          <w:tcPr>
            <w:tcW w:w="1476"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375</w:t>
            </w:r>
          </w:p>
        </w:tc>
        <w:tc>
          <w:tcPr>
            <w:tcW w:w="1466"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7 620</w:t>
            </w:r>
          </w:p>
        </w:tc>
        <w:tc>
          <w:tcPr>
            <w:tcW w:w="1677"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7 245</w:t>
            </w:r>
          </w:p>
        </w:tc>
        <w:tc>
          <w:tcPr>
            <w:tcW w:w="1701" w:type="dxa"/>
            <w:tcBorders>
              <w:top w:val="single" w:sz="8"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1 932,0 %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Дания</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1 192</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1 292</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100</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8,4 %</w:t>
            </w:r>
          </w:p>
        </w:tc>
      </w:tr>
      <w:tr>
        <w:trPr>
          <w:trHeight w:val="300"/>
          <w:jc w:val="center"/>
        </w:trPr>
        <w:tc>
          <w:tcPr>
            <w:tcW w:w="193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Естония</w:t>
            </w:r>
          </w:p>
        </w:tc>
        <w:tc>
          <w:tcPr>
            <w:tcW w:w="1476" w:type="dxa"/>
            <w:tcBorders>
              <w:top w:val="single" w:sz="4" w:space="0" w:color="auto"/>
              <w:left w:val="single" w:sz="8"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2 636</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2 067</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-569</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-21,6 %</w:t>
            </w:r>
          </w:p>
        </w:tc>
      </w:tr>
      <w:tr>
        <w:trPr>
          <w:trHeight w:val="300"/>
          <w:jc w:val="center"/>
        </w:trPr>
        <w:tc>
          <w:tcPr>
            <w:tcW w:w="193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Финландия</w:t>
            </w:r>
          </w:p>
        </w:tc>
        <w:tc>
          <w:tcPr>
            <w:tcW w:w="1476" w:type="dxa"/>
            <w:tcBorders>
              <w:top w:val="single" w:sz="4" w:space="0" w:color="auto"/>
              <w:left w:val="single" w:sz="8"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163</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5 384</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5 221</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3 203,1 %</w:t>
            </w:r>
          </w:p>
        </w:tc>
      </w:tr>
      <w:tr>
        <w:trPr>
          <w:trHeight w:val="300"/>
          <w:jc w:val="center"/>
        </w:trPr>
        <w:tc>
          <w:tcPr>
            <w:tcW w:w="193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Франция</w:t>
            </w:r>
          </w:p>
        </w:tc>
        <w:tc>
          <w:tcPr>
            <w:tcW w:w="1476" w:type="dxa"/>
            <w:tcBorders>
              <w:top w:val="single" w:sz="4" w:space="0" w:color="auto"/>
              <w:left w:val="single" w:sz="8"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103 720</w:t>
            </w:r>
          </w:p>
        </w:tc>
        <w:tc>
          <w:tcPr>
            <w:tcW w:w="1466"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49 592</w:t>
            </w:r>
          </w:p>
        </w:tc>
        <w:tc>
          <w:tcPr>
            <w:tcW w:w="167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-54 128</w:t>
            </w:r>
          </w:p>
        </w:tc>
        <w:tc>
          <w:tcPr>
            <w:tcW w:w="1701"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-52,2 %</w:t>
            </w:r>
          </w:p>
        </w:tc>
      </w:tr>
      <w:tr>
        <w:trPr>
          <w:trHeight w:val="300"/>
          <w:jc w:val="center"/>
        </w:trPr>
        <w:tc>
          <w:tcPr>
            <w:tcW w:w="193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Германия</w:t>
            </w:r>
          </w:p>
        </w:tc>
        <w:tc>
          <w:tcPr>
            <w:tcW w:w="1476" w:type="dxa"/>
            <w:tcBorders>
              <w:top w:val="single" w:sz="4" w:space="0" w:color="auto"/>
              <w:left w:val="single" w:sz="8"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26 768</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26 912</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-469</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-1,7 %</w:t>
            </w:r>
          </w:p>
        </w:tc>
      </w:tr>
      <w:tr>
        <w:trPr>
          <w:trHeight w:val="300"/>
          <w:jc w:val="center"/>
        </w:trPr>
        <w:tc>
          <w:tcPr>
            <w:tcW w:w="193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Гърция</w:t>
            </w:r>
          </w:p>
        </w:tc>
        <w:tc>
          <w:tcPr>
            <w:tcW w:w="1476"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71</w:t>
            </w:r>
          </w:p>
        </w:tc>
        <w:tc>
          <w:tcPr>
            <w:tcW w:w="1466"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12</w:t>
            </w:r>
          </w:p>
        </w:tc>
        <w:tc>
          <w:tcPr>
            <w:tcW w:w="167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-59</w:t>
            </w:r>
          </w:p>
        </w:tc>
        <w:tc>
          <w:tcPr>
            <w:tcW w:w="1701"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-83,1 %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Унгария</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8 388</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8 830</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442</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5,3 %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Ирландия</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1 909</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1 420</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930</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189,8 %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Италия</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2 923</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2 864</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-59</w:t>
            </w:r>
          </w:p>
        </w:tc>
        <w:tc>
          <w:tcPr>
            <w:tcW w:w="1701"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-2,0 %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Латвия</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61</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833</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772</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1 265,6 %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Литва</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311</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1 371</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1 060</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340,8 %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Люксембург</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12</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34</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22</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183,3 %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Малта</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3 674</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3 172</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-502</w:t>
            </w:r>
          </w:p>
        </w:tc>
        <w:tc>
          <w:tcPr>
            <w:tcW w:w="1701"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-13,7 %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Нидерландия</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172</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1 004</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832</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483,7 %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Полша</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38 374</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34 017</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-4 357</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-11,4 %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Португалия</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776</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-768</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-99,0 %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Румъния</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3 825</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1 804</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-2 021</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-52,8 %</w:t>
            </w:r>
          </w:p>
        </w:tc>
      </w:tr>
      <w:tr>
        <w:trPr>
          <w:trHeight w:val="300"/>
          <w:jc w:val="center"/>
        </w:trPr>
        <w:tc>
          <w:tcPr>
            <w:tcW w:w="193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Словакия</w:t>
            </w:r>
          </w:p>
        </w:tc>
        <w:tc>
          <w:tcPr>
            <w:tcW w:w="1476" w:type="dxa"/>
            <w:tcBorders>
              <w:top w:val="single" w:sz="4" w:space="0" w:color="auto"/>
              <w:left w:val="single" w:sz="8"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5 955</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4 575</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-1 380</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-23,2 %</w:t>
            </w:r>
          </w:p>
        </w:tc>
      </w:tr>
      <w:tr>
        <w:trPr>
          <w:trHeight w:val="300"/>
          <w:jc w:val="center"/>
        </w:trPr>
        <w:tc>
          <w:tcPr>
            <w:tcW w:w="193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Словения</w:t>
            </w:r>
          </w:p>
        </w:tc>
        <w:tc>
          <w:tcPr>
            <w:tcW w:w="1476" w:type="dxa"/>
            <w:tcBorders>
              <w:top w:val="single" w:sz="4" w:space="0" w:color="auto"/>
              <w:left w:val="single" w:sz="8"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109</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154</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45</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41,3 %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Испания</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57 239</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60 546</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3 307</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5,8 %</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Швеция</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42 087</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1 827</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-40 260</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-95,7 %</w:t>
            </w:r>
          </w:p>
        </w:tc>
      </w:tr>
      <w:tr>
        <w:trPr>
          <w:trHeight w:val="315"/>
          <w:jc w:val="center"/>
        </w:trPr>
        <w:tc>
          <w:tcPr>
            <w:tcW w:w="1939" w:type="dxa"/>
            <w:tcBorders>
              <w:top w:val="single" w:sz="4" w:space="0" w:color="auto"/>
              <w:left w:val="single" w:sz="8" w:space="0" w:color="000000"/>
              <w:bottom w:val="single" w:sz="4" w:space="0" w:color="auto"/>
              <w:right w:val="single" w:sz="8" w:space="0" w:color="000000"/>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Обединено кралство</w:t>
            </w:r>
          </w:p>
        </w:tc>
        <w:tc>
          <w:tcPr>
            <w:tcW w:w="1476" w:type="dxa"/>
            <w:tcBorders>
              <w:top w:val="single" w:sz="4" w:space="0" w:color="auto"/>
              <w:left w:val="single" w:sz="8" w:space="0" w:color="000000"/>
              <w:bottom w:val="single" w:sz="12"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72 886</w:t>
            </w:r>
          </w:p>
        </w:tc>
        <w:tc>
          <w:tcPr>
            <w:tcW w:w="1466" w:type="dxa"/>
            <w:tcBorders>
              <w:top w:val="single" w:sz="4" w:space="0" w:color="auto"/>
              <w:left w:val="single" w:sz="4" w:space="0" w:color="auto"/>
              <w:bottom w:val="single" w:sz="12"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58 380</w:t>
            </w:r>
          </w:p>
        </w:tc>
        <w:tc>
          <w:tcPr>
            <w:tcW w:w="1677"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-14 506</w:t>
            </w:r>
          </w:p>
        </w:tc>
        <w:tc>
          <w:tcPr>
            <w:tcW w:w="1701" w:type="dxa"/>
            <w:tcBorders>
              <w:top w:val="single" w:sz="4" w:space="0" w:color="auto"/>
              <w:left w:val="single" w:sz="4" w:space="0" w:color="auto"/>
              <w:bottom w:val="single" w:sz="12"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-19,9 %</w:t>
            </w:r>
          </w:p>
        </w:tc>
      </w:tr>
      <w:tr>
        <w:trPr>
          <w:trHeight w:val="315"/>
          <w:jc w:val="center"/>
        </w:trPr>
        <w:tc>
          <w:tcPr>
            <w:tcW w:w="1939"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Общо</w:t>
            </w:r>
          </w:p>
        </w:tc>
        <w:tc>
          <w:tcPr>
            <w:tcW w:w="1476" w:type="dxa"/>
            <w:tcBorders>
              <w:top w:val="single" w:sz="12" w:space="0" w:color="auto"/>
              <w:left w:val="nil"/>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noProof/>
                <w:color w:val="000000"/>
                <w:sz w:val="24"/>
                <w:szCs w:val="24"/>
              </w:rPr>
            </w:pPr>
            <w:r>
              <w:rPr>
                <w:rFonts w:ascii="Times New Roman" w:hAnsi="Times New Roman"/>
                <w:b/>
                <w:noProof/>
                <w:sz w:val="24"/>
                <w:szCs w:val="24"/>
              </w:rPr>
              <w:t>403 937</w:t>
            </w:r>
          </w:p>
        </w:tc>
        <w:tc>
          <w:tcPr>
            <w:tcW w:w="1466" w:type="dxa"/>
            <w:tcBorders>
              <w:top w:val="single" w:sz="12" w:space="0" w:color="auto"/>
              <w:left w:val="nil"/>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noProof/>
                <w:color w:val="000000"/>
                <w:sz w:val="24"/>
                <w:szCs w:val="24"/>
              </w:rPr>
            </w:pPr>
            <w:r>
              <w:rPr>
                <w:rFonts w:ascii="Times New Roman" w:hAnsi="Times New Roman"/>
                <w:b/>
                <w:noProof/>
                <w:sz w:val="24"/>
                <w:szCs w:val="24"/>
              </w:rPr>
              <w:t>304 320</w:t>
            </w:r>
          </w:p>
        </w:tc>
        <w:tc>
          <w:tcPr>
            <w:tcW w:w="1677" w:type="dxa"/>
            <w:tcBorders>
              <w:top w:val="single" w:sz="12" w:space="0" w:color="auto"/>
              <w:left w:val="nil"/>
              <w:bottom w:val="single" w:sz="8"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noProof/>
                <w:color w:val="000000"/>
                <w:sz w:val="24"/>
                <w:szCs w:val="24"/>
              </w:rPr>
            </w:pPr>
            <w:r>
              <w:rPr>
                <w:rFonts w:ascii="Times New Roman" w:hAnsi="Times New Roman"/>
                <w:b/>
                <w:noProof/>
                <w:sz w:val="24"/>
                <w:szCs w:val="24"/>
              </w:rPr>
              <w:t>-99 617</w:t>
            </w:r>
          </w:p>
        </w:tc>
        <w:tc>
          <w:tcPr>
            <w:tcW w:w="1701" w:type="dxa"/>
            <w:tcBorders>
              <w:top w:val="single" w:sz="12" w:space="0" w:color="auto"/>
              <w:left w:val="nil"/>
              <w:bottom w:val="single" w:sz="8" w:space="0" w:color="auto"/>
              <w:right w:val="single" w:sz="8"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noProof/>
                <w:color w:val="000000"/>
                <w:sz w:val="24"/>
                <w:szCs w:val="24"/>
              </w:rPr>
            </w:pPr>
            <w:r>
              <w:rPr>
                <w:rFonts w:ascii="Times New Roman" w:hAnsi="Times New Roman"/>
                <w:b/>
                <w:noProof/>
                <w:sz w:val="24"/>
                <w:szCs w:val="24"/>
              </w:rPr>
              <w:t>-24,7 %</w:t>
            </w:r>
          </w:p>
        </w:tc>
      </w:tr>
    </w:tbl>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Четиринадесет държави членки са отчели увеличение на броя на спрените от движение превозни средства през периода на докладване 2017—2018 г. в сравнение с периода на докладване 2015—2016 г. Процентът на увеличение варира от 4,1 % за Австрия до приблизително 3203 % за Финландия, вероятно поради подход, основан в по-голяма степен на риска. Други държави членки, отчели значителни увеличения, са Чехия (1932,0 %), Латвия (1265,6 %), Нидерландия (483,7 %) и Литва (340,8 %).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Ако тези увеличения се съпоставят със съответната промяна в броя на проверките за конкретните държави членки (с изключение на Литва, която отбелязва спад с 28,8 %), става видно, че Финландия, Чехия, Латвия и Нидерландия са отчели увеличение на броя на проверките съответно с 43,7 %, 8,9 %, 1,8 % и 63,8 %. Поради това от тези данни е видно, че Литва трябва най-малкото да е променила своята политика за проверки въз основа на подход, основан на риска, който да доведе до увеличен брой на наложените спирания от движение.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От друга страна, четиринадесет държави членки отбелязват спад в броя на отчетените спрени от движение превозни средства — от намаление с 1,7 % за Германия до намаление с 99,0 % за Португалия, която за текущия период на докладване е отчела само 8 спрени от движение превозни средства, в сравнение със 776 за периода на докладване 2015—2016 г.</w:t>
      </w:r>
    </w:p>
    <w:p>
      <w:pPr>
        <w:spacing w:before="120" w:after="120" w:line="240" w:lineRule="auto"/>
        <w:jc w:val="both"/>
        <w:rPr>
          <w:rFonts w:ascii="Times New Roman" w:eastAsia="Times New Roman" w:hAnsi="Times New Roman"/>
          <w:noProof/>
          <w:sz w:val="24"/>
          <w:szCs w:val="24"/>
        </w:rPr>
      </w:pPr>
    </w:p>
    <w:p>
      <w:pPr>
        <w:pStyle w:val="Heading2"/>
        <w:rPr>
          <w:noProof/>
        </w:rPr>
      </w:pPr>
      <w:bookmarkStart w:id="10" w:name="_Toc33780460"/>
      <w:r>
        <w:rPr>
          <w:noProof/>
        </w:rPr>
        <w:t>5.4.</w:t>
      </w:r>
      <w:r>
        <w:rPr>
          <w:noProof/>
        </w:rPr>
        <w:tab/>
        <w:t>Произход на спрените от движение превозни средства</w:t>
      </w:r>
      <w:bookmarkEnd w:id="10"/>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 таблица 4 са обобщени данните, предоставени от държавите членки, и се посочва, че делът на спрените от движение местни превозни средства варира от 0,9 % в Португалия, 1,1 % в България, 1,3 % в Германия и 2,3 % в Словения до над 50 % в Австрия, Естония, Италия и Малта. Делът на спрените от движение превозни средства от ЕС (с изключение на тези от докладващата държава членка) варира от 1,4 % в Люксембург, 1,8 % в България, 2,1 % в Полша до над 50 % в Австрия и Естония. Следва да се отбележи, че делът на спрените от движение местни превозни средства в Естония е над 90 %, като причината за това е методологията за събиране на данни, докато общият дял на спрените от движение местни превозни средства във всички държави членки е 8,1 %, което представлява слабо увеличение спрямо цифрата от 7,9 % за периода на докладване 2015—2016 г.</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При разглеждането на разликите между дела на спрените от движение местни превозни средства и дела на спрените превозни средства, регистрирани в друга държава членка, шест държави членки, а именно Австрия, Белгия, Германия, Люксембург, Обединеното кралство и Франция представиха данни, които предполагат, че превозните средства, регистрирани в друга държава членка, отговарят на по-високи стандарти за техническа изправност, тъй като са докладвани повече спрени от движение превозни средства. Държавите членки, в които се наблюдава разлика в дела на спрените от движение местни превозни средства, по-голяма от 10 %, са Дания (13,7 %), Естония (23,9 %), Италия (39,2 %), Малта (36,2 %) и Испания (13 %). От друга страна, единствената държава членка, в която се наблюдава разлика от около 10 % в дела на спрените от движение превозни средства, регистрирани в друга държава членка, е Обединеното кралство (9,2 %).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Средният дял на спрените от движение превозни средства от ЕС (с изключение на местните превозни средства) в 28-те държави членки е 7,6 %, което представлява намаление спрямо цифрата от 9 %, посочена за периода на докладване 2015—2016 г.</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Кипър не е извършил никакви проверки на превозни средства от други държави от ЕС, което вероятно се дължи на географското му положение в Съюза. Португалия също не е съобщила данни за превозни средства от държави извън ЕС, така че делът на спрените от движение превозни средства от 7,6 % може да бъде диференциран, тъй като не включва данни от една държава членка. </w:t>
      </w:r>
    </w:p>
    <w:p>
      <w:pPr>
        <w:spacing w:before="120" w:after="120" w:line="240" w:lineRule="auto"/>
        <w:jc w:val="center"/>
        <w:rPr>
          <w:rFonts w:ascii="Times New Roman" w:eastAsia="Times New Roman" w:hAnsi="Times New Roman"/>
          <w:b/>
          <w:noProof/>
          <w:sz w:val="24"/>
          <w:szCs w:val="24"/>
        </w:rPr>
      </w:pPr>
    </w:p>
    <w:p>
      <w:pPr>
        <w:spacing w:before="120" w:after="120" w:line="240" w:lineRule="auto"/>
        <w:jc w:val="center"/>
        <w:rPr>
          <w:rFonts w:ascii="Times New Roman" w:eastAsia="Times New Roman" w:hAnsi="Times New Roman"/>
          <w:noProof/>
          <w:sz w:val="24"/>
          <w:szCs w:val="24"/>
        </w:rPr>
      </w:pPr>
      <w:r>
        <w:rPr>
          <w:rFonts w:ascii="Times New Roman" w:hAnsi="Times New Roman"/>
          <w:b/>
          <w:noProof/>
          <w:sz w:val="24"/>
          <w:szCs w:val="24"/>
        </w:rPr>
        <w:t>Таблица 4: Разбивка на спрените от движение превозни средства — местни спрямо регистрирани в друга ДЧ</w:t>
      </w:r>
    </w:p>
    <w:tbl>
      <w:tblPr>
        <w:tblW w:w="9555" w:type="dxa"/>
        <w:jc w:val="center"/>
        <w:tblLook w:val="04A0" w:firstRow="1" w:lastRow="0" w:firstColumn="1" w:lastColumn="0" w:noHBand="0" w:noVBand="1"/>
      </w:tblPr>
      <w:tblGrid>
        <w:gridCol w:w="1843"/>
        <w:gridCol w:w="1585"/>
        <w:gridCol w:w="1378"/>
        <w:gridCol w:w="1292"/>
        <w:gridCol w:w="1730"/>
        <w:gridCol w:w="1730"/>
        <w:gridCol w:w="1730"/>
      </w:tblGrid>
      <w:tr>
        <w:trPr>
          <w:trHeight w:val="315"/>
          <w:jc w:val="center"/>
        </w:trPr>
        <w:tc>
          <w:tcPr>
            <w:tcW w:w="1843"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c>
          <w:tcPr>
            <w:tcW w:w="3946" w:type="dxa"/>
            <w:gridSpan w:val="3"/>
            <w:tcBorders>
              <w:top w:val="single" w:sz="8" w:space="0" w:color="auto"/>
              <w:left w:val="single" w:sz="8" w:space="0" w:color="auto"/>
              <w:bottom w:val="single" w:sz="8" w:space="0" w:color="auto"/>
              <w:right w:val="single" w:sz="8" w:space="0" w:color="000000"/>
            </w:tcBorders>
            <w:shd w:val="clear" w:color="000000" w:fill="BFBFBF"/>
            <w:noWrap/>
            <w:vAlign w:val="bottom"/>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Спрени от движение местни превозни средства</w:t>
            </w:r>
          </w:p>
        </w:tc>
        <w:tc>
          <w:tcPr>
            <w:tcW w:w="3766" w:type="dxa"/>
            <w:gridSpan w:val="3"/>
            <w:tcBorders>
              <w:top w:val="single" w:sz="8" w:space="0" w:color="auto"/>
              <w:left w:val="nil"/>
              <w:bottom w:val="single" w:sz="8" w:space="0" w:color="auto"/>
              <w:right w:val="single" w:sz="8" w:space="0" w:color="000000"/>
            </w:tcBorders>
            <w:shd w:val="clear" w:color="000000" w:fill="BFBFBF"/>
            <w:noWrap/>
            <w:vAlign w:val="bottom"/>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Спрени от движение превозни средства от друга ДЧ</w:t>
            </w:r>
          </w:p>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(с изключение на тези от докладващата ДЧ)</w:t>
            </w:r>
          </w:p>
        </w:tc>
      </w:tr>
      <w:tr>
        <w:trPr>
          <w:trHeight w:val="615"/>
          <w:jc w:val="center"/>
        </w:trPr>
        <w:tc>
          <w:tcPr>
            <w:tcW w:w="1843" w:type="dxa"/>
            <w:tcBorders>
              <w:top w:val="single" w:sz="8" w:space="0" w:color="auto"/>
              <w:left w:val="single" w:sz="8" w:space="0" w:color="auto"/>
              <w:bottom w:val="single" w:sz="8" w:space="0" w:color="auto"/>
              <w:right w:val="single" w:sz="8" w:space="0" w:color="auto"/>
            </w:tcBorders>
            <w:shd w:val="clear" w:color="000000" w:fill="BFBFBF"/>
            <w:vAlign w:val="center"/>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Докладваща държава членка</w:t>
            </w:r>
          </w:p>
        </w:tc>
        <w:tc>
          <w:tcPr>
            <w:tcW w:w="1276" w:type="dxa"/>
            <w:tcBorders>
              <w:top w:val="nil"/>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Брой на проверените местни превозни средства</w:t>
            </w:r>
          </w:p>
        </w:tc>
        <w:tc>
          <w:tcPr>
            <w:tcW w:w="1378" w:type="dxa"/>
            <w:tcBorders>
              <w:top w:val="nil"/>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Брой на спрените от движение местни превозни средства</w:t>
            </w:r>
          </w:p>
        </w:tc>
        <w:tc>
          <w:tcPr>
            <w:tcW w:w="1292" w:type="dxa"/>
            <w:tcBorders>
              <w:top w:val="nil"/>
              <w:left w:val="nil"/>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Дял на спрените от движение местни превозни средства (%)</w:t>
            </w:r>
          </w:p>
        </w:tc>
        <w:tc>
          <w:tcPr>
            <w:tcW w:w="1096" w:type="dxa"/>
            <w:tcBorders>
              <w:top w:val="nil"/>
              <w:left w:val="nil"/>
              <w:bottom w:val="nil"/>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Брой на проверените превозни средства, регистрирани в ЕС</w:t>
            </w:r>
          </w:p>
        </w:tc>
        <w:tc>
          <w:tcPr>
            <w:tcW w:w="1378" w:type="dxa"/>
            <w:tcBorders>
              <w:top w:val="nil"/>
              <w:left w:val="nil"/>
              <w:bottom w:val="nil"/>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Брой на спрените от движение превозни средства, регистрирани в ЕС</w:t>
            </w:r>
          </w:p>
        </w:tc>
        <w:tc>
          <w:tcPr>
            <w:tcW w:w="1292" w:type="dxa"/>
            <w:tcBorders>
              <w:top w:val="nil"/>
              <w:left w:val="nil"/>
              <w:bottom w:val="nil"/>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Дял на спрените от движение превозни средства, регистрирани в ЕС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Aвстрия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16 667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10 297</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61,8 %</w:t>
            </w:r>
          </w:p>
        </w:tc>
        <w:tc>
          <w:tcPr>
            <w:tcW w:w="1096"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21 399</w:t>
            </w:r>
          </w:p>
        </w:tc>
        <w:tc>
          <w:tcPr>
            <w:tcW w:w="1378"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13 627</w:t>
            </w:r>
          </w:p>
        </w:tc>
        <w:tc>
          <w:tcPr>
            <w:tcW w:w="1292" w:type="dxa"/>
            <w:tcBorders>
              <w:top w:val="single" w:sz="8"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63,7 %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Белгия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3 825</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444</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11,6 %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7 118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542</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7,6 %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България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97 469</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1 111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1,1 %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14 782</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263</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1,8 %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Хърватия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18 418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1 502</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8,2 %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3 751</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173</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4,6 %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Кипър</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5 984</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1 012</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16,9 %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 xml:space="preserve">Няма налични данни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Чехия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54 001</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5 126</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9,5 %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39 397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2 362</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6,0 %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Дания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4 199</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1 167</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27,8 %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806</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114</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14,1 %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Естония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1 858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1 715</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92,3 %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152</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104</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68,4 %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Финландия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7 408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3 385</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45,7 %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2 102</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sz w:val="24"/>
                <w:szCs w:val="24"/>
              </w:rPr>
              <w:t xml:space="preserve">               730</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34,7 %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Франция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220 388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23 915</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10,9 %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392 088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25 677</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6,5 %</w:t>
            </w:r>
          </w:p>
        </w:tc>
      </w:tr>
      <w:tr>
        <w:trPr>
          <w:trHeight w:val="300"/>
          <w:jc w:val="center"/>
        </w:trPr>
        <w:tc>
          <w:tcPr>
            <w:tcW w:w="1843" w:type="dxa"/>
            <w:tcBorders>
              <w:top w:val="nil"/>
              <w:left w:val="single" w:sz="8" w:space="0" w:color="auto"/>
              <w:bottom w:val="single" w:sz="8"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Германия</w:t>
            </w:r>
          </w:p>
        </w:tc>
        <w:tc>
          <w:tcPr>
            <w:tcW w:w="1276" w:type="dxa"/>
            <w:tcBorders>
              <w:top w:val="nil"/>
              <w:left w:val="nil"/>
              <w:bottom w:val="single" w:sz="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735 289</w:t>
            </w:r>
          </w:p>
        </w:tc>
        <w:tc>
          <w:tcPr>
            <w:tcW w:w="1378" w:type="dxa"/>
            <w:tcBorders>
              <w:top w:val="nil"/>
              <w:left w:val="nil"/>
              <w:bottom w:val="single" w:sz="8"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9 914</w:t>
            </w:r>
          </w:p>
        </w:tc>
        <w:tc>
          <w:tcPr>
            <w:tcW w:w="1292" w:type="dxa"/>
            <w:tcBorders>
              <w:top w:val="nil"/>
              <w:left w:val="nil"/>
              <w:bottom w:val="single" w:sz="8"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1,3 %</w:t>
            </w:r>
          </w:p>
        </w:tc>
        <w:tc>
          <w:tcPr>
            <w:tcW w:w="1096" w:type="dxa"/>
            <w:tcBorders>
              <w:top w:val="nil"/>
              <w:left w:val="nil"/>
              <w:bottom w:val="single" w:sz="8"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475 644</w:t>
            </w:r>
          </w:p>
        </w:tc>
        <w:tc>
          <w:tcPr>
            <w:tcW w:w="1378" w:type="dxa"/>
            <w:tcBorders>
              <w:top w:val="nil"/>
              <w:left w:val="nil"/>
              <w:bottom w:val="single" w:sz="8"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15 796</w:t>
            </w:r>
          </w:p>
        </w:tc>
        <w:tc>
          <w:tcPr>
            <w:tcW w:w="1292" w:type="dxa"/>
            <w:tcBorders>
              <w:top w:val="nil"/>
              <w:left w:val="nil"/>
              <w:bottom w:val="single" w:sz="8"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3,3 %</w:t>
            </w:r>
          </w:p>
        </w:tc>
      </w:tr>
      <w:tr>
        <w:trPr>
          <w:trHeight w:val="300"/>
          <w:jc w:val="center"/>
        </w:trPr>
        <w:tc>
          <w:tcPr>
            <w:tcW w:w="1843" w:type="dxa"/>
            <w:tcBorders>
              <w:top w:val="single" w:sz="8"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Гърция</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204</w:t>
            </w:r>
          </w:p>
        </w:tc>
        <w:tc>
          <w:tcPr>
            <w:tcW w:w="1378"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w:t>
            </w:r>
          </w:p>
        </w:tc>
        <w:tc>
          <w:tcPr>
            <w:tcW w:w="1292" w:type="dxa"/>
            <w:tcBorders>
              <w:top w:val="single" w:sz="8"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2,5 %</w:t>
            </w:r>
          </w:p>
        </w:tc>
        <w:tc>
          <w:tcPr>
            <w:tcW w:w="1096"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156</w:t>
            </w:r>
          </w:p>
        </w:tc>
        <w:tc>
          <w:tcPr>
            <w:tcW w:w="1378"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w:t>
            </w:r>
          </w:p>
        </w:tc>
        <w:tc>
          <w:tcPr>
            <w:tcW w:w="1292" w:type="dxa"/>
            <w:tcBorders>
              <w:top w:val="single" w:sz="8"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4,5 %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Унгария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148 164</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6 845</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4,6 %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51 517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1 940</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3,8 %</w:t>
            </w:r>
          </w:p>
        </w:tc>
      </w:tr>
      <w:tr>
        <w:trPr>
          <w:trHeight w:val="300"/>
          <w:jc w:val="center"/>
        </w:trPr>
        <w:tc>
          <w:tcPr>
            <w:tcW w:w="1843"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Ирландия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24 539</w:t>
            </w:r>
          </w:p>
        </w:tc>
        <w:tc>
          <w:tcPr>
            <w:tcW w:w="1378"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1 253</w:t>
            </w:r>
          </w:p>
        </w:tc>
        <w:tc>
          <w:tcPr>
            <w:tcW w:w="1292"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5,1 %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2 953</w:t>
            </w:r>
          </w:p>
        </w:tc>
        <w:tc>
          <w:tcPr>
            <w:tcW w:w="1378"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166</w:t>
            </w:r>
          </w:p>
        </w:tc>
        <w:tc>
          <w:tcPr>
            <w:tcW w:w="1292"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5,6 %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Италия</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4 480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2 668</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59,6 %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954</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195</w:t>
            </w:r>
          </w:p>
        </w:tc>
        <w:tc>
          <w:tcPr>
            <w:tcW w:w="1292"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20,4 %</w:t>
            </w:r>
          </w:p>
        </w:tc>
      </w:tr>
      <w:tr>
        <w:trPr>
          <w:trHeight w:val="300"/>
          <w:jc w:val="center"/>
        </w:trPr>
        <w:tc>
          <w:tcPr>
            <w:tcW w:w="1843" w:type="dxa"/>
            <w:tcBorders>
              <w:top w:val="single" w:sz="2"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Латвия</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5 491</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511</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9,3 %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2 908</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260</w:t>
            </w:r>
          </w:p>
        </w:tc>
        <w:tc>
          <w:tcPr>
            <w:tcW w:w="1292"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8,9 %</w:t>
            </w:r>
          </w:p>
        </w:tc>
      </w:tr>
      <w:tr>
        <w:trPr>
          <w:trHeight w:val="300"/>
          <w:jc w:val="center"/>
        </w:trPr>
        <w:tc>
          <w:tcPr>
            <w:tcW w:w="1843" w:type="dxa"/>
            <w:tcBorders>
              <w:top w:val="single" w:sz="4" w:space="0" w:color="auto"/>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Литва</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35 081</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988</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2,8 %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9 137</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290</w:t>
            </w:r>
          </w:p>
        </w:tc>
        <w:tc>
          <w:tcPr>
            <w:tcW w:w="1292"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3,2 %</w:t>
            </w:r>
          </w:p>
        </w:tc>
      </w:tr>
      <w:tr>
        <w:trPr>
          <w:trHeight w:val="300"/>
          <w:jc w:val="center"/>
        </w:trPr>
        <w:tc>
          <w:tcPr>
            <w:tcW w:w="1843" w:type="dxa"/>
            <w:tcBorders>
              <w:top w:val="single" w:sz="2"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Люксембург</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sz w:val="24"/>
                <w:szCs w:val="24"/>
              </w:rPr>
              <w:t xml:space="preserve">             303</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3,0 %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1 726</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25</w:t>
            </w:r>
          </w:p>
        </w:tc>
        <w:tc>
          <w:tcPr>
            <w:tcW w:w="1292"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1,4 %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Малта</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6 277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3 168</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50,5 %</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14,3 %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Нидерландия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7 816</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562</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7,2 %</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2 993</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405</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13,5 %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Полша</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374 840</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20 588</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5,5 %</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158 367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3 378</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2,1 %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Португалия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935</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0,9 %</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Няма налични данни</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Румъния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18 686</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1 714</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9,2 %</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513</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43</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8,4 %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Словакия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14 923</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3 115</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20,9 %</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8 659</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1 460</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16,9 %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Словения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4 271</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98</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2,3 %</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1 028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49</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4,8 %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Испания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316 637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58 917</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18,6 %</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28 983</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1 629</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5,6 %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Швеция</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37 658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1 622</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4,3 %</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6 727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190</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2,8 %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Обединено кралство</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131 402</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23 357</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17,8 %</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122 409</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33 062</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 xml:space="preserve">27,0 % </w:t>
            </w:r>
          </w:p>
        </w:tc>
      </w:tr>
      <w:tr>
        <w:trPr>
          <w:trHeight w:val="315"/>
          <w:jc w:val="center"/>
        </w:trPr>
        <w:tc>
          <w:tcPr>
            <w:tcW w:w="1843"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Общо</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2 297 213</w:t>
            </w:r>
          </w:p>
        </w:tc>
        <w:tc>
          <w:tcPr>
            <w:tcW w:w="13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185 016</w:t>
            </w:r>
          </w:p>
        </w:tc>
        <w:tc>
          <w:tcPr>
            <w:tcW w:w="129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8,1 %</w:t>
            </w:r>
          </w:p>
        </w:tc>
        <w:tc>
          <w:tcPr>
            <w:tcW w:w="1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1 356 324</w:t>
            </w:r>
          </w:p>
        </w:tc>
        <w:tc>
          <w:tcPr>
            <w:tcW w:w="137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102 491</w:t>
            </w:r>
          </w:p>
        </w:tc>
        <w:tc>
          <w:tcPr>
            <w:tcW w:w="1292" w:type="dxa"/>
            <w:tcBorders>
              <w:top w:val="single" w:sz="4" w:space="0" w:color="auto"/>
              <w:left w:val="nil"/>
              <w:bottom w:val="single" w:sz="4" w:space="0" w:color="auto"/>
              <w:right w:val="single" w:sz="8" w:space="0" w:color="auto"/>
            </w:tcBorders>
            <w:shd w:val="clear" w:color="auto" w:fill="BFBFBF" w:themeFill="background1" w:themeFillShade="BF"/>
            <w:noWrap/>
            <w:vAlign w:val="bottom"/>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7,6 %</w:t>
            </w:r>
          </w:p>
        </w:tc>
      </w:tr>
      <w:tr>
        <w:trPr>
          <w:trHeight w:val="315"/>
          <w:jc w:val="center"/>
        </w:trPr>
        <w:tc>
          <w:tcPr>
            <w:tcW w:w="1843" w:type="dxa"/>
            <w:tcBorders>
              <w:top w:val="single" w:sz="4" w:space="0" w:color="auto"/>
              <w:left w:val="single" w:sz="8" w:space="0" w:color="auto"/>
              <w:bottom w:val="single" w:sz="4"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color w:val="FF0000"/>
                <w:sz w:val="24"/>
                <w:szCs w:val="24"/>
              </w:rPr>
              <w:t>Швейцария</w:t>
            </w:r>
          </w:p>
        </w:tc>
        <w:tc>
          <w:tcPr>
            <w:tcW w:w="1276"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sz w:val="24"/>
                <w:szCs w:val="24"/>
              </w:rPr>
            </w:pPr>
            <w:r>
              <w:rPr>
                <w:rFonts w:ascii="Times New Roman" w:hAnsi="Times New Roman"/>
                <w:bCs/>
                <w:noProof/>
                <w:sz w:val="24"/>
                <w:szCs w:val="24"/>
              </w:rPr>
              <w:t>85 873</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sz w:val="24"/>
                <w:szCs w:val="24"/>
              </w:rPr>
            </w:pPr>
            <w:r>
              <w:rPr>
                <w:rFonts w:ascii="Times New Roman" w:hAnsi="Times New Roman"/>
                <w:bCs/>
                <w:noProof/>
                <w:sz w:val="24"/>
                <w:szCs w:val="24"/>
              </w:rPr>
              <w:t>3 436</w:t>
            </w:r>
          </w:p>
        </w:tc>
        <w:tc>
          <w:tcPr>
            <w:tcW w:w="1292"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sz w:val="24"/>
                <w:szCs w:val="24"/>
              </w:rPr>
            </w:pPr>
            <w:r>
              <w:rPr>
                <w:rFonts w:ascii="Times New Roman" w:hAnsi="Times New Roman"/>
                <w:bCs/>
                <w:noProof/>
                <w:sz w:val="24"/>
                <w:szCs w:val="24"/>
              </w:rPr>
              <w:t>4,0 %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sz w:val="24"/>
                <w:szCs w:val="24"/>
              </w:rPr>
            </w:pPr>
            <w:r>
              <w:rPr>
                <w:rFonts w:ascii="Times New Roman" w:hAnsi="Times New Roman"/>
                <w:bCs/>
                <w:noProof/>
                <w:sz w:val="24"/>
                <w:szCs w:val="24"/>
              </w:rPr>
              <w:t>91 914</w:t>
            </w:r>
          </w:p>
        </w:tc>
        <w:tc>
          <w:tcPr>
            <w:tcW w:w="1378"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sz w:val="24"/>
                <w:szCs w:val="24"/>
              </w:rPr>
            </w:pPr>
            <w:r>
              <w:rPr>
                <w:rFonts w:ascii="Times New Roman" w:hAnsi="Times New Roman"/>
                <w:bCs/>
                <w:noProof/>
                <w:sz w:val="24"/>
                <w:szCs w:val="24"/>
              </w:rPr>
              <w:t>8 492</w:t>
            </w:r>
          </w:p>
        </w:tc>
        <w:tc>
          <w:tcPr>
            <w:tcW w:w="1292"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sz w:val="24"/>
                <w:szCs w:val="24"/>
              </w:rPr>
            </w:pPr>
            <w:r>
              <w:rPr>
                <w:rFonts w:ascii="Times New Roman" w:hAnsi="Times New Roman"/>
                <w:bCs/>
                <w:noProof/>
                <w:sz w:val="24"/>
                <w:szCs w:val="24"/>
              </w:rPr>
              <w:t>9,2 %</w:t>
            </w:r>
          </w:p>
        </w:tc>
      </w:tr>
      <w:tr>
        <w:trPr>
          <w:trHeight w:val="315"/>
          <w:jc w:val="center"/>
        </w:trPr>
        <w:tc>
          <w:tcPr>
            <w:tcW w:w="1843" w:type="dxa"/>
            <w:tcBorders>
              <w:top w:val="single" w:sz="4" w:space="0" w:color="auto"/>
              <w:left w:val="single" w:sz="8" w:space="0" w:color="auto"/>
              <w:bottom w:val="single" w:sz="8"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FF0000"/>
                <w:sz w:val="24"/>
                <w:szCs w:val="24"/>
              </w:rPr>
            </w:pPr>
            <w:r>
              <w:rPr>
                <w:rFonts w:ascii="Times New Roman" w:hAnsi="Times New Roman"/>
                <w:b/>
                <w:bCs/>
                <w:noProof/>
                <w:sz w:val="24"/>
                <w:szCs w:val="24"/>
              </w:rPr>
              <w:t xml:space="preserve">Общо </w:t>
            </w:r>
          </w:p>
        </w:tc>
        <w:tc>
          <w:tcPr>
            <w:tcW w:w="1276" w:type="dxa"/>
            <w:tcBorders>
              <w:top w:val="single" w:sz="4" w:space="0" w:color="auto"/>
              <w:left w:val="nil"/>
              <w:bottom w:val="single" w:sz="8" w:space="0" w:color="auto"/>
              <w:right w:val="single" w:sz="4" w:space="0" w:color="auto"/>
            </w:tcBorders>
            <w:shd w:val="clear" w:color="auto" w:fill="BFBFBF" w:themeFill="background1" w:themeFillShade="BF"/>
            <w:noWrap/>
            <w:vAlign w:val="bottom"/>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2 383 086</w:t>
            </w:r>
          </w:p>
        </w:tc>
        <w:tc>
          <w:tcPr>
            <w:tcW w:w="1378" w:type="dxa"/>
            <w:tcBorders>
              <w:top w:val="single" w:sz="4" w:space="0" w:color="auto"/>
              <w:left w:val="single" w:sz="4" w:space="0" w:color="auto"/>
              <w:bottom w:val="single" w:sz="8" w:space="0" w:color="auto"/>
              <w:right w:val="single" w:sz="4" w:space="0" w:color="auto"/>
            </w:tcBorders>
            <w:shd w:val="clear" w:color="auto" w:fill="BFBFBF" w:themeFill="background1" w:themeFillShade="BF"/>
            <w:noWrap/>
            <w:vAlign w:val="bottom"/>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188 452</w:t>
            </w:r>
          </w:p>
        </w:tc>
        <w:tc>
          <w:tcPr>
            <w:tcW w:w="1292" w:type="dxa"/>
            <w:tcBorders>
              <w:top w:val="single" w:sz="4" w:space="0" w:color="auto"/>
              <w:left w:val="nil"/>
              <w:bottom w:val="single" w:sz="8" w:space="0" w:color="auto"/>
              <w:right w:val="single" w:sz="4" w:space="0" w:color="auto"/>
            </w:tcBorders>
            <w:shd w:val="clear" w:color="auto" w:fill="BFBFBF" w:themeFill="background1" w:themeFillShade="BF"/>
            <w:noWrap/>
            <w:vAlign w:val="bottom"/>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7,9 %</w:t>
            </w:r>
          </w:p>
        </w:tc>
        <w:tc>
          <w:tcPr>
            <w:tcW w:w="1096" w:type="dxa"/>
            <w:tcBorders>
              <w:top w:val="single" w:sz="4" w:space="0" w:color="auto"/>
              <w:left w:val="single" w:sz="4" w:space="0" w:color="auto"/>
              <w:bottom w:val="single" w:sz="8" w:space="0" w:color="auto"/>
              <w:right w:val="single" w:sz="4" w:space="0" w:color="auto"/>
            </w:tcBorders>
            <w:shd w:val="clear" w:color="auto" w:fill="BFBFBF" w:themeFill="background1" w:themeFillShade="BF"/>
            <w:noWrap/>
            <w:vAlign w:val="bottom"/>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1 448 238</w:t>
            </w:r>
          </w:p>
        </w:tc>
        <w:tc>
          <w:tcPr>
            <w:tcW w:w="1378" w:type="dxa"/>
            <w:tcBorders>
              <w:top w:val="single" w:sz="4" w:space="0" w:color="auto"/>
              <w:left w:val="nil"/>
              <w:bottom w:val="single" w:sz="8" w:space="0" w:color="auto"/>
              <w:right w:val="single" w:sz="4" w:space="0" w:color="auto"/>
            </w:tcBorders>
            <w:shd w:val="clear" w:color="auto" w:fill="BFBFBF" w:themeFill="background1" w:themeFillShade="BF"/>
            <w:noWrap/>
            <w:vAlign w:val="bottom"/>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110 983</w:t>
            </w:r>
          </w:p>
        </w:tc>
        <w:tc>
          <w:tcPr>
            <w:tcW w:w="1292" w:type="dxa"/>
            <w:tcBorders>
              <w:top w:val="single" w:sz="4" w:space="0" w:color="auto"/>
              <w:left w:val="nil"/>
              <w:bottom w:val="single" w:sz="8" w:space="0" w:color="auto"/>
              <w:right w:val="single" w:sz="8" w:space="0" w:color="auto"/>
            </w:tcBorders>
            <w:shd w:val="clear" w:color="auto" w:fill="BFBFBF" w:themeFill="background1" w:themeFillShade="BF"/>
            <w:noWrap/>
            <w:vAlign w:val="bottom"/>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7,7 %</w:t>
            </w:r>
          </w:p>
        </w:tc>
      </w:tr>
    </w:tbl>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Както беше посочено по-горе, двадесет държави членки са представили и данни във връзка с проверките, които са били извършени на превозни средства, регистрирани в държави извън ЕС. Повече подробности са включени в таблица 5 по-долу. Извършени са проверки на 327 273 превозни средства от държави извън ЕС, в резултат на които са наложени 16 813 спирания от движение, т.е. </w:t>
      </w:r>
      <w:r>
        <w:rPr>
          <w:rFonts w:ascii="Times New Roman" w:hAnsi="Times New Roman"/>
          <w:b/>
          <w:noProof/>
          <w:sz w:val="24"/>
          <w:szCs w:val="24"/>
        </w:rPr>
        <w:t>дял на спрените от движение превозни средства от 5,1 %</w:t>
      </w:r>
      <w:r>
        <w:rPr>
          <w:rFonts w:ascii="Times New Roman" w:hAnsi="Times New Roman"/>
          <w:noProof/>
          <w:sz w:val="24"/>
          <w:szCs w:val="24"/>
        </w:rPr>
        <w:t xml:space="preserve"> в сравнение с дял от 8,1 % за местните превозни средства и 7,6 % за превозните средства от ЕС (с изключение на местните). Делът на спрените от движение превозни средства от държави извън ЕС спрямо този на превозните средства от ЕС се е увеличил с повече от 10 % в Австрия (10,7 %), Естония (23,1 %) и Финландия (15,1 %), докато в Италия се наблюдава спад от 12,1 %.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Представените от държавите членки данни относно броя на проверките, извършени на превозни средства, регистрирани в държави извън ЕС, са все още недостатъчни, за да се направят съществени заключения относно състоянието на тяхната техническа изправност. Все пак 9 държави членки са представили данни за превозни средства извън ЕС в сравнение с периода на докладване 2015—2016 г.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center"/>
        <w:rPr>
          <w:rFonts w:ascii="Times New Roman" w:eastAsia="Times New Roman" w:hAnsi="Times New Roman"/>
          <w:noProof/>
          <w:sz w:val="24"/>
          <w:szCs w:val="24"/>
        </w:rPr>
      </w:pPr>
      <w:r>
        <w:rPr>
          <w:rFonts w:ascii="Times New Roman" w:hAnsi="Times New Roman"/>
          <w:b/>
          <w:noProof/>
          <w:sz w:val="24"/>
          <w:szCs w:val="24"/>
        </w:rPr>
        <w:t>Таблица 5: Разбивка на спрените от движение превозни средства — превозни средства от държави извън ЕС</w:t>
      </w:r>
    </w:p>
    <w:p>
      <w:pPr>
        <w:spacing w:before="120" w:after="120" w:line="240" w:lineRule="auto"/>
        <w:jc w:val="both"/>
        <w:rPr>
          <w:rFonts w:ascii="Times New Roman" w:eastAsia="Times New Roman" w:hAnsi="Times New Roman"/>
          <w:noProof/>
          <w:sz w:val="24"/>
          <w:szCs w:val="24"/>
        </w:rPr>
      </w:pPr>
    </w:p>
    <w:tbl>
      <w:tblPr>
        <w:tblW w:w="7720" w:type="dxa"/>
        <w:jc w:val="center"/>
        <w:tblLook w:val="04A0" w:firstRow="1" w:lastRow="0" w:firstColumn="1" w:lastColumn="0" w:noHBand="0" w:noVBand="1"/>
      </w:tblPr>
      <w:tblGrid>
        <w:gridCol w:w="2160"/>
        <w:gridCol w:w="1701"/>
        <w:gridCol w:w="1779"/>
        <w:gridCol w:w="2080"/>
      </w:tblGrid>
      <w:tr>
        <w:trPr>
          <w:trHeight w:val="315"/>
          <w:jc w:val="center"/>
        </w:trPr>
        <w:tc>
          <w:tcPr>
            <w:tcW w:w="21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p>
        </w:tc>
        <w:tc>
          <w:tcPr>
            <w:tcW w:w="5560" w:type="dxa"/>
            <w:gridSpan w:val="3"/>
            <w:tcBorders>
              <w:top w:val="single" w:sz="8" w:space="0" w:color="auto"/>
              <w:left w:val="single" w:sz="8" w:space="0" w:color="auto"/>
              <w:bottom w:val="single" w:sz="8" w:space="0" w:color="auto"/>
              <w:right w:val="single" w:sz="8" w:space="0" w:color="000000"/>
            </w:tcBorders>
            <w:shd w:val="clear" w:color="000000" w:fill="BFBFBF"/>
            <w:noWrap/>
            <w:vAlign w:val="bottom"/>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Спрени от движение превозни средства (превозни средства, регистрирани извън ЕС)</w:t>
            </w:r>
          </w:p>
        </w:tc>
      </w:tr>
      <w:tr>
        <w:trPr>
          <w:trHeight w:val="615"/>
          <w:jc w:val="center"/>
        </w:trPr>
        <w:tc>
          <w:tcPr>
            <w:tcW w:w="2160" w:type="dxa"/>
            <w:tcBorders>
              <w:top w:val="single" w:sz="8" w:space="0" w:color="auto"/>
              <w:left w:val="single" w:sz="8" w:space="0" w:color="auto"/>
              <w:bottom w:val="single" w:sz="8" w:space="0" w:color="auto"/>
              <w:right w:val="single" w:sz="8" w:space="0" w:color="auto"/>
            </w:tcBorders>
            <w:shd w:val="clear" w:color="000000" w:fill="BFBFBF"/>
            <w:vAlign w:val="center"/>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Докладваща държава членка</w:t>
            </w:r>
          </w:p>
        </w:tc>
        <w:tc>
          <w:tcPr>
            <w:tcW w:w="1701" w:type="dxa"/>
            <w:tcBorders>
              <w:top w:val="nil"/>
              <w:left w:val="nil"/>
              <w:bottom w:val="single" w:sz="8" w:space="0" w:color="auto"/>
              <w:right w:val="single" w:sz="4"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Брой на проверените превозните средства от държави извън ЕС</w:t>
            </w:r>
          </w:p>
        </w:tc>
        <w:tc>
          <w:tcPr>
            <w:tcW w:w="1779" w:type="dxa"/>
            <w:tcBorders>
              <w:top w:val="nil"/>
              <w:left w:val="nil"/>
              <w:bottom w:val="single" w:sz="8" w:space="0" w:color="auto"/>
              <w:right w:val="single" w:sz="4"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Брой на спрените от движение превозни средства от държави извън ЕС</w:t>
            </w:r>
          </w:p>
        </w:tc>
        <w:tc>
          <w:tcPr>
            <w:tcW w:w="2080" w:type="dxa"/>
            <w:tcBorders>
              <w:top w:val="nil"/>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Дял на спрените от движение превозни средства от държави извън ЕС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Aвстрия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1 688</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1 256</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74,4 %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Белгия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339</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29</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8,6 %</w:t>
            </w:r>
          </w:p>
        </w:tc>
      </w:tr>
      <w:tr>
        <w:trPr>
          <w:trHeight w:val="300"/>
          <w:jc w:val="center"/>
        </w:trPr>
        <w:tc>
          <w:tcPr>
            <w:tcW w:w="2160" w:type="dxa"/>
            <w:tcBorders>
              <w:top w:val="nil"/>
              <w:left w:val="single" w:sz="8" w:space="0" w:color="auto"/>
              <w:bottom w:val="single" w:sz="8"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България</w:t>
            </w:r>
          </w:p>
        </w:tc>
        <w:tc>
          <w:tcPr>
            <w:tcW w:w="1701" w:type="dxa"/>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000000"/>
                <w:sz w:val="24"/>
                <w:szCs w:val="24"/>
              </w:rPr>
            </w:pPr>
            <w:r>
              <w:rPr>
                <w:rFonts w:ascii="Times New Roman" w:hAnsi="Times New Roman"/>
                <w:noProof/>
                <w:sz w:val="24"/>
                <w:szCs w:val="24"/>
              </w:rPr>
              <w:t xml:space="preserve">                41 497</w:t>
            </w:r>
          </w:p>
        </w:tc>
        <w:tc>
          <w:tcPr>
            <w:tcW w:w="1779" w:type="dxa"/>
            <w:tcBorders>
              <w:top w:val="nil"/>
              <w:left w:val="nil"/>
              <w:bottom w:val="single" w:sz="8"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346</w:t>
            </w:r>
          </w:p>
        </w:tc>
        <w:tc>
          <w:tcPr>
            <w:tcW w:w="2080" w:type="dxa"/>
            <w:tcBorders>
              <w:top w:val="nil"/>
              <w:left w:val="nil"/>
              <w:bottom w:val="single" w:sz="8"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0,8 %</w:t>
            </w:r>
          </w:p>
        </w:tc>
      </w:tr>
      <w:tr>
        <w:trPr>
          <w:trHeight w:val="300"/>
          <w:jc w:val="center"/>
        </w:trPr>
        <w:tc>
          <w:tcPr>
            <w:tcW w:w="2160" w:type="dxa"/>
            <w:tcBorders>
              <w:top w:val="single" w:sz="8"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Хърватия</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w:t>
            </w:r>
          </w:p>
        </w:tc>
        <w:tc>
          <w:tcPr>
            <w:tcW w:w="1779"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w:t>
            </w:r>
          </w:p>
        </w:tc>
        <w:tc>
          <w:tcPr>
            <w:tcW w:w="2080" w:type="dxa"/>
            <w:tcBorders>
              <w:top w:val="single" w:sz="8"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Няма налични данни</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Кипър</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Няма налични данни</w:t>
            </w:r>
          </w:p>
        </w:tc>
      </w:tr>
      <w:tr>
        <w:trPr>
          <w:trHeight w:val="300"/>
          <w:jc w:val="center"/>
        </w:trPr>
        <w:tc>
          <w:tcPr>
            <w:tcW w:w="2160"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Чехия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 xml:space="preserve"> 2 863</w:t>
            </w:r>
          </w:p>
        </w:tc>
        <w:tc>
          <w:tcPr>
            <w:tcW w:w="1779"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132</w:t>
            </w:r>
          </w:p>
        </w:tc>
        <w:tc>
          <w:tcPr>
            <w:tcW w:w="2080"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4,6 %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Дания</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49</w:t>
            </w:r>
          </w:p>
        </w:tc>
        <w:tc>
          <w:tcPr>
            <w:tcW w:w="1779"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11</w:t>
            </w:r>
          </w:p>
        </w:tc>
        <w:tc>
          <w:tcPr>
            <w:tcW w:w="2080"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22,4 %</w:t>
            </w:r>
          </w:p>
        </w:tc>
      </w:tr>
      <w:tr>
        <w:trPr>
          <w:trHeight w:val="300"/>
          <w:jc w:val="center"/>
        </w:trPr>
        <w:tc>
          <w:tcPr>
            <w:tcW w:w="2160" w:type="dxa"/>
            <w:tcBorders>
              <w:top w:val="single" w:sz="2" w:space="0" w:color="auto"/>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Естония</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271</w:t>
            </w:r>
          </w:p>
        </w:tc>
        <w:tc>
          <w:tcPr>
            <w:tcW w:w="1779"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248</w:t>
            </w:r>
          </w:p>
        </w:tc>
        <w:tc>
          <w:tcPr>
            <w:tcW w:w="2080"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91,5 %</w:t>
            </w:r>
          </w:p>
        </w:tc>
      </w:tr>
      <w:tr>
        <w:trPr>
          <w:trHeight w:val="300"/>
          <w:jc w:val="center"/>
        </w:trPr>
        <w:tc>
          <w:tcPr>
            <w:tcW w:w="2160" w:type="dxa"/>
            <w:tcBorders>
              <w:top w:val="single" w:sz="2"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Финландия</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2 550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1 269</w:t>
            </w:r>
          </w:p>
        </w:tc>
        <w:tc>
          <w:tcPr>
            <w:tcW w:w="2080"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49,8 %</w:t>
            </w:r>
          </w:p>
        </w:tc>
      </w:tr>
      <w:tr>
        <w:trPr>
          <w:trHeight w:val="300"/>
          <w:jc w:val="center"/>
        </w:trPr>
        <w:tc>
          <w:tcPr>
            <w:tcW w:w="2160"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Франция</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w:t>
            </w:r>
          </w:p>
        </w:tc>
        <w:tc>
          <w:tcPr>
            <w:tcW w:w="2080"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Няма налични данни</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Германия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36 573</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1 202</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3,3 %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Гърция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000000"/>
                <w:sz w:val="24"/>
                <w:szCs w:val="24"/>
              </w:rPr>
            </w:pPr>
            <w:r>
              <w:rPr>
                <w:rFonts w:ascii="Times New Roman" w:hAnsi="Times New Roman"/>
                <w:noProof/>
                <w:sz w:val="24"/>
                <w:szCs w:val="24"/>
              </w:rPr>
              <w:t xml:space="preserve">                         0</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Няма налични данни</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Унгария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2 642</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45</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1,7 %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Ирландия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11,1 %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Италия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12</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8,3 %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Латвия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405</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62</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15,3 %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Литва</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6 020</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93</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1,5 %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Люксембург</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78</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Малта</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Няма налични данни</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Нидерландия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180</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37</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20,6 %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Полша</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225 207</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10 051</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4,5 %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Португалия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Няма налични данни</w:t>
            </w:r>
          </w:p>
        </w:tc>
      </w:tr>
      <w:tr>
        <w:trPr>
          <w:trHeight w:val="300"/>
          <w:jc w:val="center"/>
        </w:trPr>
        <w:tc>
          <w:tcPr>
            <w:tcW w:w="2160" w:type="dxa"/>
            <w:tcBorders>
              <w:top w:val="nil"/>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Румъния</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336</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47</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14,0 %</w:t>
            </w:r>
          </w:p>
        </w:tc>
      </w:tr>
      <w:tr>
        <w:trPr>
          <w:trHeight w:val="300"/>
          <w:jc w:val="center"/>
        </w:trPr>
        <w:tc>
          <w:tcPr>
            <w:tcW w:w="2160" w:type="dxa"/>
            <w:tcBorders>
              <w:top w:val="single" w:sz="2" w:space="0" w:color="auto"/>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Словакия</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w:t>
            </w:r>
          </w:p>
        </w:tc>
        <w:tc>
          <w:tcPr>
            <w:tcW w:w="2080"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Няма налични данни</w:t>
            </w:r>
          </w:p>
        </w:tc>
      </w:tr>
      <w:tr>
        <w:trPr>
          <w:trHeight w:val="300"/>
          <w:jc w:val="center"/>
        </w:trPr>
        <w:tc>
          <w:tcPr>
            <w:tcW w:w="2160" w:type="dxa"/>
            <w:tcBorders>
              <w:top w:val="single" w:sz="2" w:space="0" w:color="auto"/>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Словения</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103</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7</w:t>
            </w:r>
          </w:p>
        </w:tc>
        <w:tc>
          <w:tcPr>
            <w:tcW w:w="2080"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6,8 %</w:t>
            </w:r>
          </w:p>
        </w:tc>
      </w:tr>
      <w:tr>
        <w:trPr>
          <w:trHeight w:val="300"/>
          <w:jc w:val="center"/>
        </w:trPr>
        <w:tc>
          <w:tcPr>
            <w:tcW w:w="2160" w:type="dxa"/>
            <w:tcBorders>
              <w:top w:val="single" w:sz="2" w:space="0" w:color="auto"/>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Испания</w:t>
            </w:r>
          </w:p>
        </w:tc>
        <w:tc>
          <w:tcPr>
            <w:tcW w:w="1701" w:type="dxa"/>
            <w:tcBorders>
              <w:top w:val="single" w:sz="4" w:space="0" w:color="auto"/>
              <w:left w:val="single" w:sz="8" w:space="0" w:color="auto"/>
              <w:bottom w:val="single" w:sz="6" w:space="0" w:color="auto"/>
              <w:right w:val="single" w:sz="6"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w:t>
            </w:r>
          </w:p>
        </w:tc>
        <w:tc>
          <w:tcPr>
            <w:tcW w:w="1779" w:type="dxa"/>
            <w:tcBorders>
              <w:top w:val="single" w:sz="4" w:space="0" w:color="auto"/>
              <w:left w:val="single" w:sz="6" w:space="0" w:color="auto"/>
              <w:bottom w:val="single" w:sz="6" w:space="0" w:color="auto"/>
              <w:right w:val="single" w:sz="4" w:space="0" w:color="000000"/>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0</w:t>
            </w:r>
          </w:p>
        </w:tc>
        <w:tc>
          <w:tcPr>
            <w:tcW w:w="2080" w:type="dxa"/>
            <w:tcBorders>
              <w:top w:val="single" w:sz="4" w:space="0" w:color="auto"/>
              <w:left w:val="single" w:sz="4" w:space="0" w:color="000000"/>
              <w:bottom w:val="single" w:sz="4" w:space="0" w:color="000000"/>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Няма налични данни</w:t>
            </w:r>
          </w:p>
        </w:tc>
      </w:tr>
      <w:tr>
        <w:trPr>
          <w:trHeight w:val="300"/>
          <w:jc w:val="center"/>
        </w:trPr>
        <w:tc>
          <w:tcPr>
            <w:tcW w:w="2160" w:type="dxa"/>
            <w:tcBorders>
              <w:top w:val="single" w:sz="2" w:space="0" w:color="auto"/>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Швеция</w:t>
            </w:r>
          </w:p>
        </w:tc>
        <w:tc>
          <w:tcPr>
            <w:tcW w:w="1701" w:type="dxa"/>
            <w:tcBorders>
              <w:top w:val="single" w:sz="6"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326</w:t>
            </w:r>
          </w:p>
        </w:tc>
        <w:tc>
          <w:tcPr>
            <w:tcW w:w="1779" w:type="dxa"/>
            <w:tcBorders>
              <w:top w:val="single" w:sz="6"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15</w:t>
            </w:r>
          </w:p>
        </w:tc>
        <w:tc>
          <w:tcPr>
            <w:tcW w:w="2080" w:type="dxa"/>
            <w:tcBorders>
              <w:top w:val="single" w:sz="4" w:space="0" w:color="000000"/>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4,6 %</w:t>
            </w:r>
          </w:p>
        </w:tc>
      </w:tr>
      <w:tr>
        <w:trPr>
          <w:trHeight w:val="300"/>
          <w:jc w:val="center"/>
        </w:trPr>
        <w:tc>
          <w:tcPr>
            <w:tcW w:w="2160" w:type="dxa"/>
            <w:tcBorders>
              <w:top w:val="single" w:sz="2"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Обединено кралство</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6 125</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1 961</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sz w:val="24"/>
                <w:szCs w:val="24"/>
              </w:rPr>
            </w:pPr>
            <w:r>
              <w:rPr>
                <w:rFonts w:ascii="Times New Roman" w:hAnsi="Times New Roman"/>
                <w:noProof/>
                <w:sz w:val="24"/>
                <w:szCs w:val="24"/>
              </w:rPr>
              <w:t>31,6 %</w:t>
            </w:r>
          </w:p>
        </w:tc>
      </w:tr>
      <w:tr>
        <w:trPr>
          <w:trHeight w:val="315"/>
          <w:jc w:val="center"/>
        </w:trPr>
        <w:tc>
          <w:tcPr>
            <w:tcW w:w="2160"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Общо</w:t>
            </w:r>
          </w:p>
        </w:tc>
        <w:tc>
          <w:tcPr>
            <w:tcW w:w="1701" w:type="dxa"/>
            <w:tcBorders>
              <w:top w:val="single" w:sz="4" w:space="0" w:color="auto"/>
              <w:left w:val="single" w:sz="8" w:space="0" w:color="auto"/>
              <w:bottom w:val="single" w:sz="4" w:space="0" w:color="auto"/>
              <w:right w:val="single" w:sz="6"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327 273</w:t>
            </w:r>
          </w:p>
        </w:tc>
        <w:tc>
          <w:tcPr>
            <w:tcW w:w="1779" w:type="dxa"/>
            <w:tcBorders>
              <w:top w:val="single" w:sz="4" w:space="0" w:color="auto"/>
              <w:left w:val="single" w:sz="6" w:space="0" w:color="auto"/>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16 813</w:t>
            </w:r>
          </w:p>
        </w:tc>
        <w:tc>
          <w:tcPr>
            <w:tcW w:w="2080" w:type="dxa"/>
            <w:tcBorders>
              <w:top w:val="single" w:sz="4" w:space="0" w:color="auto"/>
              <w:left w:val="nil"/>
              <w:bottom w:val="single" w:sz="4" w:space="0" w:color="auto"/>
              <w:right w:val="single" w:sz="8"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5,1 %</w:t>
            </w:r>
          </w:p>
        </w:tc>
      </w:tr>
      <w:tr>
        <w:trPr>
          <w:trHeight w:val="315"/>
          <w:jc w:val="center"/>
        </w:trPr>
        <w:tc>
          <w:tcPr>
            <w:tcW w:w="2160" w:type="dxa"/>
            <w:tcBorders>
              <w:top w:val="single" w:sz="4" w:space="0" w:color="auto"/>
              <w:left w:val="single" w:sz="8" w:space="0" w:color="auto"/>
              <w:bottom w:val="single" w:sz="4"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FF0000"/>
                <w:sz w:val="24"/>
                <w:szCs w:val="24"/>
              </w:rPr>
            </w:pPr>
            <w:r>
              <w:rPr>
                <w:rFonts w:ascii="Times New Roman" w:hAnsi="Times New Roman"/>
                <w:b/>
                <w:bCs/>
                <w:noProof/>
                <w:color w:val="FF0000"/>
                <w:sz w:val="24"/>
                <w:szCs w:val="24"/>
              </w:rPr>
              <w:t xml:space="preserve">Швейцария </w:t>
            </w:r>
          </w:p>
        </w:tc>
        <w:tc>
          <w:tcPr>
            <w:tcW w:w="1701" w:type="dxa"/>
            <w:tcBorders>
              <w:top w:val="single" w:sz="4" w:space="0" w:color="auto"/>
              <w:left w:val="single" w:sz="8" w:space="0" w:color="auto"/>
              <w:bottom w:val="single" w:sz="4" w:space="0" w:color="auto"/>
              <w:right w:val="single" w:sz="6"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sz w:val="24"/>
                <w:szCs w:val="24"/>
              </w:rPr>
            </w:pPr>
            <w:r>
              <w:rPr>
                <w:rFonts w:ascii="Times New Roman" w:hAnsi="Times New Roman"/>
                <w:bCs/>
                <w:noProof/>
                <w:sz w:val="24"/>
                <w:szCs w:val="24"/>
              </w:rPr>
              <w:t>3 935</w:t>
            </w:r>
          </w:p>
        </w:tc>
        <w:tc>
          <w:tcPr>
            <w:tcW w:w="1779" w:type="dxa"/>
            <w:tcBorders>
              <w:top w:val="single" w:sz="4" w:space="0" w:color="auto"/>
              <w:left w:val="single" w:sz="6"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sz w:val="24"/>
                <w:szCs w:val="24"/>
              </w:rPr>
            </w:pPr>
            <w:r>
              <w:rPr>
                <w:rFonts w:ascii="Times New Roman" w:hAnsi="Times New Roman"/>
                <w:bCs/>
                <w:noProof/>
                <w:sz w:val="24"/>
                <w:szCs w:val="24"/>
              </w:rPr>
              <w:t>530</w:t>
            </w:r>
          </w:p>
        </w:tc>
        <w:tc>
          <w:tcPr>
            <w:tcW w:w="2080"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sz w:val="24"/>
                <w:szCs w:val="24"/>
              </w:rPr>
            </w:pPr>
            <w:r>
              <w:rPr>
                <w:rFonts w:ascii="Times New Roman" w:hAnsi="Times New Roman"/>
                <w:bCs/>
                <w:noProof/>
                <w:sz w:val="24"/>
                <w:szCs w:val="24"/>
              </w:rPr>
              <w:t>13,5 %</w:t>
            </w:r>
          </w:p>
        </w:tc>
      </w:tr>
      <w:tr>
        <w:trPr>
          <w:trHeight w:val="315"/>
          <w:jc w:val="center"/>
        </w:trPr>
        <w:tc>
          <w:tcPr>
            <w:tcW w:w="2160" w:type="dxa"/>
            <w:tcBorders>
              <w:top w:val="single" w:sz="4" w:space="0" w:color="auto"/>
              <w:left w:val="single" w:sz="8" w:space="0" w:color="auto"/>
              <w:bottom w:val="single" w:sz="4"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sz w:val="24"/>
                <w:szCs w:val="24"/>
              </w:rPr>
            </w:pPr>
            <w:r>
              <w:rPr>
                <w:rFonts w:ascii="Times New Roman" w:hAnsi="Times New Roman"/>
                <w:b/>
                <w:bCs/>
                <w:noProof/>
                <w:sz w:val="24"/>
                <w:szCs w:val="24"/>
              </w:rPr>
              <w:t xml:space="preserve">Общо </w:t>
            </w:r>
          </w:p>
        </w:tc>
        <w:tc>
          <w:tcPr>
            <w:tcW w:w="1701" w:type="dxa"/>
            <w:tcBorders>
              <w:top w:val="single" w:sz="4" w:space="0" w:color="auto"/>
              <w:left w:val="single" w:sz="8" w:space="0" w:color="auto"/>
              <w:bottom w:val="single" w:sz="4" w:space="0" w:color="auto"/>
              <w:right w:val="single" w:sz="6"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331 208</w:t>
            </w:r>
          </w:p>
        </w:tc>
        <w:tc>
          <w:tcPr>
            <w:tcW w:w="1779" w:type="dxa"/>
            <w:tcBorders>
              <w:top w:val="single" w:sz="4" w:space="0" w:color="auto"/>
              <w:left w:val="single" w:sz="6" w:space="0" w:color="auto"/>
              <w:bottom w:val="single" w:sz="4"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17 343</w:t>
            </w:r>
          </w:p>
        </w:tc>
        <w:tc>
          <w:tcPr>
            <w:tcW w:w="2080" w:type="dxa"/>
            <w:tcBorders>
              <w:top w:val="single" w:sz="4" w:space="0" w:color="auto"/>
              <w:left w:val="nil"/>
              <w:bottom w:val="single" w:sz="4" w:space="0" w:color="auto"/>
              <w:right w:val="single" w:sz="8"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sz w:val="24"/>
                <w:szCs w:val="24"/>
              </w:rPr>
            </w:pPr>
            <w:r>
              <w:rPr>
                <w:rFonts w:ascii="Times New Roman" w:hAnsi="Times New Roman"/>
                <w:b/>
                <w:bCs/>
                <w:noProof/>
                <w:sz w:val="24"/>
                <w:szCs w:val="24"/>
              </w:rPr>
              <w:t>5,2 %</w:t>
            </w:r>
          </w:p>
        </w:tc>
      </w:tr>
    </w:tbl>
    <w:p>
      <w:pPr>
        <w:spacing w:before="120" w:after="120" w:line="240" w:lineRule="auto"/>
        <w:jc w:val="both"/>
        <w:rPr>
          <w:rFonts w:ascii="Times New Roman" w:eastAsia="Times New Roman" w:hAnsi="Times New Roman"/>
          <w:b/>
          <w:noProof/>
          <w:sz w:val="24"/>
          <w:szCs w:val="24"/>
        </w:rPr>
      </w:pPr>
    </w:p>
    <w:p>
      <w:pPr>
        <w:pStyle w:val="Heading2"/>
        <w:rPr>
          <w:noProof/>
        </w:rPr>
      </w:pPr>
      <w:bookmarkStart w:id="11" w:name="_Toc33780461"/>
      <w:r>
        <w:rPr>
          <w:noProof/>
        </w:rPr>
        <w:t>5.5.</w:t>
      </w:r>
      <w:r>
        <w:rPr>
          <w:noProof/>
        </w:rPr>
        <w:tab/>
        <w:t>Спрени от движение превозни средства по категория и по държава членка на регистрация</w:t>
      </w:r>
      <w:bookmarkEnd w:id="11"/>
      <w:r>
        <w:rPr>
          <w:noProof/>
        </w:rPr>
        <w:t xml:space="preserv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приложение 1 е представен общ преглед на дела на спрените от движение превозни средства по държава членка на регистрация. Средният дял на спрените от движение превозни средства във всички държави членки е 7,9 %, като най-често са били спирани от движение превозни средства от категория N2 (превозни средства с максимална маса над 3,5 тона), т.е. делът на спрените от движение превозни средства от тази категория е 11,4 %.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При превозните средства от неуточнената категория „Други“ се наблюдава дял на спрените от движение превозни средства от 9,4 %. Тази категория обаче вероятно включва много типове превозни средства, т.е. селскостопански превозни средства (категория T), леки ремаркета (категории O1 и O2) и лекотоварни микробуси (категория N1) и тяхната проверка се извършва въз основа на национални законодателни мерки.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От 20 май 2018 г. обаче с Директива 2014/47/ЕС проверката на високоскоростни трактори (чиято скорост може да надвишава 40 km/h) стана задължителна в случаите, когато те се използват главно по пътища, отворени за обществено ползване, за целите на търговски превоз на товари.</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Данните от анализите показват, че превозните средства от Австрия и Малта са били спирани от движение по-често, като делът на спрените от движение превозни средства при тях е съответно 37,5 % и 31,9 %. От друга страна, превозните средства от Германия и Люксембург са били спирани от движение най-рядко, като делът на спрените от движение превозни средства при тях е съответно 1,7 % и 2,6 %.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Разликите в тези дялове на спрените от движение превозни средства могат да се обяснят чрез прилагането на различни методи за подбор и проверка и категоризацията на неизправностите в държавите членки.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Германия, Обединеното кралство, Франция и Швеция са извършили проверки на тяхна територия съответно на 94,1 %, 93,4 %, 93 % и 85,8 % от всички превозни средства с техни национални регистрационни номера. В Австрия, България, Финландия, Хърватия, Ирландия, Малта, Полша, Испания и Кипър се наблюдава цифра от над 50 %. Както се очакваше, това показва, че в повечето случаи проверките на превозните средства се извършват при пътувания на територията на собствената държава.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Съществуват обаче няколко изключения. Така например, от всички проверени превозни средства, на които са извършили проверки националните органи в Естония, Италия, Люксембург, Португалия, Румъния и Гърция, по-малко от 10 % са регистрирани в съответните държави членки.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Освен това в приложение 2 са представени подробности за спрените от движение превозни средства по категория превозно средство по държава членка, в която е извършена проверката. Най-големи дялове на спрените от движение превозни средства се наблюдават в Естония (90,6 %), Австрия (63,3 %), Италия (52,6 %) и Малта (50,3 %), докато по-малки дялове на спрените от движение превозни средства се наблюдават в Португалия (0,8 %), България (1,1 %), Люксембург (1,6 %) и Германия (2,2 %). Средният дял на спрените от движение превозни средства за всички държави — членки на ЕС, е 7,6 % — цифра, която се запазва приблизително еднаква спрямо периода на докладване 2015—2016 г. Както се очакваше, извършващите проверки държави членки, които имат по-голям дял на спрените от движение превозни средства, са и държавите членки, които имат най-голям дял на спрените от движение превозни средства, регистрирани на тяхна територия (таблица 4). </w:t>
      </w:r>
    </w:p>
    <w:p>
      <w:pPr>
        <w:spacing w:before="120" w:after="120" w:line="240" w:lineRule="auto"/>
        <w:jc w:val="both"/>
        <w:rPr>
          <w:noProof/>
          <w:sz w:val="24"/>
          <w:szCs w:val="24"/>
        </w:rPr>
      </w:pPr>
    </w:p>
    <w:p>
      <w:pPr>
        <w:pStyle w:val="Heading2"/>
        <w:rPr>
          <w:noProof/>
        </w:rPr>
      </w:pPr>
      <w:bookmarkStart w:id="12" w:name="_Toc33780462"/>
      <w:r>
        <w:rPr>
          <w:noProof/>
        </w:rPr>
        <w:t>5.6.</w:t>
      </w:r>
      <w:r>
        <w:rPr>
          <w:noProof/>
        </w:rPr>
        <w:tab/>
        <w:t>Видове неизправности, докладвани от държавите членки</w:t>
      </w:r>
      <w:bookmarkEnd w:id="12"/>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приложение 3 са показани процентните дялове на неизправностите на превозните средства в деветте подлежащи на проверка области, установени при проверките, извършени от държавите членки през периода на докладване 2017—2018 г.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През периода на докладване най-често срещаните неизправности, установени по време на проверките, се отнасят до техническата изправност:</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ab/>
        <w:t>на осветителното оборудване и електрическите системи (26,4 % от всички регистрирани неизправности);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ab/>
        <w:t>на осите, колелата, гумите, окачването (16,5 % от всички регистрирани неизправности);</w:t>
      </w:r>
      <w:r>
        <w:rPr>
          <w:rFonts w:ascii="Times New Roman" w:hAnsi="Times New Roman"/>
          <w:b/>
          <w:noProof/>
          <w:sz w:val="24"/>
          <w:szCs w:val="24"/>
        </w:rPr>
        <w:t xml:space="preserve"> </w:t>
      </w:r>
    </w:p>
    <w:p>
      <w:pPr>
        <w:spacing w:before="120" w:after="120" w:line="240" w:lineRule="auto"/>
        <w:ind w:left="720" w:hanging="720"/>
        <w:jc w:val="both"/>
        <w:rPr>
          <w:rFonts w:ascii="Times New Roman" w:eastAsia="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на спирачното оборудване (15,1 % от всички регистрирани неизправности) и</w:t>
      </w:r>
    </w:p>
    <w:p>
      <w:pPr>
        <w:spacing w:before="120" w:after="120" w:line="240" w:lineRule="auto"/>
        <w:ind w:left="720" w:hanging="720"/>
        <w:jc w:val="both"/>
        <w:rPr>
          <w:rFonts w:ascii="Times New Roman" w:eastAsia="Times New Roman" w:hAnsi="Times New Roman"/>
          <w:noProof/>
          <w:sz w:val="24"/>
          <w:szCs w:val="24"/>
        </w:rPr>
      </w:pPr>
      <w:r>
        <w:rPr>
          <w:rFonts w:ascii="Times New Roman" w:hAnsi="Times New Roman"/>
          <w:noProof/>
          <w:sz w:val="24"/>
          <w:szCs w:val="24"/>
        </w:rPr>
        <w:t>-           на шасито и приставките на шасито (12,3 %).</w:t>
      </w:r>
    </w:p>
    <w:p>
      <w:pPr>
        <w:spacing w:before="120" w:after="120" w:line="240" w:lineRule="auto"/>
        <w:ind w:left="720" w:hanging="720"/>
        <w:jc w:val="both"/>
        <w:rPr>
          <w:rFonts w:ascii="Times New Roman" w:eastAsia="Times New Roman" w:hAnsi="Times New Roman"/>
          <w:noProof/>
          <w:sz w:val="24"/>
          <w:szCs w:val="24"/>
        </w:rPr>
      </w:pPr>
      <w:r>
        <w:rPr>
          <w:rFonts w:ascii="Times New Roman" w:hAnsi="Times New Roman"/>
          <w:noProof/>
          <w:sz w:val="24"/>
          <w:szCs w:val="24"/>
        </w:rPr>
        <w:t xml:space="preserv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 рамките на деветте области, подлежащи на проверка, държавите членки докладваха за значителни разлики в честотата на установяване на неизправности. В Испания например неизправностите в подлежащата на проверка област „друго оборудване, включително тахограф и устройство за ограничаване на скоростта“ представляват 64,9 % от всички докладвани неизправности през периода на докладване, докато в Обединеното кралство неизправностите в тази област представляват едва 0,8 % от всички неизправности, установени в посочената държава. И тук причините за това най-вероятно са различните методи за изпитване, които държавите членки прилагат; евентуално съчетани с национална политика за поставяне на по-голям акцент върху определена подлежаща на проверка област по време на проверката. Трябва обаче да се признае, че от 20 май 2018 г. с Директива 2014/47/ЕС се въвежда по-голямо хармонизиране на методите за изпитване, оценката на неизправностите и използването на оборудване за изпитване.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Ако сравним цифрите с тези от предходния период, ще установим, че най-значителните намаления се отнасят до подлежащата на проверка област „оси, колела, гуми и окачване“ — от 21,8 % през предходния период на докладване на 16,5 % през текущия период на докладване, както и до подлежащата на проверка област „друго оборудване, включително тахограф и устройство за ограничаване на скоростта“ — от 15,5 % през предходния период на докладване на 11,5 % през текущия период на докладване. Неизправностите, отнасящи се до областта „осветително оборудване и електрическа система“, все още обаче са най-често срещани. При тях се наблюдава увеличение до 26,4 % (с 3,4 % спрямо 23 % през предходния период на докладване). По отношение на другите подлежащи на проверка области величината на промените спрямо предходния период на докладване не е толкова голяма, че да породи някакво силно безпокойство; нито пък е индикация за значителни промени в политиките, които държавите членки прилагат.</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четири от деветте подлежащи на проверка области, а именно „идентификация“, „видимост“, „осветително оборудване и електрическа система“ и „друго оборудване, включително тахограф и устройство за ограничаване на скоростта“, процентите намаляват в сравнение с предходния период на докладване. Делът за „кормилно управление“ остава същият — 2,3 %.  Всъщност във всички тези области, в които се наблюдава леко увеличение спрямо предходния период на докладване, а именно „спирачно оборудване“, „осветително оборудване и електрическа система“, „шаси и приставки на шасито“ и „вредно въздействие, включително емисии и разлив на гориво и/или масло“, увеличението е било по-малко от 5 %.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Също така най-много неизправности са установени в областта „осветително оборудване и електрическа система“, тъй като тя е с най-голям дял в дванадесет държави членки, докато в повечето държави членки неизправностите в областите „идентификация“, „кормилно управление“ и „вредно въздействие, включително емисии и разлив на гориво и/или масло“ обикновено са по-малко от 10 %, с изключение на Франция, където процентът на последната посочена категория достига 25 %, което най-вероятно предполага по-строг подход по отношение на екологичните характеристики на превозното средство. При неизправностите във връзка с „вредно въздействие, включително емисии и изтичания“, които освен че пораждат риск за безопасността на движението по пътищата, оказват и въздействие върху околната среда, след спад от 0,8 % (от 4,1 % на 3,3 %) през предходния период се наблюдава увеличение от 3 % (от 3,3 % на 6,3 %).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И накрая, както беше посочено в таблица 2, двадесет държави членки са извършили проверки на превозни средства, регистрирани извън ЕС. Въпреки това, тъй като общият брой на тези проверки се равнява на едва около 8 % от общия брой на проверките, извършени през периода на докладване, не е възможно да се направят категорични заключения относно състоянието им на техническа изправност.</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Независимо от това, от съображения за пълнота, в приложение 4 към настоящия доклад се съдържат допълнителни подробности — в него е представен обзор на броя на превозните средства, проверени от държавите членки, групирани по държава на регистрация, и на дела на спрените от движение превозни средства.</w:t>
      </w:r>
    </w:p>
    <w:p>
      <w:pPr>
        <w:pStyle w:val="Heading1"/>
        <w:rPr>
          <w:noProof/>
        </w:rPr>
      </w:pPr>
      <w:bookmarkStart w:id="13" w:name="_Toc33780463"/>
      <w:r>
        <w:rPr>
          <w:noProof/>
        </w:rPr>
        <w:t>6.</w:t>
      </w:r>
      <w:r>
        <w:rPr>
          <w:noProof/>
        </w:rPr>
        <w:tab/>
        <w:t>ВИДОВЕ САНКЦИИ</w:t>
      </w:r>
      <w:bookmarkEnd w:id="13"/>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 Директива 2000/30/ЕО не е предвиден режим на санкции за никое от констатираните нарушения. Вместо това държавите членки трябва да определят санкциите без да прилагат дискриминация на основата на националността на водача или държавата на регистрация или пускане в експлоатация на превозното средство.</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Както беше посочено по-горе, с Директива 2000/30/ЕО органът или проверяващият, който извършва проверката, се упълномощава да спре от движение дадено превозно средство до отстраняване на установените опасни неизправности, ако се установи, че въпросното търговско превозно средство представлява сериозен риск за пътниците или за другите участници в пътното движение.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Също така опасните неизправности на търговско превозно средство, собственост на лице, което не пребивава в съответната държава, и по-специално неизправностите, водещи до спиране от движение на превозното средство, трябва да бъдат докладвани на компетентните органи на държавата членка, в която превозното средство е регистрирано.</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Компетентните органи на държавата членка, които са установили опасната неизправност, могат да поискат от компетентните органи на държавата членка, в която превозното средство е регистрирано, да предприемат подходящи мерки, като например да подложат превозното средство на допълнителен технически преглед. На държавата членка на регистрация обаче е предоставено правото да извърши всяко действие, което счете за необходимо, като не се изисква то да бъде докладвано.</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На практика финансовото отражение върху ползвателя, свързано с притежаването на опасно неизправно превозно средство, което е спряно от движение, не се изразява само в потенциалната глоба, налагана от органите на държавата членка, която извършва проверката. Възможно е да има допълнителни разходи, като например разходи за теглене на превозното средство до съоръжение за проверка с цел „по-подробна“ проверка, съчетани с разходи за самата проверка и разходи, свързани с евентуален ремонт, необходим за отстраняване на неизправностите. Освен това има и непреки разходи за ползвателя при потенциално неспазване на графика.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И накрая, съгласно Директива 2014/47/ЕС от 20 май 2019 г. информацията относно броя и сериозността на неизправностите ще трябва да се въвежда в системата за оценка на риска, установена съгласно Директива 2006/22/ЕО</w:t>
      </w:r>
      <w:r>
        <w:rPr>
          <w:rFonts w:ascii="Times New Roman" w:eastAsia="Times New Roman" w:hAnsi="Times New Roman"/>
          <w:noProof/>
          <w:sz w:val="24"/>
          <w:szCs w:val="24"/>
          <w:vertAlign w:val="superscript"/>
        </w:rPr>
        <w:footnoteReference w:id="8"/>
      </w:r>
      <w:r>
        <w:rPr>
          <w:rFonts w:ascii="Times New Roman" w:hAnsi="Times New Roman"/>
          <w:noProof/>
          <w:sz w:val="24"/>
          <w:szCs w:val="24"/>
        </w:rPr>
        <w:t>. Превозните средства на предприятия, оценени като високорискови, може по-често да бъдат избирани за крайпътни проверки.</w:t>
      </w:r>
    </w:p>
    <w:p>
      <w:pPr>
        <w:pStyle w:val="Heading1"/>
        <w:rPr>
          <w:noProof/>
        </w:rPr>
      </w:pPr>
      <w:bookmarkStart w:id="14" w:name="_Toc33780464"/>
      <w:r>
        <w:rPr>
          <w:noProof/>
        </w:rPr>
        <w:t>7.</w:t>
      </w:r>
      <w:r>
        <w:rPr>
          <w:noProof/>
        </w:rPr>
        <w:tab/>
        <w:t>ОБОБЩЕНИ ЗАКЛЮЧЕНИЯ</w:t>
      </w:r>
      <w:bookmarkEnd w:id="14"/>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Както беше отбелязано в глава 3 от настоящия доклад, поради установените разлики в метода за проверка, събирането на данни и докладването, въз основа на настоящия доклад не следва да се правят категорични заключения и резултатите следва да се разглеждат предпазливо. Като се има предвид това, основните констатации от събраните данни за периода на докладване 2017—2018 г. са следните:</w:t>
      </w:r>
    </w:p>
    <w:p>
      <w:pPr>
        <w:pStyle w:val="Heading2"/>
        <w:rPr>
          <w:noProof/>
        </w:rPr>
      </w:pPr>
      <w:bookmarkStart w:id="15" w:name="_Toc33780465"/>
      <w:r>
        <w:rPr>
          <w:noProof/>
        </w:rPr>
        <w:t>7.1        Проверки</w:t>
      </w:r>
      <w:bookmarkEnd w:id="15"/>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sz w:val="24"/>
          <w:szCs w:val="24"/>
        </w:rPr>
        <w:t xml:space="preserve">В сравнение с периода на докладване 2015—2016 г. през периода на докладване 2017—2018 г. бяха проверени </w:t>
      </w:r>
      <w:r>
        <w:rPr>
          <w:rFonts w:ascii="Times New Roman" w:hAnsi="Times New Roman"/>
          <w:b/>
          <w:sz w:val="24"/>
          <w:szCs w:val="24"/>
        </w:rPr>
        <w:t>1 048 863 по-малко превозни средства</w:t>
      </w:r>
      <w:r>
        <w:rPr>
          <w:rFonts w:ascii="Times New Roman" w:hAnsi="Times New Roman"/>
          <w:sz w:val="24"/>
          <w:szCs w:val="24"/>
        </w:rPr>
        <w:t xml:space="preserve">, което представлява </w:t>
      </w:r>
      <w:r>
        <w:rPr>
          <w:rFonts w:ascii="Times New Roman" w:hAnsi="Times New Roman"/>
          <w:b/>
          <w:sz w:val="24"/>
          <w:szCs w:val="24"/>
        </w:rPr>
        <w:t>намаление с 20,9 %</w:t>
      </w:r>
      <w:r>
        <w:rPr>
          <w:rFonts w:ascii="Times New Roman" w:hAnsi="Times New Roman"/>
          <w:sz w:val="24"/>
          <w:szCs w:val="24"/>
        </w:rPr>
        <w:t>. Според обясненията, представени от държавите членки, това е комбинираният резултат от намалени ресурси, реорганизация, промени в националното законодателство и прилагане на правилата.</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sz w:val="24"/>
          <w:szCs w:val="24"/>
        </w:rPr>
        <w:t xml:space="preserve">Във всеки случай шестнадесет държави членки са извършили по-малко проверки, като процентното намаление варира от 1,2 % за Италия до намаление от 93,3 % за Гърция. От друга страна, дванадесет държави членки са регистрирали увеличение на броя на извършените проверки, като процентното увеличение варира от 1,8 % за Латвия до 429,4 % за Люксембург. </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sz w:val="24"/>
          <w:szCs w:val="24"/>
        </w:rPr>
        <w:t>57,7 % от извършените през периода на докладване проверки са на превозни средства, регистрирани в държавата членка, в която е извършена проверката, 34,1 % са на превозни средства, регистрирани в друга държава членка, и 8,2 % са на превозни средства, регистрирани извън ЕС.</w:t>
      </w:r>
    </w:p>
    <w:p>
      <w:pPr>
        <w:pStyle w:val="ListParagraph"/>
        <w:spacing w:before="120" w:after="120" w:line="240" w:lineRule="auto"/>
        <w:ind w:left="783"/>
        <w:jc w:val="both"/>
        <w:rPr>
          <w:rFonts w:ascii="Times New Roman" w:eastAsia="Times New Roman" w:hAnsi="Times New Roman"/>
          <w:sz w:val="24"/>
          <w:szCs w:val="24"/>
        </w:rPr>
      </w:pPr>
    </w:p>
    <w:p>
      <w:pPr>
        <w:pStyle w:val="ListParagraph"/>
        <w:ind w:left="783"/>
        <w:jc w:val="both"/>
        <w:rPr>
          <w:rFonts w:ascii="Times New Roman" w:eastAsia="Times New Roman" w:hAnsi="Times New Roman"/>
          <w:sz w:val="24"/>
          <w:szCs w:val="24"/>
        </w:rPr>
      </w:pPr>
      <w:r>
        <w:rPr>
          <w:rFonts w:ascii="Times New Roman" w:hAnsi="Times New Roman"/>
          <w:sz w:val="24"/>
          <w:szCs w:val="24"/>
        </w:rPr>
        <w:t>Делът на местните превозни средства спрямо общия брой на проверените превозни средства също варира значително. В Австрия, Белгия, Франция, Люксембург и в незначителна степен в Полша, където делът на проверките на местни превозни средства е под 50 %, следва да се положат усилия, за да се гарантира по-балансирано съотношение на проверките, което се доближава повече до това в други държави членки със значителен транзитен трафик.</w:t>
      </w:r>
    </w:p>
    <w:p>
      <w:pPr>
        <w:pStyle w:val="ListParagraph"/>
        <w:spacing w:before="120" w:after="120" w:line="240" w:lineRule="auto"/>
        <w:ind w:left="783"/>
        <w:jc w:val="both"/>
        <w:rPr>
          <w:rFonts w:ascii="Times New Roman" w:eastAsia="Times New Roman" w:hAnsi="Times New Roman"/>
          <w:sz w:val="24"/>
          <w:szCs w:val="24"/>
        </w:rPr>
      </w:pPr>
    </w:p>
    <w:p>
      <w:pPr>
        <w:pStyle w:val="Heading2"/>
        <w:rPr>
          <w:noProof/>
        </w:rPr>
      </w:pPr>
      <w:bookmarkStart w:id="16" w:name="_Toc33780466"/>
      <w:r>
        <w:rPr>
          <w:noProof/>
        </w:rPr>
        <w:t>7.2        Спрени от движение преводни средства</w:t>
      </w:r>
      <w:bookmarkEnd w:id="16"/>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sz w:val="24"/>
          <w:szCs w:val="24"/>
        </w:rPr>
        <w:t xml:space="preserve">В сравнение с предходния период бяха спрени от движение 99 617 броя </w:t>
      </w:r>
      <w:r>
        <w:rPr>
          <w:rFonts w:ascii="Times New Roman" w:hAnsi="Times New Roman"/>
          <w:b/>
          <w:sz w:val="24"/>
          <w:szCs w:val="24"/>
        </w:rPr>
        <w:t>по-малко превозни средства</w:t>
      </w:r>
      <w:r>
        <w:rPr>
          <w:rFonts w:ascii="Times New Roman" w:hAnsi="Times New Roman"/>
          <w:sz w:val="24"/>
          <w:szCs w:val="24"/>
        </w:rPr>
        <w:t xml:space="preserve">, което представлява </w:t>
      </w:r>
      <w:r>
        <w:rPr>
          <w:rFonts w:ascii="Times New Roman" w:hAnsi="Times New Roman"/>
          <w:b/>
          <w:sz w:val="24"/>
          <w:szCs w:val="24"/>
        </w:rPr>
        <w:t>намаление с 24,7 %</w:t>
      </w:r>
      <w:r>
        <w:rPr>
          <w:rFonts w:ascii="Times New Roman" w:hAnsi="Times New Roman"/>
          <w:sz w:val="24"/>
          <w:szCs w:val="24"/>
        </w:rPr>
        <w:t xml:space="preserve">. </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sz w:val="24"/>
          <w:szCs w:val="24"/>
        </w:rPr>
        <w:t>Четиринадесет държави членки са регистрирали увеличение на броя на наложените спирания от движение, като той се е увеличил от 4,1 % в случая на Австрия до 3203 % в случая на Финландия. От друга страна, четиринадесет държави членки са регистрирали спад в броя на наложените спирания от движение, като този дял варира от 1,7 % за Германия до намаление от 99 % за Португалия. С изключение на Кипър, Франция и Словакия, броят на спиранията от движение като цяло се е увеличил или е намалял съобразно с броя на проверките, което предполага промяна в политиката, прилагана в тези държави членки.</w:t>
      </w:r>
    </w:p>
    <w:p>
      <w:pPr>
        <w:spacing w:before="120" w:after="120" w:line="240" w:lineRule="auto"/>
        <w:ind w:left="780"/>
        <w:jc w:val="both"/>
        <w:rPr>
          <w:rFonts w:ascii="Times New Roman" w:eastAsia="Times New Roman" w:hAnsi="Times New Roman" w:cs="Times New Roman"/>
          <w:noProof/>
          <w:color w:val="FF0000"/>
          <w:sz w:val="24"/>
          <w:szCs w:val="24"/>
          <w:highlight w:val="yellow"/>
        </w:rPr>
      </w:pPr>
      <w:r>
        <w:rPr>
          <w:rFonts w:ascii="Times New Roman" w:hAnsi="Times New Roman"/>
          <w:noProof/>
          <w:sz w:val="24"/>
          <w:szCs w:val="24"/>
        </w:rPr>
        <w:t xml:space="preserve">Що се отнася до произхода на спрените от движение превозни средства, общият дял на спрените от движение местни превозни средства е 8,1 %; той е 7,6 % за превозни средства от ЕС (с изключение на местните) и 5,1 % за превозни средства, регистрирани извън ЕС. Това показва, че като цяло стандартите се прилагат еднакво за превозни средства от ЕС, независимо от държавата на произход на превозното средство.  Вероятно причината, поради която делът на спрените от движение превозни средства от държави извън ЕС е по-нисък, се дължи на факта, че за пътуванията в рамките на ЕС ползвателите избират да изпратят най-новите си и най-добре поддържани превозни средства. По-малкият дял на спрените от движение превозни средства показва, че използването на по-целенасочен подход не е разпространено, но се очаква това да се промени с прилагането на Директива 2014/47/ЕС, която изисква държавите членки да регулират своите системи за проверка.  </w:t>
      </w: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sz w:val="24"/>
          <w:szCs w:val="24"/>
        </w:rPr>
        <w:t>И накрая, средният дял за всички държави членки на спрените от движение превозни средства, регистрирани в ЕС, е 7,9 %. Категория N2 (или тежкотоварни автомобили) е типът превозно средство, който е най-често спиран от движение, т.е. делът на спиранията от движение е 11,4 %. Регистрираните в Швеция и Малта превозни средства са по-често спирани от движение, като дяловете на спрените от движение превозни средства са съответно 37,5 % и 31,9 %. От друга страна, превозните средства от Германия и Люксембург са били спирани от движение най-рядко, като делът на спрените от движение превозни средства е съответно 1,7 % и 2,6 %. Причините за разликите в тези дялове на спиранията от движение не са известни на Комисията, поради което се предполага, че те трябва да се дължат на прилагането на различни методи за проверка и на категоризацията на неизправностите в държавите членки.</w:t>
      </w:r>
    </w:p>
    <w:p>
      <w:pPr>
        <w:pStyle w:val="ListParagraph"/>
        <w:spacing w:before="120" w:after="120" w:line="240" w:lineRule="auto"/>
        <w:ind w:left="783"/>
        <w:jc w:val="both"/>
        <w:rPr>
          <w:rFonts w:ascii="Times New Roman" w:eastAsia="Times New Roman" w:hAnsi="Times New Roman"/>
          <w:sz w:val="24"/>
          <w:szCs w:val="24"/>
        </w:rPr>
      </w:pPr>
    </w:p>
    <w:p>
      <w:pPr>
        <w:pStyle w:val="Heading2"/>
        <w:rPr>
          <w:noProof/>
        </w:rPr>
      </w:pPr>
      <w:bookmarkStart w:id="17" w:name="_Toc33780467"/>
      <w:r>
        <w:rPr>
          <w:noProof/>
        </w:rPr>
        <w:t>7.3        Неизправности</w:t>
      </w:r>
      <w:bookmarkEnd w:id="17"/>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sz w:val="24"/>
          <w:szCs w:val="24"/>
        </w:rPr>
        <w:t xml:space="preserve">Двата най-често срещани вида неизправности, установени по време на проверките, които са извършени през периода на докладване, са свързани с подлежащите на проверка области „осветително оборудване и електрическа система“ и „оси, колела, гуми и окачване“. На тях се падат съответно 26,4 % и 16,5 % от всички регистрирани неизправности. На областта „друго оборудване, включително тахограф и устройство за ограничаване на скоростта“ се падат 11,5 % от всички регистрирани неизправности в държавите членки, което представлява намаление спрямо 15,5 % за предходния период на докладване. Следва да се отбележи, че проверките в областта „вредно въздействие, включително емисии и разлив на гориво и/или масло“ почти са се удвоили — от 3,3 % през периода на докладване 2015—2016 г. на 6,3 % през текущия период на докладване, което е положителен знак за екологичните проверки на превозните средства. </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hAnsi="Times New Roman"/>
          <w:sz w:val="24"/>
          <w:szCs w:val="24"/>
        </w:rPr>
        <w:t>Въпреки това сред държавите членки продължават да съществуват значителни разлики в процентите на спрени от движение превозни средства за подлежаща на проверки област. В Испания например неизправностите в подлежащата на проверка област „друго оборудване, включително тахограф и устройство за ограничаване на скоростта“ представляват 64,9 % от всички регистрирани неизправности през периода на докладване, докато в Обединеното кралство неизправностите в тази област представляват едва 0,8 % от всички неизправности, установени там. Причините за това отново най-вероятно са различните методи за проверка, които държавите членки прилагат. Очаква се обаче тези разлики да намалеят след 20 май 2018 г., след като Директива 2014/47/ЕС влезе в сила, т.е. с нея ще се въведе по-голямо хармонизиране на методите за изпитване, оценката на неизправностите и използването на оборудване за изпитване.</w:t>
      </w:r>
    </w:p>
    <w:sectPr>
      <w:headerReference w:type="even" r:id="rId22"/>
      <w:headerReference w:type="default" r:id="rId23"/>
      <w:footerReference w:type="even" r:id="rId24"/>
      <w:footerReference w:type="default" r:id="rId25"/>
      <w:headerReference w:type="first" r:id="rId26"/>
      <w:footerReference w:type="first" r:id="rId27"/>
      <w:pgSz w:w="11907" w:h="16839"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6472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8278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21</w:t>
        </w:r>
        <w:r>
          <w:fldChar w:fldCharType="end"/>
        </w:r>
      </w:p>
    </w:sdtContent>
  </w:sdt>
  <w:p>
    <w:pPr>
      <w:pStyle w:val="FooterLandscape"/>
      <w:rPr>
        <w:rFonts w:ascii="Arial" w:hAnsi="Arial" w:cs="Arial"/>
        <w:b/>
        <w:sz w:val="48"/>
        <w:lang w:val="es-E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Регламент (ЕО) № 1072/2009 на Европейския парламент и на Съвета от 21 октомври 2009 г. относно общите правила за достъп до пазара на международни автомобилни превози на товари (преработен), OВ L 300, 14.11.2009 г., стр. 72.</w:t>
      </w:r>
    </w:p>
  </w:footnote>
  <w:footnote w:id="2">
    <w:p>
      <w:pPr>
        <w:pStyle w:val="FootnoteText"/>
      </w:pPr>
      <w:r>
        <w:rPr>
          <w:rStyle w:val="FootnoteReference"/>
        </w:rPr>
        <w:footnoteRef/>
      </w:r>
      <w:r>
        <w:tab/>
        <w:t>Директива 2009/40/ЕО на Европейския парламент и на Съвета от 6 май 2009 г. относно прегледите за проверка на техническата изправност на моторните превозни средства и техните ремаркета (преработена) (ОВ L 141, 6.6.2009 г., стр. 12).</w:t>
      </w:r>
    </w:p>
  </w:footnote>
  <w:footnote w:id="3">
    <w:p>
      <w:pPr>
        <w:pStyle w:val="FootnoteText"/>
      </w:pPr>
      <w:r>
        <w:rPr>
          <w:rStyle w:val="FootnoteReference"/>
        </w:rPr>
        <w:footnoteRef/>
      </w:r>
      <w:r>
        <w:tab/>
        <w:t>Директива 2000/30/ЕО на Европейския парламент и на Съвета от 6 юни 2000 г. относно крайпътните технически проверки на движещите се на територията на Общността търговски превозни средства (ОВ L 203, 10.8.2000 г., стр. 1).</w:t>
      </w:r>
    </w:p>
  </w:footnote>
  <w:footnote w:id="4">
    <w:p>
      <w:pPr>
        <w:pStyle w:val="FootnoteText"/>
      </w:pPr>
      <w:r>
        <w:rPr>
          <w:rStyle w:val="FootnoteReference"/>
        </w:rPr>
        <w:footnoteRef/>
      </w:r>
      <w:r>
        <w:t xml:space="preserve"> </w:t>
      </w:r>
      <w:r>
        <w:tab/>
        <w:t>Директива 2014/47/ЕС на Европейския парламент и на Съвета от 3 април 2014 г. относно крайпътната техническа проверка на изправността на търговски превозни средства, които се движат на територията на Съюза, и за отмяна на Директива 2000/30/ЕО, ОВ L 127, 29.4.2014 г., стр. 134.</w:t>
      </w:r>
    </w:p>
  </w:footnote>
  <w:footnote w:id="5">
    <w:p>
      <w:pPr>
        <w:pStyle w:val="FootnoteText"/>
      </w:pPr>
      <w:r>
        <w:rPr>
          <w:rStyle w:val="FootnoteReference"/>
        </w:rPr>
        <w:footnoteRef/>
      </w:r>
      <w:r>
        <w:t xml:space="preserve"> </w:t>
      </w:r>
      <w:r>
        <w:tab/>
        <w:t xml:space="preserve">Първоначалните проверки включват проверка на документацията и визуална оценка на техническото състояние на превозното средство; от друга страна, по-подробните проверки (следващи, ако е необходимо, първоначалните проверки) трябва да се извършват с помощта на подвижна станция за проверка, в предназначено за крайпътна проверка съоръжение или в контролно-технически пункт. </w:t>
      </w:r>
    </w:p>
  </w:footnote>
  <w:footnote w:id="6">
    <w:p>
      <w:pPr>
        <w:pStyle w:val="FootnoteText"/>
      </w:pPr>
      <w:r>
        <w:rPr>
          <w:rStyle w:val="FootnoteReference"/>
        </w:rPr>
        <w:footnoteRef/>
      </w:r>
      <w:r>
        <w:t xml:space="preserve"> </w:t>
      </w:r>
      <w:r>
        <w:tab/>
        <w:t>С Директива 2014/47/ЕС беше въведена задължителна система за оценка на риска във всички държави членки от 20 май 2019 г.  Лошите резултати от крайпътните проверки във връзка с броя и сериозността на неизправностите, установени както при проверките на техническата изправност, така и при проверките на сигурността на товара, ще доведат до това ползвателите да получават оценка за по-висока степен на риск. След това компетентните органи на държавите членки ще използват тази информация, за да проверяват ползвателите с висока степен на риск по-често.</w:t>
      </w:r>
    </w:p>
  </w:footnote>
  <w:footnote w:id="7">
    <w:p>
      <w:pPr>
        <w:pStyle w:val="FootnoteText"/>
        <w:jc w:val="left"/>
      </w:pPr>
      <w:r>
        <w:rPr>
          <w:rStyle w:val="FootnoteReference"/>
        </w:rPr>
        <w:footnoteRef/>
      </w:r>
      <w:r>
        <w:tab/>
        <w:t>Директива 2010/47/ЕС на Комисията от 5 юли 2010 г. за привеждане в съответствие с техническия прогрес на Директива 2000/30/ЕО, ОВ L 173, 8.7.2010 г., стр. 33.</w:t>
      </w:r>
    </w:p>
  </w:footnote>
  <w:footnote w:id="8">
    <w:p>
      <w:pPr>
        <w:pStyle w:val="FootnoteText"/>
      </w:pPr>
      <w:r>
        <w:rPr>
          <w:rStyle w:val="FootnoteReference"/>
        </w:rPr>
        <w:footnoteRef/>
      </w:r>
      <w:r>
        <w:t xml:space="preserve"> </w:t>
      </w:r>
      <w:r>
        <w:tab/>
        <w:t xml:space="preserve">Директива 2006/22/ЕО на Европейския парламент и на Съвета от 15 март 2006 г. относно минималните условия за изпълнение на Регламенти (ЕИО) № 3820/85 и (ЕИО) № 3821/85 на Съвета относно социалното законодателство, свързано с дейностите по автомобилния транспорт, и за отмяна на Директива 88/559/ЕИО на Съвета, ОВ L 102, 11.4.2006 г., стр. 35.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5D3976"/>
    <w:multiLevelType w:val="hybridMultilevel"/>
    <w:tmpl w:val="6ED8F4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nsid w:val="03AE497A"/>
    <w:multiLevelType w:val="singleLevel"/>
    <w:tmpl w:val="34180612"/>
    <w:name w:val="List Bullet 1"/>
    <w:lvl w:ilvl="0">
      <w:start w:val="1"/>
      <w:numFmt w:val="bullet"/>
      <w:lvlRestart w:val="0"/>
      <w:lvlText w:val=""/>
      <w:lvlJc w:val="left"/>
      <w:pPr>
        <w:tabs>
          <w:tab w:val="num" w:pos="1134"/>
        </w:tabs>
        <w:ind w:left="1134" w:hanging="283"/>
      </w:pPr>
      <w:rPr>
        <w:rFonts w:ascii="Symbol" w:hAnsi="Symbol"/>
      </w:rPr>
    </w:lvl>
  </w:abstractNum>
  <w:abstractNum w:abstractNumId="4">
    <w:nsid w:val="118841AB"/>
    <w:multiLevelType w:val="hybridMultilevel"/>
    <w:tmpl w:val="F2C07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name w:val="0.1605952"/>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name w:val="0.5885388"/>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7F03D04"/>
    <w:multiLevelType w:val="hybridMultilevel"/>
    <w:tmpl w:val="5016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BC2859"/>
    <w:multiLevelType w:val="multilevel"/>
    <w:tmpl w:val="A738782E"/>
    <w:name w:val="List Number 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67E1F76"/>
    <w:multiLevelType w:val="multilevel"/>
    <w:tmpl w:val="7B4A48A6"/>
    <w:lvl w:ilvl="0">
      <w:start w:val="1"/>
      <w:numFmt w:val="lowerLetter"/>
      <w:lvlText w:val="%1)"/>
      <w:lvlJc w:val="left"/>
      <w:pPr>
        <w:tabs>
          <w:tab w:val="num" w:pos="1560"/>
        </w:tabs>
        <w:ind w:left="1560" w:hanging="709"/>
      </w:p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E155465"/>
    <w:multiLevelType w:val="hybridMultilevel"/>
    <w:tmpl w:val="BE60F832"/>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61239CE"/>
    <w:multiLevelType w:val="hybridMultilevel"/>
    <w:tmpl w:val="2DDA5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08E7F4B"/>
    <w:multiLevelType w:val="hybridMultilevel"/>
    <w:tmpl w:val="5F22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6">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A5E48DA"/>
    <w:multiLevelType w:val="hybridMultilevel"/>
    <w:tmpl w:val="12C4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BB66E5"/>
    <w:multiLevelType w:val="hybridMultilevel"/>
    <w:tmpl w:val="3F74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0"/>
  </w:num>
  <w:num w:numId="2">
    <w:abstractNumId w:val="31"/>
  </w:num>
  <w:num w:numId="3">
    <w:abstractNumId w:val="20"/>
  </w:num>
  <w:num w:numId="4">
    <w:abstractNumId w:val="37"/>
  </w:num>
  <w:num w:numId="5">
    <w:abstractNumId w:val="13"/>
  </w:num>
  <w:num w:numId="6">
    <w:abstractNumId w:val="21"/>
  </w:num>
  <w:num w:numId="7">
    <w:abstractNumId w:val="9"/>
  </w:num>
  <w:num w:numId="8">
    <w:abstractNumId w:val="36"/>
  </w:num>
  <w:num w:numId="9">
    <w:abstractNumId w:val="6"/>
  </w:num>
  <w:num w:numId="10">
    <w:abstractNumId w:val="22"/>
  </w:num>
  <w:num w:numId="11">
    <w:abstractNumId w:val="29"/>
  </w:num>
  <w:num w:numId="12">
    <w:abstractNumId w:val="30"/>
  </w:num>
  <w:num w:numId="13">
    <w:abstractNumId w:val="12"/>
  </w:num>
  <w:num w:numId="14">
    <w:abstractNumId w:val="27"/>
  </w:num>
  <w:num w:numId="15">
    <w:abstractNumId w:val="43"/>
  </w:num>
  <w:num w:numId="16">
    <w:abstractNumId w:val="7"/>
  </w:num>
  <w:num w:numId="17">
    <w:abstractNumId w:val="10"/>
  </w:num>
  <w:num w:numId="18">
    <w:abstractNumId w:val="35"/>
  </w:num>
  <w:num w:numId="19">
    <w:abstractNumId w:val="14"/>
  </w:num>
  <w:num w:numId="20">
    <w:abstractNumId w:val="33"/>
  </w:num>
  <w:num w:numId="21">
    <w:abstractNumId w:val="23"/>
  </w:num>
  <w:num w:numId="22">
    <w:abstractNumId w:val="15"/>
  </w:num>
  <w:num w:numId="23">
    <w:abstractNumId w:val="3"/>
  </w:num>
  <w:num w:numId="24">
    <w:abstractNumId w:val="18"/>
  </w:num>
  <w:num w:numId="25">
    <w:abstractNumId w:val="1"/>
  </w:num>
  <w:num w:numId="26">
    <w:abstractNumId w:val="0"/>
  </w:num>
  <w:num w:numId="27">
    <w:abstractNumId w:val="19"/>
  </w:num>
  <w:num w:numId="28">
    <w:abstractNumId w:val="17"/>
  </w:num>
  <w:num w:numId="29">
    <w:abstractNumId w:val="38"/>
  </w:num>
  <w:num w:numId="30">
    <w:abstractNumId w:val="32"/>
  </w:num>
  <w:num w:numId="31">
    <w:abstractNumId w:val="26"/>
  </w:num>
  <w:num w:numId="32">
    <w:abstractNumId w:val="8"/>
  </w:num>
  <w:num w:numId="33">
    <w:abstractNumId w:val="5"/>
  </w:num>
  <w:num w:numId="34">
    <w:abstractNumId w:val="11"/>
  </w:num>
  <w:num w:numId="35">
    <w:abstractNumId w:val="39"/>
  </w:num>
  <w:num w:numId="36">
    <w:abstractNumId w:val="42"/>
  </w:num>
  <w:num w:numId="37">
    <w:abstractNumId w:val="16"/>
  </w:num>
  <w:num w:numId="38">
    <w:abstractNumId w:val="24"/>
  </w:num>
  <w:num w:numId="39">
    <w:abstractNumId w:val="4"/>
  </w:num>
  <w:num w:numId="40">
    <w:abstractNumId w:val="41"/>
  </w:num>
  <w:num w:numId="41">
    <w:abstractNumId w:val="25"/>
  </w:num>
  <w:num w:numId="42">
    <w:abstractNumId w:val="34"/>
  </w:num>
  <w:num w:numId="43">
    <w:abstractNumId w:val="28"/>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0A4F176-4E4A-4B32-A606-6D703151AFD8"/>
    <w:docVar w:name="LW_COVERPAGE_TYPE" w:val="1"/>
    <w:docVar w:name="LW_CROSSREFERENCE" w:val="&lt;UNUSED&gt;"/>
    <w:docVar w:name="LW_DocType" w:val="NORMAL"/>
    <w:docVar w:name="LW_EMISSION" w:val="23.3.2020"/>
    <w:docVar w:name="LW_EMISSION_ISODATE" w:val="2020-03-23"/>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7?\u1088?\u1080?\u1083?\u1072?\u1075?\u1072?\u1085?\u1077?\u1090?\u1086? \u1086?\u1090? \u1076?\u1098?\u1088?\u1078?\u1072?\u1074?\u1080?\u1090?\u1077? \u1095?\u1083?\u1077?\u1085?\u1082?\u1080? \u1085?\u1072? \u1044?\u1080?\u1088?\u1077?\u1082?\u1090?\u1080?\u1074?\u1072? 2000/30/\u1045?\u1054? \u1085?\u1072? \u1045?\u1074?\u1088?\u1086?\u1087?\u1077?\u1081?\u1089?\u1082?\u1080?\u1103? \u1087?\u1072?\u1088?\u1083?\u1072?\u1084?\u1077?\u1085?\u1090? \u1080? \u1085?\u1072? \u1057?\u1098?\u1074?\u1077?\u1090?\u1072? \u1086?\u1090? 6 \u1102?\u1085?\u1080? 2000 \u1075?. \u1086?\u1090?\u1085?\u1086?\u1089?\u1085?\u1086? \u1082?\u1088?\u1072?\u1081?\u1087?\u1098?\u1090?\u1085?\u1080?\u1090?\u1077? \u1090?\u1077?\u1093?\u1085?\u1080?\u1095?\u1077?\u1089?\u1082?\u1080? \u1087?\u1088?\u1086?\u1074?\u1077?\u1088?\u1082?\u1080? \u1085?\u1072? \u1076?\u1074?\u1080?\u1078?\u1077?\u1097?\u1080?\u1090?\u1077? \u1089?\u1077? \u1085?\u1072? \u1090?\u1077?\u1088?\u1080?\u1090?\u1086?\u1088?\u1080?\u1103?\u1090?\u1072? \u1085?\u1072? \u1054?\u1073?\u1097?\u1085?\u1086?\u1089?\u1090?\u1090?\u1072? \u1090?\u1098?\u1088?\u1075?\u1086?\u1074?\u1089?\u1082?\u1080? \u1087?\u1088?\u1077?\u1074?\u1086?\u1079?\u1085?\u1080? \u1089?\u1088?\u1077?\u1076?\u1089?\u1090?\u1074?\u1072?&lt;/FMT&gt;_x000d__x000b__x000b_&lt;FMT:Bold&gt;\u1055?\u1077?\u1088?\u1080?\u1086?\u1076? \u1085?\u1072? \u1076?\u1086?\u1082?\u1083?\u1072?\u1076?\u1074?\u1072?\u1085?\u1077? 2017\u8212?2018 \u1075?\u1086?\u1076?\u1080?\u1085?\u1072?&lt;/FMT&gt;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6"/>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6"/>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8"/>
      </w:numPr>
      <w:spacing w:before="0" w:after="240"/>
    </w:pPr>
    <w:rPr>
      <w:szCs w:val="20"/>
    </w:rPr>
  </w:style>
  <w:style w:type="paragraph" w:customStyle="1" w:styleId="ListBullet1">
    <w:name w:val="List Bullet 1"/>
    <w:basedOn w:val="Text1"/>
    <w:pPr>
      <w:numPr>
        <w:numId w:val="17"/>
      </w:numPr>
      <w:spacing w:before="0" w:after="240"/>
    </w:pPr>
    <w:rPr>
      <w:szCs w:val="20"/>
    </w:rPr>
  </w:style>
  <w:style w:type="paragraph" w:customStyle="1" w:styleId="ListDash">
    <w:name w:val="List Dash"/>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0"/>
      </w:numPr>
      <w:spacing w:before="0" w:after="240"/>
    </w:pPr>
    <w:rPr>
      <w:szCs w:val="20"/>
    </w:rPr>
  </w:style>
  <w:style w:type="paragraph" w:customStyle="1" w:styleId="ListDash3">
    <w:name w:val="List Dash 3"/>
    <w:basedOn w:val="Text3"/>
    <w:pPr>
      <w:numPr>
        <w:numId w:val="21"/>
      </w:numPr>
      <w:spacing w:before="0" w:after="240"/>
    </w:pPr>
    <w:rPr>
      <w:szCs w:val="20"/>
    </w:rPr>
  </w:style>
  <w:style w:type="paragraph" w:customStyle="1" w:styleId="ListNumber1">
    <w:name w:val="List Number 1"/>
    <w:basedOn w:val="Text1"/>
    <w:pPr>
      <w:numPr>
        <w:ilvl w:val="2"/>
        <w:numId w:val="22"/>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2"/>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8"/>
      </w:numPr>
      <w:spacing w:before="0" w:after="240"/>
    </w:pPr>
    <w:rPr>
      <w:szCs w:val="20"/>
    </w:rPr>
  </w:style>
  <w:style w:type="paragraph" w:styleId="ListBullet4">
    <w:name w:val="List Bullet 4"/>
    <w:basedOn w:val="Text4"/>
    <w:pPr>
      <w:numPr>
        <w:numId w:val="29"/>
      </w:numPr>
      <w:spacing w:before="0" w:after="240"/>
    </w:pPr>
    <w:rPr>
      <w:szCs w:val="20"/>
    </w:rPr>
  </w:style>
  <w:style w:type="paragraph" w:styleId="ListBullet5">
    <w:name w:val="List Bullet 5"/>
    <w:basedOn w:val="Normal"/>
    <w:autoRedefine/>
    <w:pPr>
      <w:numPr>
        <w:numId w:val="25"/>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3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33"/>
      </w:numPr>
      <w:spacing w:before="0" w:after="240"/>
    </w:pPr>
    <w:rPr>
      <w:szCs w:val="20"/>
    </w:rPr>
  </w:style>
  <w:style w:type="paragraph" w:styleId="ListNumber3">
    <w:name w:val="List Number 3"/>
    <w:basedOn w:val="Text3"/>
    <w:pPr>
      <w:numPr>
        <w:numId w:val="34"/>
      </w:numPr>
      <w:spacing w:before="0" w:after="240"/>
    </w:pPr>
    <w:rPr>
      <w:szCs w:val="20"/>
    </w:rPr>
  </w:style>
  <w:style w:type="paragraph" w:styleId="ListNumber4">
    <w:name w:val="List Number 4"/>
    <w:basedOn w:val="Text4"/>
    <w:pPr>
      <w:numPr>
        <w:numId w:val="35"/>
      </w:numPr>
      <w:spacing w:before="0" w:after="240"/>
    </w:pPr>
    <w:rPr>
      <w:szCs w:val="20"/>
    </w:rPr>
  </w:style>
  <w:style w:type="paragraph" w:styleId="ListNumber5">
    <w:name w:val="List Number 5"/>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30"/>
      </w:numPr>
      <w:spacing w:before="0" w:after="240"/>
    </w:pPr>
    <w:rPr>
      <w:szCs w:val="20"/>
    </w:rPr>
  </w:style>
  <w:style w:type="paragraph" w:customStyle="1" w:styleId="ListDash4">
    <w:name w:val="List Dash 4"/>
    <w:basedOn w:val="Text4"/>
    <w:pPr>
      <w:numPr>
        <w:numId w:val="31"/>
      </w:numPr>
      <w:spacing w:before="0" w:after="240"/>
    </w:pPr>
    <w:rPr>
      <w:szCs w:val="20"/>
    </w:rPr>
  </w:style>
  <w:style w:type="paragraph" w:customStyle="1" w:styleId="ListNumberLevel2">
    <w:name w:val="List Number (Level 2)"/>
    <w:basedOn w:val="Normal"/>
    <w:pPr>
      <w:numPr>
        <w:ilvl w:val="3"/>
        <w:numId w:val="32"/>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33"/>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33"/>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4"/>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4"/>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5"/>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5"/>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bg-BG"/>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6"/>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6"/>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8"/>
      </w:numPr>
      <w:spacing w:before="0" w:after="240"/>
    </w:pPr>
    <w:rPr>
      <w:szCs w:val="20"/>
    </w:rPr>
  </w:style>
  <w:style w:type="paragraph" w:customStyle="1" w:styleId="ListBullet1">
    <w:name w:val="List Bullet 1"/>
    <w:basedOn w:val="Text1"/>
    <w:pPr>
      <w:numPr>
        <w:numId w:val="17"/>
      </w:numPr>
      <w:spacing w:before="0" w:after="240"/>
    </w:pPr>
    <w:rPr>
      <w:szCs w:val="20"/>
    </w:rPr>
  </w:style>
  <w:style w:type="paragraph" w:customStyle="1" w:styleId="ListDash">
    <w:name w:val="List Dash"/>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0"/>
      </w:numPr>
      <w:spacing w:before="0" w:after="240"/>
    </w:pPr>
    <w:rPr>
      <w:szCs w:val="20"/>
    </w:rPr>
  </w:style>
  <w:style w:type="paragraph" w:customStyle="1" w:styleId="ListDash3">
    <w:name w:val="List Dash 3"/>
    <w:basedOn w:val="Text3"/>
    <w:pPr>
      <w:numPr>
        <w:numId w:val="21"/>
      </w:numPr>
      <w:spacing w:before="0" w:after="240"/>
    </w:pPr>
    <w:rPr>
      <w:szCs w:val="20"/>
    </w:rPr>
  </w:style>
  <w:style w:type="paragraph" w:customStyle="1" w:styleId="ListNumber1">
    <w:name w:val="List Number 1"/>
    <w:basedOn w:val="Text1"/>
    <w:pPr>
      <w:numPr>
        <w:ilvl w:val="2"/>
        <w:numId w:val="22"/>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2"/>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8"/>
      </w:numPr>
      <w:spacing w:before="0" w:after="240"/>
    </w:pPr>
    <w:rPr>
      <w:szCs w:val="20"/>
    </w:rPr>
  </w:style>
  <w:style w:type="paragraph" w:styleId="ListBullet4">
    <w:name w:val="List Bullet 4"/>
    <w:basedOn w:val="Text4"/>
    <w:pPr>
      <w:numPr>
        <w:numId w:val="29"/>
      </w:numPr>
      <w:spacing w:before="0" w:after="240"/>
    </w:pPr>
    <w:rPr>
      <w:szCs w:val="20"/>
    </w:rPr>
  </w:style>
  <w:style w:type="paragraph" w:styleId="ListBullet5">
    <w:name w:val="List Bullet 5"/>
    <w:basedOn w:val="Normal"/>
    <w:autoRedefine/>
    <w:pPr>
      <w:numPr>
        <w:numId w:val="25"/>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3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33"/>
      </w:numPr>
      <w:spacing w:before="0" w:after="240"/>
    </w:pPr>
    <w:rPr>
      <w:szCs w:val="20"/>
    </w:rPr>
  </w:style>
  <w:style w:type="paragraph" w:styleId="ListNumber3">
    <w:name w:val="List Number 3"/>
    <w:basedOn w:val="Text3"/>
    <w:pPr>
      <w:numPr>
        <w:numId w:val="34"/>
      </w:numPr>
      <w:spacing w:before="0" w:after="240"/>
    </w:pPr>
    <w:rPr>
      <w:szCs w:val="20"/>
    </w:rPr>
  </w:style>
  <w:style w:type="paragraph" w:styleId="ListNumber4">
    <w:name w:val="List Number 4"/>
    <w:basedOn w:val="Text4"/>
    <w:pPr>
      <w:numPr>
        <w:numId w:val="35"/>
      </w:numPr>
      <w:spacing w:before="0" w:after="240"/>
    </w:pPr>
    <w:rPr>
      <w:szCs w:val="20"/>
    </w:rPr>
  </w:style>
  <w:style w:type="paragraph" w:styleId="ListNumber5">
    <w:name w:val="List Number 5"/>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30"/>
      </w:numPr>
      <w:spacing w:before="0" w:after="240"/>
    </w:pPr>
    <w:rPr>
      <w:szCs w:val="20"/>
    </w:rPr>
  </w:style>
  <w:style w:type="paragraph" w:customStyle="1" w:styleId="ListDash4">
    <w:name w:val="List Dash 4"/>
    <w:basedOn w:val="Text4"/>
    <w:pPr>
      <w:numPr>
        <w:numId w:val="31"/>
      </w:numPr>
      <w:spacing w:before="0" w:after="240"/>
    </w:pPr>
    <w:rPr>
      <w:szCs w:val="20"/>
    </w:rPr>
  </w:style>
  <w:style w:type="paragraph" w:customStyle="1" w:styleId="ListNumberLevel2">
    <w:name w:val="List Number (Level 2)"/>
    <w:basedOn w:val="Normal"/>
    <w:pPr>
      <w:numPr>
        <w:ilvl w:val="3"/>
        <w:numId w:val="32"/>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33"/>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33"/>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4"/>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4"/>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5"/>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5"/>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bg-BG"/>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4095">
      <w:bodyDiv w:val="1"/>
      <w:marLeft w:val="0"/>
      <w:marRight w:val="0"/>
      <w:marTop w:val="0"/>
      <w:marBottom w:val="0"/>
      <w:divBdr>
        <w:top w:val="none" w:sz="0" w:space="0" w:color="auto"/>
        <w:left w:val="none" w:sz="0" w:space="0" w:color="auto"/>
        <w:bottom w:val="none" w:sz="0" w:space="0" w:color="auto"/>
        <w:right w:val="none" w:sz="0" w:space="0" w:color="auto"/>
      </w:divBdr>
    </w:div>
    <w:div w:id="307053832">
      <w:bodyDiv w:val="1"/>
      <w:marLeft w:val="0"/>
      <w:marRight w:val="0"/>
      <w:marTop w:val="0"/>
      <w:marBottom w:val="0"/>
      <w:divBdr>
        <w:top w:val="none" w:sz="0" w:space="0" w:color="auto"/>
        <w:left w:val="none" w:sz="0" w:space="0" w:color="auto"/>
        <w:bottom w:val="none" w:sz="0" w:space="0" w:color="auto"/>
        <w:right w:val="none" w:sz="0" w:space="0" w:color="auto"/>
      </w:divBdr>
    </w:div>
    <w:div w:id="362174247">
      <w:bodyDiv w:val="1"/>
      <w:marLeft w:val="0"/>
      <w:marRight w:val="0"/>
      <w:marTop w:val="0"/>
      <w:marBottom w:val="0"/>
      <w:divBdr>
        <w:top w:val="none" w:sz="0" w:space="0" w:color="auto"/>
        <w:left w:val="none" w:sz="0" w:space="0" w:color="auto"/>
        <w:bottom w:val="none" w:sz="0" w:space="0" w:color="auto"/>
        <w:right w:val="none" w:sz="0" w:space="0" w:color="auto"/>
      </w:divBdr>
    </w:div>
    <w:div w:id="378865838">
      <w:bodyDiv w:val="1"/>
      <w:marLeft w:val="0"/>
      <w:marRight w:val="0"/>
      <w:marTop w:val="0"/>
      <w:marBottom w:val="0"/>
      <w:divBdr>
        <w:top w:val="none" w:sz="0" w:space="0" w:color="auto"/>
        <w:left w:val="none" w:sz="0" w:space="0" w:color="auto"/>
        <w:bottom w:val="none" w:sz="0" w:space="0" w:color="auto"/>
        <w:right w:val="none" w:sz="0" w:space="0" w:color="auto"/>
      </w:divBdr>
    </w:div>
    <w:div w:id="395592468">
      <w:bodyDiv w:val="1"/>
      <w:marLeft w:val="0"/>
      <w:marRight w:val="0"/>
      <w:marTop w:val="0"/>
      <w:marBottom w:val="0"/>
      <w:divBdr>
        <w:top w:val="none" w:sz="0" w:space="0" w:color="auto"/>
        <w:left w:val="none" w:sz="0" w:space="0" w:color="auto"/>
        <w:bottom w:val="none" w:sz="0" w:space="0" w:color="auto"/>
        <w:right w:val="none" w:sz="0" w:space="0" w:color="auto"/>
      </w:divBdr>
    </w:div>
    <w:div w:id="499855355">
      <w:bodyDiv w:val="1"/>
      <w:marLeft w:val="0"/>
      <w:marRight w:val="0"/>
      <w:marTop w:val="0"/>
      <w:marBottom w:val="0"/>
      <w:divBdr>
        <w:top w:val="none" w:sz="0" w:space="0" w:color="auto"/>
        <w:left w:val="none" w:sz="0" w:space="0" w:color="auto"/>
        <w:bottom w:val="none" w:sz="0" w:space="0" w:color="auto"/>
        <w:right w:val="none" w:sz="0" w:space="0" w:color="auto"/>
      </w:divBdr>
    </w:div>
    <w:div w:id="752699412">
      <w:bodyDiv w:val="1"/>
      <w:marLeft w:val="0"/>
      <w:marRight w:val="0"/>
      <w:marTop w:val="0"/>
      <w:marBottom w:val="0"/>
      <w:divBdr>
        <w:top w:val="none" w:sz="0" w:space="0" w:color="auto"/>
        <w:left w:val="none" w:sz="0" w:space="0" w:color="auto"/>
        <w:bottom w:val="none" w:sz="0" w:space="0" w:color="auto"/>
        <w:right w:val="none" w:sz="0" w:space="0" w:color="auto"/>
      </w:divBdr>
    </w:div>
    <w:div w:id="812865311">
      <w:bodyDiv w:val="1"/>
      <w:marLeft w:val="0"/>
      <w:marRight w:val="0"/>
      <w:marTop w:val="0"/>
      <w:marBottom w:val="0"/>
      <w:divBdr>
        <w:top w:val="none" w:sz="0" w:space="0" w:color="auto"/>
        <w:left w:val="none" w:sz="0" w:space="0" w:color="auto"/>
        <w:bottom w:val="none" w:sz="0" w:space="0" w:color="auto"/>
        <w:right w:val="none" w:sz="0" w:space="0" w:color="auto"/>
      </w:divBdr>
    </w:div>
    <w:div w:id="813252188">
      <w:bodyDiv w:val="1"/>
      <w:marLeft w:val="0"/>
      <w:marRight w:val="0"/>
      <w:marTop w:val="0"/>
      <w:marBottom w:val="0"/>
      <w:divBdr>
        <w:top w:val="none" w:sz="0" w:space="0" w:color="auto"/>
        <w:left w:val="none" w:sz="0" w:space="0" w:color="auto"/>
        <w:bottom w:val="none" w:sz="0" w:space="0" w:color="auto"/>
        <w:right w:val="none" w:sz="0" w:space="0" w:color="auto"/>
      </w:divBdr>
    </w:div>
    <w:div w:id="943416120">
      <w:bodyDiv w:val="1"/>
      <w:marLeft w:val="0"/>
      <w:marRight w:val="0"/>
      <w:marTop w:val="0"/>
      <w:marBottom w:val="0"/>
      <w:divBdr>
        <w:top w:val="none" w:sz="0" w:space="0" w:color="auto"/>
        <w:left w:val="none" w:sz="0" w:space="0" w:color="auto"/>
        <w:bottom w:val="none" w:sz="0" w:space="0" w:color="auto"/>
        <w:right w:val="none" w:sz="0" w:space="0" w:color="auto"/>
      </w:divBdr>
    </w:div>
    <w:div w:id="1181548624">
      <w:bodyDiv w:val="1"/>
      <w:marLeft w:val="0"/>
      <w:marRight w:val="0"/>
      <w:marTop w:val="0"/>
      <w:marBottom w:val="0"/>
      <w:divBdr>
        <w:top w:val="none" w:sz="0" w:space="0" w:color="auto"/>
        <w:left w:val="none" w:sz="0" w:space="0" w:color="auto"/>
        <w:bottom w:val="none" w:sz="0" w:space="0" w:color="auto"/>
        <w:right w:val="none" w:sz="0" w:space="0" w:color="auto"/>
      </w:divBdr>
    </w:div>
    <w:div w:id="1341002302">
      <w:bodyDiv w:val="1"/>
      <w:marLeft w:val="0"/>
      <w:marRight w:val="0"/>
      <w:marTop w:val="0"/>
      <w:marBottom w:val="0"/>
      <w:divBdr>
        <w:top w:val="none" w:sz="0" w:space="0" w:color="auto"/>
        <w:left w:val="none" w:sz="0" w:space="0" w:color="auto"/>
        <w:bottom w:val="none" w:sz="0" w:space="0" w:color="auto"/>
        <w:right w:val="none" w:sz="0" w:space="0" w:color="auto"/>
      </w:divBdr>
    </w:div>
    <w:div w:id="1385759365">
      <w:bodyDiv w:val="1"/>
      <w:marLeft w:val="0"/>
      <w:marRight w:val="0"/>
      <w:marTop w:val="0"/>
      <w:marBottom w:val="0"/>
      <w:divBdr>
        <w:top w:val="none" w:sz="0" w:space="0" w:color="auto"/>
        <w:left w:val="none" w:sz="0" w:space="0" w:color="auto"/>
        <w:bottom w:val="none" w:sz="0" w:space="0" w:color="auto"/>
        <w:right w:val="none" w:sz="0" w:space="0" w:color="auto"/>
      </w:divBdr>
    </w:div>
    <w:div w:id="1397819633">
      <w:bodyDiv w:val="1"/>
      <w:marLeft w:val="0"/>
      <w:marRight w:val="0"/>
      <w:marTop w:val="0"/>
      <w:marBottom w:val="0"/>
      <w:divBdr>
        <w:top w:val="none" w:sz="0" w:space="0" w:color="auto"/>
        <w:left w:val="none" w:sz="0" w:space="0" w:color="auto"/>
        <w:bottom w:val="none" w:sz="0" w:space="0" w:color="auto"/>
        <w:right w:val="none" w:sz="0" w:space="0" w:color="auto"/>
      </w:divBdr>
    </w:div>
    <w:div w:id="1421220442">
      <w:bodyDiv w:val="1"/>
      <w:marLeft w:val="0"/>
      <w:marRight w:val="0"/>
      <w:marTop w:val="0"/>
      <w:marBottom w:val="0"/>
      <w:divBdr>
        <w:top w:val="none" w:sz="0" w:space="0" w:color="auto"/>
        <w:left w:val="none" w:sz="0" w:space="0" w:color="auto"/>
        <w:bottom w:val="none" w:sz="0" w:space="0" w:color="auto"/>
        <w:right w:val="none" w:sz="0" w:space="0" w:color="auto"/>
      </w:divBdr>
    </w:div>
    <w:div w:id="1465655688">
      <w:bodyDiv w:val="1"/>
      <w:marLeft w:val="0"/>
      <w:marRight w:val="0"/>
      <w:marTop w:val="0"/>
      <w:marBottom w:val="0"/>
      <w:divBdr>
        <w:top w:val="none" w:sz="0" w:space="0" w:color="auto"/>
        <w:left w:val="none" w:sz="0" w:space="0" w:color="auto"/>
        <w:bottom w:val="none" w:sz="0" w:space="0" w:color="auto"/>
        <w:right w:val="none" w:sz="0" w:space="0" w:color="auto"/>
      </w:divBdr>
    </w:div>
    <w:div w:id="1516529632">
      <w:bodyDiv w:val="1"/>
      <w:marLeft w:val="0"/>
      <w:marRight w:val="0"/>
      <w:marTop w:val="0"/>
      <w:marBottom w:val="0"/>
      <w:divBdr>
        <w:top w:val="none" w:sz="0" w:space="0" w:color="auto"/>
        <w:left w:val="none" w:sz="0" w:space="0" w:color="auto"/>
        <w:bottom w:val="none" w:sz="0" w:space="0" w:color="auto"/>
        <w:right w:val="none" w:sz="0" w:space="0" w:color="auto"/>
      </w:divBdr>
    </w:div>
    <w:div w:id="1522157871">
      <w:bodyDiv w:val="1"/>
      <w:marLeft w:val="0"/>
      <w:marRight w:val="0"/>
      <w:marTop w:val="0"/>
      <w:marBottom w:val="0"/>
      <w:divBdr>
        <w:top w:val="none" w:sz="0" w:space="0" w:color="auto"/>
        <w:left w:val="none" w:sz="0" w:space="0" w:color="auto"/>
        <w:bottom w:val="none" w:sz="0" w:space="0" w:color="auto"/>
        <w:right w:val="none" w:sz="0" w:space="0" w:color="auto"/>
      </w:divBdr>
    </w:div>
    <w:div w:id="1574319904">
      <w:bodyDiv w:val="1"/>
      <w:marLeft w:val="0"/>
      <w:marRight w:val="0"/>
      <w:marTop w:val="0"/>
      <w:marBottom w:val="0"/>
      <w:divBdr>
        <w:top w:val="none" w:sz="0" w:space="0" w:color="auto"/>
        <w:left w:val="none" w:sz="0" w:space="0" w:color="auto"/>
        <w:bottom w:val="none" w:sz="0" w:space="0" w:color="auto"/>
        <w:right w:val="none" w:sz="0" w:space="0" w:color="auto"/>
      </w:divBdr>
    </w:div>
    <w:div w:id="1646812256">
      <w:bodyDiv w:val="1"/>
      <w:marLeft w:val="0"/>
      <w:marRight w:val="0"/>
      <w:marTop w:val="0"/>
      <w:marBottom w:val="0"/>
      <w:divBdr>
        <w:top w:val="none" w:sz="0" w:space="0" w:color="auto"/>
        <w:left w:val="none" w:sz="0" w:space="0" w:color="auto"/>
        <w:bottom w:val="none" w:sz="0" w:space="0" w:color="auto"/>
        <w:right w:val="none" w:sz="0" w:space="0" w:color="auto"/>
      </w:divBdr>
    </w:div>
    <w:div w:id="1648709357">
      <w:bodyDiv w:val="1"/>
      <w:marLeft w:val="0"/>
      <w:marRight w:val="0"/>
      <w:marTop w:val="0"/>
      <w:marBottom w:val="0"/>
      <w:divBdr>
        <w:top w:val="none" w:sz="0" w:space="0" w:color="auto"/>
        <w:left w:val="none" w:sz="0" w:space="0" w:color="auto"/>
        <w:bottom w:val="none" w:sz="0" w:space="0" w:color="auto"/>
        <w:right w:val="none" w:sz="0" w:space="0" w:color="auto"/>
      </w:divBdr>
    </w:div>
    <w:div w:id="1685135859">
      <w:bodyDiv w:val="1"/>
      <w:marLeft w:val="0"/>
      <w:marRight w:val="0"/>
      <w:marTop w:val="0"/>
      <w:marBottom w:val="0"/>
      <w:divBdr>
        <w:top w:val="none" w:sz="0" w:space="0" w:color="auto"/>
        <w:left w:val="none" w:sz="0" w:space="0" w:color="auto"/>
        <w:bottom w:val="none" w:sz="0" w:space="0" w:color="auto"/>
        <w:right w:val="none" w:sz="0" w:space="0" w:color="auto"/>
      </w:divBdr>
    </w:div>
    <w:div w:id="1785684514">
      <w:bodyDiv w:val="1"/>
      <w:marLeft w:val="0"/>
      <w:marRight w:val="0"/>
      <w:marTop w:val="0"/>
      <w:marBottom w:val="0"/>
      <w:divBdr>
        <w:top w:val="none" w:sz="0" w:space="0" w:color="auto"/>
        <w:left w:val="none" w:sz="0" w:space="0" w:color="auto"/>
        <w:bottom w:val="none" w:sz="0" w:space="0" w:color="auto"/>
        <w:right w:val="none" w:sz="0" w:space="0" w:color="auto"/>
      </w:divBdr>
    </w:div>
    <w:div w:id="1894268941">
      <w:bodyDiv w:val="1"/>
      <w:marLeft w:val="0"/>
      <w:marRight w:val="0"/>
      <w:marTop w:val="0"/>
      <w:marBottom w:val="0"/>
      <w:divBdr>
        <w:top w:val="none" w:sz="0" w:space="0" w:color="auto"/>
        <w:left w:val="none" w:sz="0" w:space="0" w:color="auto"/>
        <w:bottom w:val="none" w:sz="0" w:space="0" w:color="auto"/>
        <w:right w:val="none" w:sz="0" w:space="0" w:color="auto"/>
      </w:divBdr>
    </w:div>
    <w:div w:id="195528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2E7E0-A9CF-4933-9F71-F5670238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8225</Words>
  <Characters>43022</Characters>
  <Application>Microsoft Office Word</Application>
  <DocSecurity>0</DocSecurity>
  <Lines>1720</Lines>
  <Paragraphs>1191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2019-11-19T08:46:00Z</dcterms:created>
  <dcterms:modified xsi:type="dcterms:W3CDTF">2020-03-23T08:02:00Z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