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48C888-D971-4182-848B-8ED906069592"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Since the first cases of COVID-19 contagion, the EU has been working tirelessly to support the Member States and their citizens in addressing the crisis.</w:t>
      </w:r>
    </w:p>
    <w:p>
      <w:pPr>
        <w:rPr>
          <w:noProof/>
        </w:rPr>
      </w:pPr>
      <w:r>
        <w:rPr>
          <w:noProof/>
        </w:rPr>
        <w:t xml:space="preserve">The ARGUS crisis coordination mechanism of the Commission has been activated and the Crisis Coordination Committee meets regularly to synergise the action of all the relevant departments and services of the Commission and of the EU agencies. The Commission has also established a coordinating response team at political level, composed of the five commissioners responsible for the most affected policies. </w:t>
      </w:r>
    </w:p>
    <w:p>
      <w:pPr>
        <w:rPr>
          <w:noProof/>
        </w:rPr>
      </w:pPr>
      <w:r>
        <w:rPr>
          <w:noProof/>
        </w:rPr>
        <w:t>Following the EU leaders' videoconference on the response to the COVID-19 outbreak on 10 March 2020, the Commission will further step up its response to the Coronavirus, or COVID-19 outbreak, on all fronts and coordinate Member State actions. The crisis we face because of Coronavirus has both a very significant human dimension, and a potentially major economic impact. It is therefore essential that the EU and its Member States act decisively and collectively, to contain the spread of the virus and help patients, and to counter the economic fallout.</w:t>
      </w:r>
    </w:p>
    <w:p>
      <w:pPr>
        <w:rPr>
          <w:noProof/>
        </w:rPr>
      </w:pPr>
      <w:r>
        <w:rPr>
          <w:noProof/>
        </w:rPr>
        <w:t xml:space="preserve">As part of this joint coordinated response, the EU Solidarity Fund (EUSF) can play an important role in showing EU solidarity to Member States in dealing with the emergency situation. </w:t>
      </w:r>
    </w:p>
    <w:p>
      <w:pPr>
        <w:rPr>
          <w:noProof/>
        </w:rPr>
      </w:pPr>
      <w:r>
        <w:rPr>
          <w:noProof/>
        </w:rPr>
        <w:t>Responding appropriately at EU level to major public health emergencies such as COVID-19 with the existing instrument is currently impossible.</w:t>
      </w:r>
    </w:p>
    <w:p>
      <w:pPr>
        <w:rPr>
          <w:noProof/>
        </w:rPr>
      </w:pPr>
      <w:r>
        <w:rPr>
          <w:noProof/>
        </w:rPr>
        <w:t>The objective of the present Regulation is therefore to extend the scope of the EUSF to include major public health emergencies and to define specific operations eligible for financing.</w:t>
      </w:r>
    </w:p>
    <w:p>
      <w:pPr>
        <w:rPr>
          <w:noProof/>
        </w:rPr>
      </w:pPr>
      <w:r>
        <w:rPr>
          <w:noProof/>
        </w:rPr>
        <w:t>The EUSF was created in 2002 to support EU Member States and accession countries in situations of major disasters caused by natural events such as floods, storms, earthquakes, volcanic eruptions, forest fires or drought. The Fund can be mobilised upon an application from the concerned country if the disaster event has a dimension justifying intervention at European level. Its functioning is a tangible expression of a genuine EU solidarity, whereby Member States agree to support each other by making additional financial resources available through the EU budget. The current EUSF is however strictly limited to natural disasters causing physical damage such as floods, storms, earthquakes and similar. It may award financial assistance to eligible States totalling up to EUR 500 million in 2011 prices per year.</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The present proposal aims at modifying Council Regulation (EC) No 2012/2002 of 11 November 2002 establishing the European Union Solidarity Fund (hereafter: “Regulation (EC) No 2012/2002”) in order to extend its scope to cover major public health emergencies. </w:t>
      </w:r>
    </w:p>
    <w:p>
      <w:pPr>
        <w:rPr>
          <w:noProof/>
        </w:rPr>
      </w:pPr>
      <w:r>
        <w:rPr>
          <w:noProof/>
        </w:rPr>
        <w:t>The main features and differences of substance are the following:</w:t>
      </w:r>
    </w:p>
    <w:p>
      <w:pPr>
        <w:rPr>
          <w:noProof/>
        </w:rPr>
      </w:pPr>
      <w:r>
        <w:rPr>
          <w:noProof/>
        </w:rPr>
        <w:t>The geographical scope remains unchanged: it is limited to Member States of and countries negotiating their accession to the EU. The thematic scope, however, is enlarged to cover major crisis situations resulting from public health threats.</w:t>
      </w:r>
    </w:p>
    <w:p>
      <w:pPr>
        <w:rPr>
          <w:noProof/>
        </w:rPr>
      </w:pPr>
      <w:r>
        <w:rPr>
          <w:noProof/>
        </w:rPr>
        <w:t xml:space="preserve">Advance payments were introduced with the revision of the EUSF Regulation in 2014 and became effective from 2015. The main justification for their introduction was that the </w:t>
      </w:r>
      <w:r>
        <w:rPr>
          <w:noProof/>
        </w:rPr>
        <w:lastRenderedPageBreak/>
        <w:t>procedure necessary to mobilise the EUSF and pay out the full assistance is too lengthy (typically up to one year) and that the serious crisis situation demanded a quicker response. It was also considered that the long delays in providing assistance were bad for the image of the EU.</w:t>
      </w:r>
    </w:p>
    <w:p>
      <w:pPr>
        <w:rPr>
          <w:noProof/>
        </w:rPr>
      </w:pPr>
      <w:r>
        <w:rPr>
          <w:noProof/>
        </w:rPr>
        <w:t>The level of advances was set at 10% of the expected EUSF contribution, limited to a maximum of EUR 30 million. It turned out that this level was not satisfactory. In case of smaller disasters where the EUSF contribution amounts to a few million euros, the advance is not much more than some hundred thousand euros which hardly make a difference. In the event of very big disasters such as the Abruzzo earthquake with EUR 22 billion in damage and an EUSF contribution of EUR 1.2 billion, an advance of no more than EUR 30 million is totally inadequate. In both scenarios the advance payment is disproportionate to its effects on the ground. The recent ex-post evaluation of the EUSF (2002-2017) confirms this analysis.</w:t>
      </w:r>
    </w:p>
    <w:p>
      <w:pPr>
        <w:rPr>
          <w:noProof/>
        </w:rPr>
      </w:pPr>
      <w:r>
        <w:rPr>
          <w:noProof/>
        </w:rPr>
        <w:t>The Commission therefore proposes to raise the level of advance payments for individual disasters of all categories to 25% of the expected EUSF contribution, limited to a maximum of EUR 100 million.</w:t>
      </w:r>
    </w:p>
    <w:p>
      <w:pPr>
        <w:rPr>
          <w:noProof/>
        </w:rPr>
      </w:pPr>
      <w:r>
        <w:rPr>
          <w:noProof/>
        </w:rPr>
        <w:t>The Commission also proposes to increase the total level of appropriations for EUSF advances in the annual budget from EUR 50 million to EUR 100 million.</w:t>
      </w:r>
    </w:p>
    <w:p>
      <w:pPr>
        <w:rPr>
          <w:noProof/>
        </w:rPr>
      </w:pPr>
      <w:r>
        <w:rPr>
          <w:noProof/>
        </w:rPr>
        <w:t>Mobilisation of the Fund, as under the current procedure, would be possible only upon request of an eligible State. Following the Commission's assessment and proposal to the budget authority of an amount of financial assistance to be awarded, the latter adopts a corresponding supplementary budget. The Commission will then adopt an implementing decision, leading to the payment for the EUSF contribution.</w:t>
      </w:r>
    </w:p>
    <w:p>
      <w:pPr>
        <w:pBdr>
          <w:top w:val="nil"/>
          <w:left w:val="nil"/>
          <w:bottom w:val="nil"/>
          <w:right w:val="nil"/>
          <w:between w:val="nil"/>
          <w:bar w:val="nil"/>
        </w:pBdr>
        <w:spacing w:before="0" w:after="240"/>
        <w:rPr>
          <w:rFonts w:eastAsia="Arial Unicode MS"/>
          <w:noProof/>
        </w:rPr>
      </w:pPr>
      <w:r>
        <w:rPr>
          <w:noProof/>
        </w:rPr>
        <w:t>Eligible operations remain limited to public emergency operations. They are extended to include assistance to the population in case of health crises, including medical, and measures to contain the further spreading of an infectious disease.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proposal is part of the measures in response to the current COVID-19 pandemic. It builds on an existing policy instrument. By enlarging the scope of the current EUSF, it closes a gap in current legislation and allows for comprehensive Union action in response to major public health emergencies. Consistency with other Union policies, in particular with cohesion policy, is ensured by a number of legislative provisions which, among others, exclude double financing and require respect for public procurement rules and the principle of sound financial management.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As this is a modification of the existing Regulation, it follows the provisions that are the legal basis for Regulation (EC) No 2012/2002, i.e. Article 175 of the Treaty on the Functioning of the European Union (TFEU) and Article 212 TFEU as regards countries currently negotiating their accession to the 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proposal aims to extend the scope of the EUSF in order to show European solidarity with the Member States by providing assistance from the Fund to assist the population affected, contribute to a rapid return to normal living conditions in the affected regions and to contain the spreading of infectious diseases.</w:t>
      </w:r>
    </w:p>
    <w:p>
      <w:pPr>
        <w:rPr>
          <w:noProof/>
        </w:rPr>
      </w:pPr>
      <w:r>
        <w:rPr>
          <w:noProof/>
        </w:rPr>
        <w:lastRenderedPageBreak/>
        <w:t xml:space="preserve">The EUSF is based on the subsidiarity principle. This means that the EU should intervene only in cases where a Member State is deemed no longer to be able to cope with a crisis alone and requires assistance. The legislator considered that, for natural disasters, such a situation is present when the total direct damage exceeds a certain threshold. Economic follow-on damage is not included as it is considered too complex to determine in a quick, reliable and comparable way. The threshold for natural disasters was therefore set at direct damage exceeding 0.6% of gross national income (GNI) or EUR 3 billion (in 2011 prices), whereby the lower amount applies. This double criterion was chosen because a single fixed amount would not reflect the big differences in economic strength (and therefore budgetary response capacities) of the Member States and lead to great injustices and unequal treatment of Member States. A single percentage rate would lead to either extremely low amounts for the smaller Member States or unattainably high thresholds for the biggest economies. </w:t>
      </w:r>
    </w:p>
    <w:p>
      <w:pPr>
        <w:rPr>
          <w:noProof/>
        </w:rPr>
      </w:pPr>
      <w:r>
        <w:rPr>
          <w:noProof/>
        </w:rPr>
        <w:t xml:space="preserve">In the case of major health emergencies, it is hardly possible to estimate the direct damage. The same approach as for natural disasters is therefore not possible. Instead, the Commission proposes to take the financial burden on Member States’ budgets in order to face the additional needs. This corresponds largely to the public share of direct damage eligible for funding (such as the cost of recovery of public infrastructure, assistance to the population, rescue services etc.) in the case of natural disasters. This eligible public share of total damage varies greatly depending on the disaster and the country affected. On average, it is around 50% of total damage. </w:t>
      </w:r>
    </w:p>
    <w:p>
      <w:pPr>
        <w:rPr>
          <w:noProof/>
        </w:rPr>
      </w:pPr>
      <w:r>
        <w:rPr>
          <w:noProof/>
        </w:rPr>
        <w:t xml:space="preserve">The Commission is therefore proposing to maintain the principles on which access to the EUSF is based. Accordingly, the lower of 0.3% of GNI or EUR 1.5 billion in 2011 prices, i.e. half of that applicable to natural disasters, are defined as the minimum level of public expenditure related to the </w:t>
      </w:r>
      <w:r>
        <w:rPr>
          <w:noProof/>
          <w:sz w:val="23"/>
          <w:szCs w:val="23"/>
        </w:rPr>
        <w:t>public financial burden inflicted on the eligible State for emergency response measures</w:t>
      </w:r>
      <w:r>
        <w:rPr>
          <w:noProof/>
        </w:rPr>
        <w:t>.</w:t>
      </w:r>
    </w:p>
    <w:p>
      <w:pPr>
        <w:pStyle w:val="ListBullet1"/>
        <w:rPr>
          <w:b/>
          <w:noProof/>
        </w:rPr>
      </w:pPr>
      <w:r>
        <w:rPr>
          <w:b/>
          <w:noProof/>
        </w:rPr>
        <w:t>Proportionality principle</w:t>
      </w:r>
    </w:p>
    <w:p>
      <w:pPr>
        <w:rPr>
          <w:noProof/>
        </w:rPr>
      </w:pPr>
      <w:r>
        <w:rPr>
          <w:noProof/>
        </w:rPr>
        <w:t>The proposal respects the proportionality principle. It does not go beyond what is necessary to achieve the objectives already laid down in the current instrument.</w:t>
      </w:r>
    </w:p>
    <w:p>
      <w:pPr>
        <w:pStyle w:val="ListBullet1"/>
        <w:ind w:left="1135" w:hanging="284"/>
        <w:rPr>
          <w:b/>
          <w:noProof/>
        </w:rPr>
      </w:pPr>
      <w:r>
        <w:rPr>
          <w:b/>
          <w:noProof/>
        </w:rPr>
        <w:t>Choice of instruments</w:t>
      </w:r>
    </w:p>
    <w:p>
      <w:pPr>
        <w:rPr>
          <w:rFonts w:eastAsia="Arial Unicode MS"/>
          <w:noProof/>
        </w:rPr>
      </w:pPr>
      <w:r>
        <w:rPr>
          <w:noProof/>
        </w:rPr>
        <w:t>It is proposed to modify the existing Regulation (EC) No 2012/2002 to use the established procedures and practices to prepare and assess the applications for assistance and to implement and report the aid.</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b/>
          <w:noProof/>
        </w:rPr>
      </w:pPr>
      <w:r>
        <w:rPr>
          <w:noProof/>
        </w:rPr>
        <w:t>The Ex Post Evaluation 2002-2017 concluded that the Fund is a valuable instrument in the EU toolkit for interventions in disaster situations, bringing EU added value to the post-disaster response in Member States and accession countries. The evaluation also called for further consideration to be given to policy actions that increase the potential for the Fund to intervene.</w:t>
      </w:r>
    </w:p>
    <w:p>
      <w:pPr>
        <w:pStyle w:val="ListBullet1"/>
        <w:rPr>
          <w:b/>
          <w:noProof/>
        </w:rPr>
      </w:pPr>
      <w:r>
        <w:rPr>
          <w:b/>
          <w:noProof/>
        </w:rPr>
        <w:t xml:space="preserve">Stakeholder consultations </w:t>
      </w:r>
    </w:p>
    <w:p>
      <w:pPr>
        <w:rPr>
          <w:noProof/>
        </w:rPr>
      </w:pPr>
      <w:r>
        <w:rPr>
          <w:noProof/>
        </w:rPr>
        <w:t>Due to the urgency to prepare the proposal so that it can be adopted on time by the co-legislators, a stakeholder consultation could not be carried out.</w:t>
      </w:r>
    </w:p>
    <w:p>
      <w:pPr>
        <w:pStyle w:val="ListBullet1"/>
        <w:rPr>
          <w:b/>
          <w:noProof/>
        </w:rPr>
      </w:pPr>
      <w:r>
        <w:rPr>
          <w:b/>
          <w:noProof/>
        </w:rPr>
        <w:t xml:space="preserve">• Impact assessment </w:t>
      </w:r>
    </w:p>
    <w:p>
      <w:pPr>
        <w:pBdr>
          <w:top w:val="nil"/>
          <w:left w:val="nil"/>
          <w:bottom w:val="nil"/>
          <w:right w:val="nil"/>
          <w:between w:val="nil"/>
          <w:bar w:val="nil"/>
        </w:pBdr>
        <w:spacing w:before="0" w:after="240"/>
        <w:rPr>
          <w:rFonts w:eastAsia="Arial Unicode MS"/>
          <w:noProof/>
        </w:rPr>
      </w:pPr>
      <w:r>
        <w:rPr>
          <w:noProof/>
        </w:rPr>
        <w:lastRenderedPageBreak/>
        <w:t>Due to the urgent nature of the proposal, no impact assessment was carried out.</w:t>
      </w:r>
    </w:p>
    <w:p>
      <w:pPr>
        <w:pStyle w:val="ManualHeading1"/>
        <w:rPr>
          <w:noProof/>
        </w:rPr>
      </w:pPr>
      <w:r>
        <w:rPr>
          <w:noProof/>
        </w:rPr>
        <w:t>4.</w:t>
      </w:r>
      <w:r>
        <w:rPr>
          <w:noProof/>
        </w:rPr>
        <w:tab/>
        <w:t>BUDGETARY IMPLICATIONS</w:t>
      </w:r>
    </w:p>
    <w:p>
      <w:pPr>
        <w:rPr>
          <w:noProof/>
        </w:rPr>
      </w:pPr>
      <w:r>
        <w:rPr>
          <w:noProof/>
        </w:rPr>
        <w:t xml:space="preserve">The proposal remains consistent with the existing Solidarity Fund by providing financial assistance for immediate assistance after a request from a Member State or candidate country. </w:t>
      </w:r>
    </w:p>
    <w:p>
      <w:pPr>
        <w:rPr>
          <w:noProof/>
        </w:rPr>
      </w:pPr>
      <w:r>
        <w:rPr>
          <w:noProof/>
        </w:rPr>
        <w:t>The Commission therefore proposes to raise the level of advance payments for individual disasters of all categories to 25% of the expected EUSF contribution, limited to a maximum of EUR 100 million.</w:t>
      </w:r>
    </w:p>
    <w:p>
      <w:pPr>
        <w:rPr>
          <w:noProof/>
        </w:rPr>
      </w:pPr>
      <w:r>
        <w:rPr>
          <w:noProof/>
        </w:rPr>
        <w:t>The Commission also proposes to increase the total level of appropriations for EUSF advances in the annual budget from EUR 50 million to EUR 100 million. In order to ensure the timely availability of resources where necessary, the Commission will propose to enter additional appropriations for a maximum of EUR 50 million in the budget for 2020.</w:t>
      </w:r>
    </w:p>
    <w:p>
      <w:pPr>
        <w:pBdr>
          <w:top w:val="nil"/>
          <w:left w:val="nil"/>
          <w:bottom w:val="nil"/>
          <w:right w:val="nil"/>
          <w:between w:val="nil"/>
          <w:bar w:val="nil"/>
        </w:pBdr>
        <w:spacing w:before="0" w:after="240"/>
        <w:rPr>
          <w:rFonts w:eastAsia="Arial Unicode MS"/>
          <w:noProof/>
        </w:rPr>
      </w:pPr>
      <w:r>
        <w:rPr>
          <w:noProof/>
        </w:rPr>
        <w:t>The financial envelope foreseen for the Fund also follows the existing Solidarity Fund, with an annual amount of EUR 500 million (2011 prices). In each case, the amount of assistance considered necessary is mobilised through an amending budget. As at present, on 1 October each year, at least one-quarter of this annual amount will remain available in order to cover needs which could arise until the end of the year.</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Maximum transparency and proper monitoring of the use of the EU financial resources are required. Reporting obligations for the Member States and the Commission will apply as set out in Regulation (EC) No 2012/2002.</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2020/0044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Council Regulation (EC) No 2012/2002 in order to provide financial assistance to Member States and countries negotiating their accession to the Union seriously affected by a major public health emergency</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the third paragraph of Article 175 and Article 212(2)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
      </w:r>
      <w:r>
        <w:rPr>
          <w:noProof/>
        </w:rPr>
        <w:t>,</w:t>
      </w:r>
    </w:p>
    <w:p>
      <w:pPr>
        <w:rPr>
          <w:noProof/>
        </w:rPr>
      </w:pPr>
      <w:r>
        <w:rPr>
          <w:noProof/>
        </w:rPr>
        <w:t>Having regard to the opinion of the Committee of the Regions</w:t>
      </w:r>
      <w:r>
        <w:rPr>
          <w:rStyle w:val="FootnoteReference"/>
          <w:noProof/>
        </w:rPr>
        <w:footnoteReference w:id="2"/>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European Union Solidarity Fund (‘the Fund’) was established by Council Regulation (EC) No 2012/2002</w:t>
      </w:r>
      <w:r>
        <w:rPr>
          <w:rStyle w:val="FootnoteReference"/>
          <w:noProof/>
        </w:rPr>
        <w:footnoteReference w:id="3"/>
      </w:r>
      <w:r>
        <w:rPr>
          <w:noProof/>
        </w:rPr>
        <w:t>. The Fund was created to provide financial assistance to Member States following major disasters as a concrete sign of European solidarity in situations of distress.</w:t>
      </w:r>
    </w:p>
    <w:p>
      <w:pPr>
        <w:pStyle w:val="ManualConsidrant"/>
        <w:rPr>
          <w:noProof/>
        </w:rPr>
      </w:pPr>
      <w:r>
        <w:t>(2)</w:t>
      </w:r>
      <w:r>
        <w:tab/>
      </w:r>
      <w:r>
        <w:rPr>
          <w:noProof/>
        </w:rPr>
        <w:t>In the event of major public health emergencies, the Union should show its solidarity with the Member States and the population concerned by providing financial assistance to assist the population affected, contribute to a rapid return to normal living conditions in the affected regions and to contain the spreading of infectious diseases.</w:t>
      </w:r>
    </w:p>
    <w:p>
      <w:pPr>
        <w:pStyle w:val="ManualConsidrant"/>
        <w:rPr>
          <w:noProof/>
        </w:rPr>
      </w:pPr>
      <w:r>
        <w:t>(3)</w:t>
      </w:r>
      <w:r>
        <w:tab/>
      </w:r>
      <w:r>
        <w:rPr>
          <w:noProof/>
        </w:rPr>
        <w:t>The Union should also show solidarity in the event of major public health emergencies with the countries negotiating their accession to the European Union.</w:t>
      </w:r>
    </w:p>
    <w:p>
      <w:pPr>
        <w:pStyle w:val="ManualConsidrant"/>
        <w:rPr>
          <w:noProof/>
        </w:rPr>
      </w:pPr>
      <w:r>
        <w:t>(4)</w:t>
      </w:r>
      <w:r>
        <w:tab/>
      </w:r>
      <w:r>
        <w:rPr>
          <w:noProof/>
        </w:rPr>
        <w:t>A major crisis situation may result from public health emergencies, in particular an officially declared virus pandemic. The Fund enables the Union to help in mobilising emergency services to meet people's immediate needs and contribute to the short-term restoration of damaged key infrastructure so that economic activity can resume in the disaster-stricken regions. That Fund is currently however limited to natural disasters causing physical damage and does not include major disasters due to biological hazards. Provision should be made to allow the Union to intervene in the event of major public health emergencies.</w:t>
      </w:r>
    </w:p>
    <w:p>
      <w:pPr>
        <w:pStyle w:val="ManualConsidrant"/>
        <w:rPr>
          <w:noProof/>
        </w:rPr>
      </w:pPr>
      <w:r>
        <w:t>(5)</w:t>
      </w:r>
      <w:r>
        <w:tab/>
      </w:r>
      <w:r>
        <w:rPr>
          <w:noProof/>
        </w:rPr>
        <w:t xml:space="preserve">The objective of the action to be taken is to complement the efforts of the States concerned in such cases where the effects of a crisis situation are of such gravity that those States cannot tackle the situation with their own means alone. Since this </w:t>
      </w:r>
      <w:r>
        <w:rPr>
          <w:noProof/>
        </w:rPr>
        <w:lastRenderedPageBreak/>
        <w:t>objective cannot be sufficiently achieved by the Member States and can therefore, by reason of the scale of the action, be better achieved at Union level, the Union may adopt measures, in accordance with the principle of subsidiarity as set out in Article 5 of the Treaty. In accordance with the principle of proportionality, as set out in that Article, this Regulation does not go beyond what is necessary in order to achieve those objectives.</w:t>
      </w:r>
    </w:p>
    <w:p>
      <w:pPr>
        <w:pStyle w:val="ManualConsidrant"/>
        <w:rPr>
          <w:noProof/>
        </w:rPr>
      </w:pPr>
      <w:r>
        <w:t>(6)</w:t>
      </w:r>
      <w:r>
        <w:tab/>
      </w:r>
      <w:r>
        <w:rPr>
          <w:noProof/>
        </w:rPr>
        <w:t>In line with the principle of subsidiarity, action under this Regulation should be confined to major public health emergencies. These should be defined depending on the basis of the public expenditure necessary to address them.</w:t>
      </w:r>
    </w:p>
    <w:p>
      <w:pPr>
        <w:pStyle w:val="ManualConsidrant"/>
        <w:rPr>
          <w:noProof/>
        </w:rPr>
      </w:pPr>
      <w:r>
        <w:t>(7)</w:t>
      </w:r>
      <w:r>
        <w:tab/>
      </w:r>
      <w:r>
        <w:rPr>
          <w:noProof/>
        </w:rPr>
        <w:t>Union assistance should be complementary to the efforts of the States concerned and be used to cover a share of the public expenditure committed to dealing with the most essential emergency operations resulting from the emergency situation.</w:t>
      </w:r>
    </w:p>
    <w:p>
      <w:pPr>
        <w:pStyle w:val="ManualConsidrant"/>
        <w:rPr>
          <w:noProof/>
        </w:rPr>
      </w:pPr>
      <w:r>
        <w:t>(8)</w:t>
      </w:r>
      <w:r>
        <w:tab/>
      </w:r>
      <w:r>
        <w:rPr>
          <w:noProof/>
        </w:rPr>
        <w:t>In line with the principle of subsidiarity, Union assistance should only be awarded upon application of the affected State. The Commission should ensure equitable treatment of requests presented by the States.</w:t>
      </w:r>
    </w:p>
    <w:p>
      <w:pPr>
        <w:pStyle w:val="ManualConsidrant"/>
        <w:rPr>
          <w:noProof/>
        </w:rPr>
      </w:pPr>
      <w:r>
        <w:t>(9)</w:t>
      </w:r>
      <w:r>
        <w:tab/>
      </w:r>
      <w:r>
        <w:rPr>
          <w:noProof/>
        </w:rPr>
        <w:t>The Commission should be able to take a rapid decision to commit specific financial resources and to mobilise them as quickly as possible. The existing provisions for making advance payments should therefore be strengthened by increasing their amounts.</w:t>
      </w:r>
    </w:p>
    <w:p>
      <w:pPr>
        <w:pStyle w:val="ManualConsidrant"/>
        <w:rPr>
          <w:noProof/>
        </w:rPr>
      </w:pPr>
      <w:r>
        <w:t>(10)</w:t>
      </w:r>
      <w:r>
        <w:tab/>
      </w:r>
      <w:r>
        <w:rPr>
          <w:noProof/>
        </w:rPr>
        <w:t xml:space="preserve">This Regulation should enter into force as a matter of urgency on the day following that of its publication in the </w:t>
      </w:r>
      <w:r>
        <w:rPr>
          <w:i/>
          <w:noProof/>
        </w:rPr>
        <w:t>Official Journal of the European Union</w:t>
      </w:r>
      <w:r>
        <w:rPr>
          <w:noProof/>
        </w:rPr>
        <w:t>.</w:t>
      </w:r>
    </w:p>
    <w:p>
      <w:pPr>
        <w:pStyle w:val="ManualConsidrant"/>
        <w:rPr>
          <w:noProof/>
        </w:rPr>
      </w:pPr>
      <w:r>
        <w:t>(11)</w:t>
      </w:r>
      <w:r>
        <w:tab/>
      </w:r>
      <w:r>
        <w:rPr>
          <w:noProof/>
        </w:rPr>
        <w:t>Regulation (EC) No 2012/2002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bookmarkStart w:id="1" w:name="texte"/>
      <w:r>
        <w:rPr>
          <w:noProof/>
        </w:rPr>
        <w:t xml:space="preserve">Regulation (EC) No 2012/2002 is amended as follows: </w:t>
      </w:r>
    </w:p>
    <w:bookmarkEnd w:id="1"/>
    <w:p>
      <w:pPr>
        <w:pStyle w:val="ManualNumPar1"/>
        <w:rPr>
          <w:noProof/>
        </w:rPr>
      </w:pPr>
      <w:r>
        <w:t>1.</w:t>
      </w:r>
      <w:r>
        <w:tab/>
      </w:r>
      <w:r>
        <w:rPr>
          <w:noProof/>
        </w:rPr>
        <w:t xml:space="preserve">Article 2 is replaced by the following: </w:t>
      </w:r>
    </w:p>
    <w:p>
      <w:pPr>
        <w:pStyle w:val="Text1"/>
        <w:jc w:val="center"/>
        <w:rPr>
          <w:i/>
          <w:noProof/>
        </w:rPr>
      </w:pPr>
      <w:r>
        <w:rPr>
          <w:i/>
          <w:noProof/>
        </w:rPr>
        <w:t>‘Article 2</w:t>
      </w:r>
    </w:p>
    <w:p>
      <w:pPr>
        <w:pStyle w:val="Point1"/>
        <w:rPr>
          <w:noProof/>
        </w:rPr>
      </w:pPr>
      <w:r>
        <w:rPr>
          <w:noProof/>
        </w:rPr>
        <w:t>1.</w:t>
      </w:r>
      <w:r>
        <w:rPr>
          <w:noProof/>
        </w:rPr>
        <w:tab/>
        <w:t>At the request of a Member State or of a country involved in accession negotiations with the Union, hereinafter referred to as “eligible State”, assistance from the Fund may be mobilised when serious repercussions on living conditions, human health, the natural environment or the economy occur in one or more regions of that eligible State as a consequence of a major or regional natural disaster having taken place on the territory of the same eligible State or a major public health emergency having taken place on the territory of the eligible State.</w:t>
      </w:r>
    </w:p>
    <w:p>
      <w:pPr>
        <w:pStyle w:val="Text2"/>
        <w:rPr>
          <w:noProof/>
        </w:rPr>
      </w:pPr>
      <w:r>
        <w:rPr>
          <w:noProof/>
        </w:rPr>
        <w:t>Direct damage caused as the direct consequence of a natural disaster shall be regarded as part of the damage caused by that natural disaster.</w:t>
      </w:r>
    </w:p>
    <w:p>
      <w:pPr>
        <w:pStyle w:val="Point1"/>
        <w:rPr>
          <w:noProof/>
        </w:rPr>
      </w:pPr>
      <w:r>
        <w:rPr>
          <w:noProof/>
        </w:rPr>
        <w:t>2.</w:t>
      </w:r>
      <w:r>
        <w:rPr>
          <w:noProof/>
        </w:rPr>
        <w:tab/>
        <w:t xml:space="preserve">For the purposes of this Regulation, a “major natural disaster” means any natural disaster resulting, in an eligible State, in direct damage estimated either at over EUR 3 000 000 000 in 2011 prices, or more than 0.6% of its GNI. </w:t>
      </w:r>
    </w:p>
    <w:p>
      <w:pPr>
        <w:pStyle w:val="Point1"/>
        <w:rPr>
          <w:noProof/>
        </w:rPr>
      </w:pPr>
      <w:r>
        <w:rPr>
          <w:noProof/>
        </w:rPr>
        <w:t>3.</w:t>
      </w:r>
      <w:r>
        <w:rPr>
          <w:noProof/>
        </w:rPr>
        <w:tab/>
        <w:t xml:space="preserve">For the purposes of this Regulation a “major public health emergency” means any life-threatening or otherwise serious hazard to health of biological origin in an eligible State seriously affecting human health and requiring decisive action </w:t>
      </w:r>
      <w:r>
        <w:rPr>
          <w:noProof/>
        </w:rPr>
        <w:lastRenderedPageBreak/>
        <w:t xml:space="preserve">to contain further spreading </w:t>
      </w:r>
      <w:r>
        <w:rPr>
          <w:noProof/>
          <w:sz w:val="23"/>
          <w:szCs w:val="23"/>
        </w:rPr>
        <w:t>resulting in a public financial burden inflicted on the eligible State for emergency response measures estimated at over EUR 1 500 000 000 in 2011 prices, or more than 0.3% of its GNI.</w:t>
      </w:r>
    </w:p>
    <w:p>
      <w:pPr>
        <w:pStyle w:val="Point1"/>
        <w:rPr>
          <w:noProof/>
        </w:rPr>
      </w:pPr>
      <w:r>
        <w:rPr>
          <w:noProof/>
        </w:rPr>
        <w:t>4.</w:t>
      </w:r>
      <w:r>
        <w:rPr>
          <w:noProof/>
        </w:rPr>
        <w:tab/>
        <w:t>For the purposes of this Regulation, a “regional natural disaster” means any natural disaster resulting, in a region at NUTS level 2 of an eligible State, in direct damage in excess of 1.5% of that region’s gross domestic product (GDP). By way of derogation from the first subparagraph, where the region concerned, in which a natural disaster has occurred, is an outermost region within the meaning of Article 349 of the Treaty on the Functioning of the European Union, “regional natural disaster” means any natural disaster resulting in direct damage in excess of 1% of that region’s GDP. Where the natural disaster concerns several regions at NUTS level 2, the threshold shall be applied to the average GDP of those regions weighted according to the share of total damage in each region.</w:t>
      </w:r>
    </w:p>
    <w:p>
      <w:pPr>
        <w:pStyle w:val="Point1"/>
        <w:rPr>
          <w:noProof/>
        </w:rPr>
      </w:pPr>
      <w:r>
        <w:rPr>
          <w:noProof/>
        </w:rPr>
        <w:t>5.</w:t>
      </w:r>
      <w:r>
        <w:rPr>
          <w:noProof/>
        </w:rPr>
        <w:tab/>
        <w:t xml:space="preserve">Assistance from the Fund may also be mobilised for any natural disaster in an eligible State which is also a major natural disaster in a neighbouring eligible State. </w:t>
      </w:r>
    </w:p>
    <w:p>
      <w:pPr>
        <w:pStyle w:val="Point1"/>
        <w:rPr>
          <w:noProof/>
        </w:rPr>
      </w:pPr>
      <w:r>
        <w:rPr>
          <w:noProof/>
        </w:rPr>
        <w:t>6.</w:t>
      </w:r>
      <w:r>
        <w:rPr>
          <w:noProof/>
        </w:rPr>
        <w:tab/>
        <w:t>For the purpose of this Article, harmonised statistical data provided by Eurostat shall be used.’.</w:t>
      </w:r>
    </w:p>
    <w:p>
      <w:pPr>
        <w:pStyle w:val="ManualNumPar1"/>
        <w:rPr>
          <w:noProof/>
        </w:rPr>
      </w:pPr>
      <w:r>
        <w:t>2.</w:t>
      </w:r>
      <w:r>
        <w:tab/>
      </w:r>
      <w:r>
        <w:rPr>
          <w:noProof/>
        </w:rPr>
        <w:t>In Article 3, paragraphs 1 and 2 are replaced by the following:</w:t>
      </w:r>
    </w:p>
    <w:p>
      <w:pPr>
        <w:pStyle w:val="Point1"/>
        <w:rPr>
          <w:noProof/>
        </w:rPr>
      </w:pPr>
      <w:r>
        <w:rPr>
          <w:noProof/>
        </w:rPr>
        <w:t>‘1.</w:t>
      </w:r>
      <w:r>
        <w:rPr>
          <w:noProof/>
        </w:rPr>
        <w:tab/>
        <w:t>The assistance shall take the form of a financial contribution from the Fund. For each eligible disaster a single financial contribution shall be awarded to an eligible State.</w:t>
      </w:r>
    </w:p>
    <w:p>
      <w:pPr>
        <w:pStyle w:val="Point1"/>
        <w:rPr>
          <w:noProof/>
        </w:rPr>
      </w:pPr>
      <w:r>
        <w:rPr>
          <w:noProof/>
        </w:rPr>
        <w:t>2.</w:t>
      </w:r>
      <w:r>
        <w:rPr>
          <w:noProof/>
        </w:rPr>
        <w:tab/>
        <w:t xml:space="preserve">The aim of the Fund is to complement the efforts of the States concerned and to cover part of their public expenditure in order to help the eligible State to carry out, depending on the type of eligible disaster, the following essential emergency and recovery operations: </w:t>
      </w:r>
    </w:p>
    <w:p>
      <w:pPr>
        <w:pStyle w:val="Point1"/>
        <w:rPr>
          <w:noProof/>
        </w:rPr>
      </w:pPr>
      <w:r>
        <w:t>(a)</w:t>
      </w:r>
      <w:r>
        <w:tab/>
      </w:r>
      <w:r>
        <w:rPr>
          <w:noProof/>
        </w:rPr>
        <w:t xml:space="preserve">restoring the working order of infrastructure and plant in the fields of energy, water and waste water, telecommunications, transport, health and education; </w:t>
      </w:r>
    </w:p>
    <w:p>
      <w:pPr>
        <w:pStyle w:val="Point1"/>
        <w:rPr>
          <w:noProof/>
        </w:rPr>
      </w:pPr>
      <w:r>
        <w:t>(b)</w:t>
      </w:r>
      <w:r>
        <w:tab/>
      </w:r>
      <w:r>
        <w:rPr>
          <w:noProof/>
        </w:rPr>
        <w:t xml:space="preserve">providing temporary accommodation and funding rescue services to meet the needs of the population concerned; </w:t>
      </w:r>
    </w:p>
    <w:p>
      <w:pPr>
        <w:pStyle w:val="Point1"/>
        <w:rPr>
          <w:noProof/>
        </w:rPr>
      </w:pPr>
      <w:r>
        <w:t>(c)</w:t>
      </w:r>
      <w:r>
        <w:tab/>
      </w:r>
      <w:r>
        <w:rPr>
          <w:noProof/>
        </w:rPr>
        <w:t xml:space="preserve">securing preventive infrastructure and measures of protection of cultural heritage; </w:t>
      </w:r>
    </w:p>
    <w:p>
      <w:pPr>
        <w:pStyle w:val="Point1"/>
        <w:rPr>
          <w:noProof/>
        </w:rPr>
      </w:pPr>
      <w:r>
        <w:t>(d)</w:t>
      </w:r>
      <w:r>
        <w:tab/>
      </w:r>
      <w:r>
        <w:rPr>
          <w:noProof/>
        </w:rPr>
        <w:t xml:space="preserve">cleaning up disaster-stricken areas, including natural zones, in line with, where appropriate, eco-system based approaches, as well as immediate restoration of affected natural zones to avoid immediate effects from soil erosion; </w:t>
      </w:r>
    </w:p>
    <w:p>
      <w:pPr>
        <w:pStyle w:val="Point1"/>
        <w:rPr>
          <w:noProof/>
        </w:rPr>
      </w:pPr>
      <w:r>
        <w:t>(e)</w:t>
      </w:r>
      <w:r>
        <w:tab/>
      </w:r>
      <w:r>
        <w:rPr>
          <w:noProof/>
        </w:rPr>
        <w:t>measures aiming at rapidly providing assistance, including medical, to the population affected by a major public health emergency and to protect the population from the risk of being affected, including prevention, monitoring or control of the spread of diseases, combating severe risks to public health or mitigating their impact on public health.</w:t>
      </w:r>
    </w:p>
    <w:p>
      <w:pPr>
        <w:pStyle w:val="Text1"/>
        <w:rPr>
          <w:noProof/>
        </w:rPr>
      </w:pPr>
      <w:r>
        <w:rPr>
          <w:noProof/>
        </w:rPr>
        <w:t xml:space="preserve">For the purposes of point (a), ‘restoring the working order’ means restoring infrastructure and plant to their condition prior to the occurrence of the natural disaster. Where it is not legally possible or economically justified to restore the condition prior to the occurrence of the natural disaster, or where the beneficiary </w:t>
      </w:r>
      <w:r>
        <w:rPr>
          <w:noProof/>
        </w:rPr>
        <w:lastRenderedPageBreak/>
        <w:t xml:space="preserve">State decides to relocate or improve the functionality of the infrastructure or plant affected in order to improve its capacity to withstand future natural disasters, the Fund may contribute to the cost of restoration only up to the estimated cost of returning to its status quo ante. </w:t>
      </w:r>
    </w:p>
    <w:p>
      <w:pPr>
        <w:pStyle w:val="Text1"/>
        <w:rPr>
          <w:noProof/>
        </w:rPr>
      </w:pPr>
      <w:r>
        <w:rPr>
          <w:noProof/>
        </w:rPr>
        <w:t xml:space="preserve">Costs in excess of the level of cost referred to in the second subparagraph shall be financed by the beneficiary State from its own or, where possible, from other Union funds. </w:t>
      </w:r>
    </w:p>
    <w:p>
      <w:pPr>
        <w:pStyle w:val="Text1"/>
        <w:rPr>
          <w:noProof/>
        </w:rPr>
      </w:pPr>
      <w:r>
        <w:rPr>
          <w:noProof/>
        </w:rPr>
        <w:t>For the purposes of point (b), ‘temporary accommodation’ means accommodation that lasts until the population concerned are able to return to their original homes following their repair or reconstruction.’.</w:t>
      </w:r>
    </w:p>
    <w:p>
      <w:pPr>
        <w:pStyle w:val="ManualNumPar1"/>
        <w:rPr>
          <w:noProof/>
        </w:rPr>
      </w:pPr>
      <w:r>
        <w:t>3.</w:t>
      </w:r>
      <w:r>
        <w:tab/>
      </w:r>
      <w:r>
        <w:rPr>
          <w:noProof/>
        </w:rPr>
        <w:t>In Article 4a, paragraph 3 is replaced by the following:</w:t>
      </w:r>
    </w:p>
    <w:p>
      <w:pPr>
        <w:pStyle w:val="Point1"/>
        <w:rPr>
          <w:noProof/>
        </w:rPr>
      </w:pPr>
      <w:r>
        <w:rPr>
          <w:noProof/>
          <w:sz w:val="23"/>
          <w:szCs w:val="23"/>
        </w:rPr>
        <w:t>‘3.</w:t>
      </w:r>
      <w:r>
        <w:rPr>
          <w:noProof/>
          <w:sz w:val="23"/>
          <w:szCs w:val="23"/>
        </w:rPr>
        <w:tab/>
      </w:r>
      <w:r>
        <w:rPr>
          <w:noProof/>
        </w:rPr>
        <w:t>The amount of the advance shall not exceed 25% of the amount of the financial contribution anticipated and shall in no case exceed EUR 100 000 000. Once the definitive amount of the financial contribution has been determined, the Commission shall take into account the sum of the advance prior to the balance of the financial contribution being paid. The Commission shall recover unduly paid advances.’.</w:t>
      </w:r>
    </w:p>
    <w:p>
      <w:pPr>
        <w:pStyle w:val="ManualNumPar1"/>
        <w:rPr>
          <w:noProof/>
        </w:rPr>
      </w:pPr>
      <w:r>
        <w:t>4.</w:t>
      </w:r>
      <w:r>
        <w:tab/>
      </w:r>
      <w:r>
        <w:rPr>
          <w:noProof/>
        </w:rPr>
        <w:t>In Article 8, paragraph 3 is replaced by the following:</w:t>
      </w:r>
    </w:p>
    <w:p>
      <w:pPr>
        <w:pStyle w:val="Point1"/>
        <w:rPr>
          <w:noProof/>
        </w:rPr>
      </w:pPr>
      <w:r>
        <w:rPr>
          <w:noProof/>
        </w:rPr>
        <w:t>‘3.</w:t>
      </w:r>
      <w:r>
        <w:rPr>
          <w:noProof/>
          <w:sz w:val="23"/>
          <w:szCs w:val="23"/>
        </w:rPr>
        <w:tab/>
      </w:r>
      <w:r>
        <w:rPr>
          <w:noProof/>
        </w:rPr>
        <w:t xml:space="preserve">No later than six months after the expiry of the eighteen months period referred to in paragraph 1, the beneficiary State shall present a report on the implementation of the financial contribution from the Fund with a statement justifying the expenditure, indicating any other source of funding received for the operations concerned, including insurance settlements and compensation from third parties. </w:t>
      </w:r>
    </w:p>
    <w:p>
      <w:pPr>
        <w:pStyle w:val="Text2"/>
        <w:rPr>
          <w:noProof/>
        </w:rPr>
      </w:pPr>
      <w:r>
        <w:rPr>
          <w:noProof/>
        </w:rPr>
        <w:t xml:space="preserve">The implementation report shall detail, depending on the nature of the eligible disaster: </w:t>
      </w:r>
    </w:p>
    <w:p>
      <w:pPr>
        <w:pStyle w:val="Point2"/>
        <w:rPr>
          <w:noProof/>
        </w:rPr>
      </w:pPr>
      <w:r>
        <w:t>(a)</w:t>
      </w:r>
      <w:r>
        <w:tab/>
      </w:r>
      <w:r>
        <w:rPr>
          <w:noProof/>
        </w:rPr>
        <w:t xml:space="preserve">the preventive measures, taken or proposed by the beneficiary State to limit future damage and to avoid, to the extent possible, a recurrence of similar natural disasters or public health emergencies, including the use of European Structural and Investment Funds for this purpose; </w:t>
      </w:r>
    </w:p>
    <w:p>
      <w:pPr>
        <w:pStyle w:val="Point2"/>
        <w:rPr>
          <w:noProof/>
        </w:rPr>
      </w:pPr>
      <w:r>
        <w:t>(b)</w:t>
      </w:r>
      <w:r>
        <w:tab/>
      </w:r>
      <w:r>
        <w:rPr>
          <w:noProof/>
        </w:rPr>
        <w:t xml:space="preserve">the state of implementation of relevant Union legislation on disaster risk prevention and management; </w:t>
      </w:r>
    </w:p>
    <w:p>
      <w:pPr>
        <w:pStyle w:val="Point2"/>
        <w:rPr>
          <w:noProof/>
        </w:rPr>
      </w:pPr>
      <w:r>
        <w:t>(c)</w:t>
      </w:r>
      <w:r>
        <w:tab/>
      </w:r>
      <w:r>
        <w:rPr>
          <w:noProof/>
        </w:rPr>
        <w:t xml:space="preserve">the experience gained from the disaster and the measures taken or proposed to ensure environmental protection and resilience in relation to climate change, natural disasters and public health emergencies; and </w:t>
      </w:r>
    </w:p>
    <w:p>
      <w:pPr>
        <w:pStyle w:val="Point2"/>
        <w:rPr>
          <w:noProof/>
        </w:rPr>
      </w:pPr>
      <w:r>
        <w:t>(d)</w:t>
      </w:r>
      <w:r>
        <w:tab/>
      </w:r>
      <w:r>
        <w:rPr>
          <w:noProof/>
        </w:rPr>
        <w:t xml:space="preserve">any other relevant information on prevention and mitigation measures taken related to the nature of the natural disaster or public health emergency. </w:t>
      </w:r>
    </w:p>
    <w:p>
      <w:pPr>
        <w:pStyle w:val="Text2"/>
        <w:rPr>
          <w:noProof/>
        </w:rPr>
      </w:pPr>
      <w:r>
        <w:rPr>
          <w:noProof/>
        </w:rPr>
        <w:t xml:space="preserve">The implementation report shall be accompanied by an opinion of an independent audit body, drawn up in accordance with internationally accepted audit standards, establishing that the statement justifying the expenditure gives a true and fair view and that the financial contribution from the Fund is legal and regular, in line with Article 59(5) and Article 60(5) of Regulation (EU, Euratom) No 966/2012. </w:t>
      </w:r>
    </w:p>
    <w:p>
      <w:pPr>
        <w:pStyle w:val="Text2"/>
        <w:rPr>
          <w:noProof/>
          <w:sz w:val="23"/>
          <w:szCs w:val="23"/>
        </w:rPr>
      </w:pPr>
      <w:r>
        <w:rPr>
          <w:noProof/>
        </w:rPr>
        <w:lastRenderedPageBreak/>
        <w:t>At the end of the procedure referred to in the first subparagraph, the Commission shall carry out a closure of the assistance from the Fund.</w:t>
      </w:r>
      <w:r>
        <w:rPr>
          <w:noProof/>
          <w:sz w:val="23"/>
          <w:szCs w:val="23"/>
        </w:rPr>
        <w:t>’.</w:t>
      </w:r>
    </w:p>
    <w:p>
      <w:pPr>
        <w:pStyle w:val="Titrearticle"/>
        <w:rPr>
          <w:noProof/>
        </w:rPr>
      </w:pPr>
      <w:r>
        <w:rPr>
          <w:noProof/>
        </w:rPr>
        <w:t>Article 2</w:t>
      </w:r>
    </w:p>
    <w:p>
      <w:pPr>
        <w:rPr>
          <w:noProof/>
        </w:rPr>
      </w:pPr>
      <w:r>
        <w:rPr>
          <w:noProof/>
        </w:rPr>
        <w:t xml:space="preserve">This Regulation shall enter into force on the […]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 xml:space="preserve">The President </w:t>
      </w:r>
    </w:p>
    <w:p>
      <w:pPr>
        <w:rPr>
          <w:noProof/>
        </w:rPr>
        <w:sectPr>
          <w:pgSz w:w="11906" w:h="16838" w:code="9"/>
          <w:pgMar w:top="1134" w:right="1417" w:bottom="1134" w:left="1417" w:header="720" w:footer="720" w:gutter="0"/>
          <w:cols w:space="720"/>
          <w:docGrid w:linePitch="326"/>
        </w:sectPr>
      </w:pPr>
    </w:p>
    <w:p>
      <w:pPr>
        <w:pStyle w:val="Fichefinanciretitre"/>
        <w:rPr>
          <w:noProof/>
        </w:rPr>
      </w:pPr>
      <w:r>
        <w:rPr>
          <w:noProof/>
        </w:rPr>
        <w:lastRenderedPageBreak/>
        <w:t>LEGISLATIVE FINANCIAL STATEMENT</w:t>
      </w:r>
    </w:p>
    <w:p>
      <w:pPr>
        <w:keepNext/>
        <w:tabs>
          <w:tab w:val="left" w:pos="850"/>
        </w:tabs>
        <w:spacing w:before="360"/>
        <w:ind w:left="850" w:hanging="850"/>
        <w:outlineLvl w:val="0"/>
        <w:rPr>
          <w:rFonts w:eastAsia="Calibri"/>
          <w:b/>
          <w:smallCaps/>
          <w:noProof/>
        </w:rPr>
      </w:pPr>
      <w:bookmarkStart w:id="2" w:name="_Toc514938007"/>
      <w:bookmarkStart w:id="3" w:name="_Toc520485025"/>
      <w:r>
        <w:rPr>
          <w:rFonts w:eastAsia="Calibri"/>
          <w:b/>
          <w:smallCaps/>
          <w:noProof/>
        </w:rPr>
        <w:t>1.</w:t>
      </w:r>
      <w:r>
        <w:rPr>
          <w:rFonts w:eastAsia="Calibri"/>
          <w:b/>
          <w:smallCaps/>
          <w:noProof/>
        </w:rPr>
        <w:tab/>
        <w:t>FRAMEWORK OF THE PROPOSAL/INITIATIVE</w:t>
      </w:r>
      <w:bookmarkEnd w:id="2"/>
      <w:bookmarkEnd w:id="3"/>
      <w:r>
        <w:rPr>
          <w:rFonts w:eastAsia="Calibri"/>
          <w:b/>
          <w:smallCaps/>
          <w:noProof/>
        </w:rPr>
        <w:t xml:space="preserve"> </w:t>
      </w:r>
    </w:p>
    <w:p>
      <w:pPr>
        <w:keepNext/>
        <w:tabs>
          <w:tab w:val="left" w:pos="850"/>
        </w:tabs>
        <w:ind w:left="850" w:hanging="850"/>
        <w:outlineLvl w:val="1"/>
        <w:rPr>
          <w:rFonts w:eastAsia="Calibri"/>
          <w:b/>
          <w:noProof/>
        </w:rPr>
      </w:pPr>
      <w:bookmarkStart w:id="4" w:name="_Toc514938008"/>
      <w:bookmarkStart w:id="5" w:name="_Toc520485026"/>
      <w:r>
        <w:rPr>
          <w:rFonts w:eastAsia="Calibri"/>
          <w:b/>
          <w:noProof/>
        </w:rPr>
        <w:t>1.1.</w:t>
      </w:r>
      <w:r>
        <w:rPr>
          <w:rFonts w:eastAsia="Calibri"/>
          <w:b/>
          <w:noProof/>
        </w:rPr>
        <w:tab/>
        <w:t>Title of the proposal/initiative</w:t>
      </w:r>
      <w:bookmarkEnd w:id="4"/>
      <w:bookmarkEnd w:id="5"/>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Proposal for a Regulation of the European Parliament and of the Council amending Council Regulation (EC) No 2012/2002 in order to provide financial assistance to Member States and countries negotiating their accession to the Union seriously affected by a major public health emergency</w:t>
      </w:r>
    </w:p>
    <w:p>
      <w:pPr>
        <w:keepNext/>
        <w:tabs>
          <w:tab w:val="left" w:pos="850"/>
        </w:tabs>
        <w:ind w:left="850" w:hanging="850"/>
        <w:outlineLvl w:val="1"/>
        <w:rPr>
          <w:rFonts w:eastAsia="Calibri"/>
          <w:b/>
          <w:i/>
          <w:noProof/>
        </w:rPr>
      </w:pPr>
      <w:bookmarkStart w:id="6" w:name="_Toc514938011"/>
      <w:bookmarkStart w:id="7" w:name="_Toc520485027"/>
      <w:r>
        <w:rPr>
          <w:rFonts w:eastAsia="Calibri"/>
          <w:b/>
          <w:noProof/>
        </w:rPr>
        <w:t>1.2.</w:t>
      </w:r>
      <w:r>
        <w:rPr>
          <w:rFonts w:eastAsia="Calibri"/>
          <w:b/>
          <w:noProof/>
        </w:rPr>
        <w:tab/>
        <w:t>Policy area(s) concerned</w:t>
      </w:r>
      <w:bookmarkEnd w:id="6"/>
      <w:bookmarkEnd w:id="7"/>
      <w:r>
        <w:rPr>
          <w:rFonts w:eastAsia="Calibri"/>
          <w:b/>
          <w:i/>
          <w:noProof/>
        </w:rPr>
        <w:t xml:space="preserve"> </w:t>
      </w:r>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13. Regional policy; 13 06 01. Assistance to Member States in the event of a major natural disaster with serious repercussions on living conditions, the natural environment or the economy</w:t>
      </w:r>
    </w:p>
    <w:p>
      <w:pPr>
        <w:keepNext/>
        <w:tabs>
          <w:tab w:val="left" w:pos="850"/>
        </w:tabs>
        <w:ind w:left="850" w:hanging="850"/>
        <w:outlineLvl w:val="1"/>
        <w:rPr>
          <w:rFonts w:eastAsia="Calibri"/>
          <w:b/>
          <w:bCs/>
          <w:noProof/>
          <w:szCs w:val="24"/>
        </w:rPr>
      </w:pPr>
      <w:bookmarkStart w:id="8" w:name="_Toc514938025"/>
      <w:bookmarkStart w:id="9" w:name="_Toc520485034"/>
      <w:r>
        <w:rPr>
          <w:rFonts w:eastAsia="Calibri"/>
          <w:b/>
          <w:noProof/>
        </w:rPr>
        <w:t>1.3.</w:t>
      </w:r>
      <w:r>
        <w:rPr>
          <w:rFonts w:eastAsia="Calibri"/>
          <w:b/>
          <w:noProof/>
        </w:rPr>
        <w:tab/>
        <w:t>Grounds for the proposal/initiative</w:t>
      </w:r>
      <w:bookmarkEnd w:id="8"/>
      <w:bookmarkEnd w:id="9"/>
      <w:r>
        <w:rPr>
          <w:rFonts w:eastAsia="Calibri"/>
          <w:b/>
          <w:noProof/>
        </w:rPr>
        <w:t xml:space="preserve"> </w:t>
      </w:r>
    </w:p>
    <w:p>
      <w:pPr>
        <w:keepNext/>
        <w:tabs>
          <w:tab w:val="left" w:pos="850"/>
        </w:tabs>
        <w:ind w:left="850" w:hanging="850"/>
        <w:outlineLvl w:val="2"/>
        <w:rPr>
          <w:rFonts w:eastAsia="Calibri"/>
          <w:i/>
          <w:noProof/>
        </w:rPr>
      </w:pPr>
      <w:bookmarkStart w:id="10" w:name="_Toc514938026"/>
      <w:bookmarkStart w:id="11" w:name="_Toc520485035"/>
      <w:r>
        <w:rPr>
          <w:rFonts w:eastAsia="Calibri"/>
          <w:i/>
          <w:noProof/>
        </w:rPr>
        <w:t>1.3.1.</w:t>
      </w:r>
      <w:r>
        <w:rPr>
          <w:rFonts w:eastAsia="Calibri"/>
          <w:i/>
          <w:noProof/>
        </w:rPr>
        <w:tab/>
        <w:t>Requirement(s) to be met in the short or long term including a detailed timeline for roll-out of the implementation of the initiative</w:t>
      </w:r>
      <w:bookmarkEnd w:id="10"/>
      <w:bookmarkEnd w:id="11"/>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 xml:space="preserve">This Regulation shall enter into force on the […] day following that of its publication in the </w:t>
      </w:r>
      <w:r>
        <w:rPr>
          <w:rFonts w:eastAsia="Calibri"/>
          <w:i/>
          <w:noProof/>
        </w:rPr>
        <w:t>Official Journal of the European Union</w:t>
      </w:r>
      <w:r>
        <w:rPr>
          <w:rFonts w:eastAsia="Calibri"/>
          <w:noProof/>
        </w:rPr>
        <w:t>.</w:t>
      </w:r>
    </w:p>
    <w:p>
      <w:pPr>
        <w:keepNext/>
        <w:tabs>
          <w:tab w:val="left" w:pos="850"/>
        </w:tabs>
        <w:ind w:left="850" w:hanging="850"/>
        <w:outlineLvl w:val="2"/>
        <w:rPr>
          <w:rFonts w:eastAsia="Calibri"/>
          <w:bCs/>
          <w:i/>
          <w:noProof/>
          <w:szCs w:val="24"/>
        </w:rPr>
      </w:pPr>
      <w:bookmarkStart w:id="12" w:name="_Toc514938029"/>
      <w:bookmarkStart w:id="13" w:name="_Toc520485036"/>
      <w:r>
        <w:rPr>
          <w:rFonts w:eastAsia="Calibri"/>
          <w:i/>
          <w:noProof/>
        </w:rPr>
        <w:t>1.3.2.</w:t>
      </w:r>
      <w:r>
        <w:rPr>
          <w:rFonts w:eastAsia="Calibri"/>
          <w:i/>
          <w:noProof/>
        </w:rPr>
        <w:tab/>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2"/>
      <w:bookmarkEnd w:id="13"/>
    </w:p>
    <w:p>
      <w:pPr>
        <w:pBdr>
          <w:top w:val="single" w:sz="4" w:space="1" w:color="auto"/>
          <w:left w:val="single" w:sz="4" w:space="0" w:color="auto"/>
          <w:bottom w:val="single" w:sz="4" w:space="1" w:color="auto"/>
          <w:right w:val="single" w:sz="4" w:space="4" w:color="auto"/>
        </w:pBdr>
        <w:ind w:left="850"/>
        <w:rPr>
          <w:rFonts w:eastAsia="Calibri"/>
          <w:noProof/>
        </w:rPr>
      </w:pPr>
      <w:r>
        <w:rPr>
          <w:rFonts w:eastAsia="Calibri"/>
          <w:noProof/>
        </w:rPr>
        <w:t>The reason for setting up the EU Solidarity Fund (EUSF) was to demonstrate solidarity with Member States affected by a serious crisis induced by the occurrence of a severe natural disaster and deemed to overwhelm the Member State’s budgetary response capacity. This proposal extends that logic to the financial burden resulting from a major public health emergency.</w:t>
      </w:r>
    </w:p>
    <w:p>
      <w:pPr>
        <w:keepNext/>
        <w:tabs>
          <w:tab w:val="left" w:pos="850"/>
        </w:tabs>
        <w:ind w:left="850" w:hanging="850"/>
        <w:outlineLvl w:val="2"/>
        <w:rPr>
          <w:rFonts w:eastAsia="Calibri"/>
          <w:i/>
          <w:noProof/>
        </w:rPr>
      </w:pPr>
      <w:bookmarkStart w:id="14" w:name="_Toc514938030"/>
      <w:bookmarkStart w:id="15" w:name="_Toc520485037"/>
      <w:r>
        <w:rPr>
          <w:rFonts w:eastAsia="Calibri"/>
          <w:i/>
          <w:noProof/>
        </w:rPr>
        <w:t>1.3.3.</w:t>
      </w:r>
      <w:r>
        <w:rPr>
          <w:rFonts w:eastAsia="Calibri"/>
          <w:i/>
          <w:noProof/>
        </w:rPr>
        <w:tab/>
        <w:t>Lessons learned from similar experiences in the past</w:t>
      </w:r>
      <w:bookmarkEnd w:id="14"/>
      <w:bookmarkEnd w:id="15"/>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The EUSF has proven to be a very effective instrument in providing assistance to Member States following natural disasters as set out by a major evaluation of the Fund</w:t>
      </w:r>
      <w:r>
        <w:rPr>
          <w:rStyle w:val="FootnoteReference"/>
          <w:rFonts w:eastAsia="Calibri"/>
          <w:noProof/>
        </w:rPr>
        <w:footnoteReference w:id="4"/>
      </w:r>
      <w:r>
        <w:rPr>
          <w:rFonts w:eastAsia="Calibri"/>
          <w:noProof/>
        </w:rPr>
        <w:t>.</w:t>
      </w:r>
    </w:p>
    <w:p>
      <w:pPr>
        <w:keepNext/>
        <w:tabs>
          <w:tab w:val="left" w:pos="850"/>
        </w:tabs>
        <w:ind w:left="850" w:hanging="850"/>
        <w:outlineLvl w:val="2"/>
        <w:rPr>
          <w:rFonts w:eastAsia="Calibri"/>
          <w:i/>
          <w:noProof/>
        </w:rPr>
      </w:pPr>
      <w:bookmarkStart w:id="16" w:name="_Toc514938033"/>
      <w:bookmarkStart w:id="17" w:name="_Toc520485038"/>
      <w:r>
        <w:rPr>
          <w:rFonts w:eastAsia="Calibri"/>
          <w:i/>
          <w:noProof/>
        </w:rPr>
        <w:t>1.3.4.</w:t>
      </w:r>
      <w:r>
        <w:rPr>
          <w:rFonts w:eastAsia="Calibri"/>
          <w:i/>
          <w:noProof/>
        </w:rPr>
        <w:tab/>
        <w:t>Compatibility with the Multiannual Financial Framework and possible synergies with other appropriate instruments</w:t>
      </w:r>
      <w:bookmarkEnd w:id="16"/>
      <w:bookmarkEnd w:id="17"/>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This Regulation remains within the maximum allocations provided for the EUSF in the MFF and is therefore compatible with the MFF.</w:t>
      </w:r>
    </w:p>
    <w:p>
      <w:pPr>
        <w:keepNext/>
        <w:tabs>
          <w:tab w:val="left" w:pos="850"/>
        </w:tabs>
        <w:ind w:left="850" w:hanging="850"/>
        <w:outlineLvl w:val="2"/>
        <w:rPr>
          <w:rFonts w:eastAsia="Calibri"/>
          <w:i/>
          <w:noProof/>
        </w:rPr>
      </w:pPr>
      <w:bookmarkStart w:id="18" w:name="_Toc514938036"/>
      <w:bookmarkStart w:id="19" w:name="_Toc520485039"/>
      <w:r>
        <w:rPr>
          <w:rFonts w:eastAsia="Calibri"/>
          <w:i/>
          <w:noProof/>
        </w:rPr>
        <w:t>1.3.5.</w:t>
      </w:r>
      <w:r>
        <w:rPr>
          <w:rFonts w:eastAsia="Calibri"/>
          <w:i/>
          <w:noProof/>
        </w:rPr>
        <w:tab/>
        <w:t>Assessment of the different available financing options, including scope for redeployment</w:t>
      </w:r>
      <w:bookmarkEnd w:id="18"/>
      <w:bookmarkEnd w:id="19"/>
    </w:p>
    <w:p>
      <w:pPr>
        <w:pBdr>
          <w:top w:val="single" w:sz="4" w:space="1" w:color="auto"/>
          <w:left w:val="single" w:sz="4" w:space="4" w:color="auto"/>
          <w:bottom w:val="single" w:sz="4" w:space="0" w:color="auto"/>
          <w:right w:val="single" w:sz="4" w:space="4" w:color="auto"/>
        </w:pBdr>
        <w:ind w:left="850"/>
        <w:rPr>
          <w:rFonts w:eastAsia="Calibri"/>
          <w:noProof/>
        </w:rPr>
      </w:pPr>
      <w:r>
        <w:rPr>
          <w:rFonts w:eastAsia="Calibri"/>
          <w:noProof/>
        </w:rPr>
        <w:t>This Regulation will not increase the maximum allocation to the EUSF. The Union contribution to the interventions will be financed via the general budget of the Union.</w:t>
      </w:r>
    </w:p>
    <w:p>
      <w:pPr>
        <w:ind w:left="850"/>
        <w:rPr>
          <w:rFonts w:eastAsia="Calibri"/>
          <w:noProof/>
        </w:rPr>
      </w:pPr>
    </w:p>
    <w:p>
      <w:pPr>
        <w:keepNext/>
        <w:tabs>
          <w:tab w:val="left" w:pos="850"/>
        </w:tabs>
        <w:ind w:left="850" w:hanging="850"/>
        <w:outlineLvl w:val="1"/>
        <w:rPr>
          <w:rFonts w:eastAsia="Calibri"/>
          <w:b/>
          <w:bCs/>
          <w:noProof/>
          <w:szCs w:val="24"/>
        </w:rPr>
      </w:pPr>
      <w:bookmarkStart w:id="20" w:name="_Toc514938039"/>
      <w:bookmarkStart w:id="21" w:name="_Toc520485040"/>
      <w:r>
        <w:rPr>
          <w:rFonts w:eastAsia="Calibri"/>
          <w:b/>
          <w:noProof/>
        </w:rPr>
        <w:t>1.4.</w:t>
      </w:r>
      <w:r>
        <w:rPr>
          <w:rFonts w:eastAsia="Calibri"/>
          <w:b/>
          <w:noProof/>
        </w:rPr>
        <w:tab/>
        <w:t>Duration and financial impact of the proposal/initiative</w:t>
      </w:r>
      <w:bookmarkEnd w:id="20"/>
      <w:bookmarkEnd w:id="21"/>
    </w:p>
    <w:p>
      <w:pPr>
        <w:pStyle w:val="Text1"/>
        <w:rPr>
          <w:noProof/>
          <w:lang w:eastAsia="en-GB"/>
        </w:rPr>
      </w:pPr>
      <w:r>
        <w:rPr>
          <w:noProof/>
          <w:lang w:eastAsia="en-GB"/>
        </w:rPr>
        <w:t>Proposal of unlimited duration.</w:t>
      </w:r>
    </w:p>
    <w:p>
      <w:pPr>
        <w:pStyle w:val="Text1"/>
        <w:rPr>
          <w:noProof/>
          <w:lang w:eastAsia="en-GB"/>
        </w:rPr>
      </w:pPr>
      <w:r>
        <w:rPr>
          <w:noProof/>
          <w:lang w:eastAsia="en-GB"/>
        </w:rPr>
        <w:t>The ceiling of the maximum allocation of the EUSF for 2020 totalling is respected (EUR 597.546 million plus EUR 552.978 carried forward from 2019).</w:t>
      </w:r>
    </w:p>
    <w:p>
      <w:pPr>
        <w:keepNext/>
        <w:tabs>
          <w:tab w:val="left" w:pos="850"/>
        </w:tabs>
        <w:ind w:left="850" w:hanging="850"/>
        <w:outlineLvl w:val="1"/>
        <w:rPr>
          <w:rFonts w:eastAsia="Calibri"/>
          <w:b/>
          <w:bCs/>
          <w:noProof/>
          <w:szCs w:val="24"/>
        </w:rPr>
      </w:pPr>
      <w:bookmarkStart w:id="22" w:name="_Toc514938040"/>
      <w:bookmarkStart w:id="23" w:name="_Toc520485041"/>
      <w:r>
        <w:rPr>
          <w:rFonts w:eastAsia="Calibri"/>
          <w:b/>
          <w:noProof/>
        </w:rPr>
        <w:t>1.5.</w:t>
      </w:r>
      <w:r>
        <w:rPr>
          <w:rFonts w:eastAsia="Calibri"/>
          <w:b/>
          <w:noProof/>
        </w:rPr>
        <w:tab/>
        <w:t>Management mode(s) planned</w:t>
      </w:r>
      <w:bookmarkEnd w:id="22"/>
      <w:bookmarkEnd w:id="23"/>
      <w:r>
        <w:rPr>
          <w:rStyle w:val="FootnoteReference"/>
          <w:rFonts w:eastAsia="Calibri"/>
          <w:b/>
          <w:noProof/>
        </w:rPr>
        <w:footnoteReference w:id="5"/>
      </w:r>
      <w:r>
        <w:rPr>
          <w:rFonts w:eastAsia="Calibri"/>
          <w:b/>
          <w:noProof/>
          <w:vertAlign w:val="superscript"/>
        </w:rPr>
        <w:t xml:space="preserve"> </w:t>
      </w:r>
    </w:p>
    <w:p>
      <w:pPr>
        <w:ind w:left="850"/>
        <w:rPr>
          <w:rFonts w:eastAsia="Calibri"/>
          <w:noProof/>
        </w:rPr>
      </w:pPr>
      <w:r>
        <w:rPr>
          <w:rFonts w:eastAsia="Calibri"/>
          <w:noProof/>
        </w:rPr>
        <w:sym w:font="Wingdings" w:char="F0A8"/>
      </w:r>
      <w:r>
        <w:rPr>
          <w:rFonts w:eastAsia="Calibri"/>
          <w:i/>
          <w:noProof/>
        </w:rPr>
        <w:t xml:space="preserve"> </w:t>
      </w:r>
      <w:r>
        <w:rPr>
          <w:rFonts w:eastAsia="Calibri"/>
          <w:b/>
          <w:noProof/>
        </w:rPr>
        <w:t>Direct management</w:t>
      </w:r>
      <w:r>
        <w:rPr>
          <w:rFonts w:eastAsia="Calibri"/>
          <w:noProof/>
        </w:rPr>
        <w:t xml:space="preserve"> by the Commission</w:t>
      </w:r>
    </w:p>
    <w:p>
      <w:pPr>
        <w:pStyle w:val="Tiret1"/>
        <w:numPr>
          <w:ilvl w:val="0"/>
          <w:numId w:val="14"/>
        </w:numPr>
        <w:rPr>
          <w:rFonts w:cs="EUAlbertina"/>
          <w:noProof/>
          <w:lang w:eastAsia="en-GB"/>
        </w:rPr>
      </w:pPr>
      <w:r>
        <w:rPr>
          <w:noProof/>
          <w:lang w:eastAsia="en-GB"/>
        </w:rPr>
        <w:sym w:font="Wingdings" w:char="F0A8"/>
      </w:r>
      <w:r>
        <w:rPr>
          <w:noProof/>
          <w:lang w:eastAsia="en-GB"/>
        </w:rPr>
        <w:t xml:space="preserve"> by its departments, including by its staff in the Union delegations; </w:t>
      </w:r>
    </w:p>
    <w:p>
      <w:pPr>
        <w:pStyle w:val="Tiret1"/>
        <w:rPr>
          <w:noProof/>
          <w:lang w:eastAsia="en-GB"/>
        </w:rPr>
      </w:pPr>
      <w:r>
        <w:rPr>
          <w:noProof/>
          <w:lang w:eastAsia="en-GB"/>
        </w:rPr>
        <w:sym w:font="Wingdings" w:char="F0A8"/>
      </w:r>
      <w:r>
        <w:rPr>
          <w:noProof/>
          <w:lang w:eastAsia="en-GB"/>
        </w:rPr>
        <w:tab/>
        <w:t xml:space="preserve">by the executive agencies </w:t>
      </w:r>
    </w:p>
    <w:p>
      <w:pPr>
        <w:ind w:left="850"/>
        <w:rPr>
          <w:rFonts w:eastAsia="Calibri"/>
          <w:noProof/>
        </w:rPr>
      </w:pPr>
      <w:r>
        <w:rPr>
          <w:rFonts w:eastAsia="Calibri"/>
          <w:b/>
          <w:noProof/>
        </w:rPr>
        <w:t>X</w:t>
      </w:r>
      <w:r>
        <w:rPr>
          <w:rFonts w:eastAsia="Calibri"/>
          <w:b/>
          <w:i/>
          <w:noProof/>
        </w:rPr>
        <w:t xml:space="preserve"> </w:t>
      </w:r>
      <w:r>
        <w:rPr>
          <w:rFonts w:eastAsia="Calibri"/>
          <w:b/>
          <w:noProof/>
        </w:rPr>
        <w:t>Shared management</w:t>
      </w:r>
      <w:r>
        <w:rPr>
          <w:rFonts w:eastAsia="Calibri"/>
          <w:noProof/>
        </w:rPr>
        <w:t xml:space="preserve"> with the Member States </w:t>
      </w:r>
    </w:p>
    <w:p>
      <w:pPr>
        <w:ind w:left="850"/>
        <w:rPr>
          <w:rFonts w:eastAsia="Calibri"/>
          <w:noProof/>
        </w:rPr>
      </w:pPr>
      <w:r>
        <w:rPr>
          <w:rFonts w:eastAsia="Calibri"/>
          <w:noProof/>
        </w:rPr>
        <w:sym w:font="Wingdings" w:char="F0A8"/>
      </w:r>
      <w:r>
        <w:rPr>
          <w:rFonts w:eastAsia="Calibri"/>
          <w:i/>
          <w:noProof/>
        </w:rPr>
        <w:t xml:space="preserve"> </w:t>
      </w:r>
      <w:r>
        <w:rPr>
          <w:rFonts w:eastAsia="Calibri"/>
          <w:b/>
          <w:noProof/>
        </w:rPr>
        <w:t>Indirect management</w:t>
      </w:r>
      <w:r>
        <w:rPr>
          <w:rFonts w:eastAsia="Calibri"/>
          <w:noProof/>
        </w:rPr>
        <w:t xml:space="preserve"> by entrusting budget implementation tasks to:</w:t>
      </w:r>
    </w:p>
    <w:p>
      <w:pPr>
        <w:pStyle w:val="Tiret1"/>
        <w:rPr>
          <w:noProof/>
          <w:lang w:eastAsia="en-GB"/>
        </w:rPr>
      </w:pPr>
      <w:r>
        <w:rPr>
          <w:noProof/>
          <w:lang w:eastAsia="en-GB"/>
        </w:rPr>
        <w:sym w:font="Wingdings" w:char="F0A8"/>
      </w:r>
      <w:r>
        <w:rPr>
          <w:noProof/>
          <w:lang w:eastAsia="en-GB"/>
        </w:rPr>
        <w:t xml:space="preserve"> third countries or the bodies they have designated;</w:t>
      </w:r>
    </w:p>
    <w:p>
      <w:pPr>
        <w:pStyle w:val="Tiret1"/>
        <w:rPr>
          <w:noProof/>
          <w:lang w:eastAsia="en-GB"/>
        </w:rPr>
      </w:pPr>
      <w:r>
        <w:rPr>
          <w:noProof/>
          <w:lang w:eastAsia="en-GB"/>
        </w:rPr>
        <w:sym w:font="Wingdings" w:char="F0A8"/>
      </w:r>
      <w:r>
        <w:rPr>
          <w:noProof/>
          <w:lang w:eastAsia="en-GB"/>
        </w:rPr>
        <w:t xml:space="preserve"> international organisations and their agencies (to be specified);</w:t>
      </w:r>
    </w:p>
    <w:p>
      <w:pPr>
        <w:pStyle w:val="Tiret1"/>
        <w:rPr>
          <w:noProof/>
          <w:lang w:eastAsia="en-GB"/>
        </w:rPr>
      </w:pPr>
      <w:r>
        <w:rPr>
          <w:noProof/>
          <w:lang w:eastAsia="en-GB"/>
        </w:rPr>
        <w:sym w:font="Wingdings" w:char="F0A8"/>
      </w:r>
      <w:r>
        <w:rPr>
          <w:noProof/>
          <w:lang w:eastAsia="en-GB"/>
        </w:rPr>
        <w:t xml:space="preserve"> the EIB and the European Investment Fund;</w:t>
      </w:r>
    </w:p>
    <w:p>
      <w:pPr>
        <w:pStyle w:val="Tiret1"/>
        <w:rPr>
          <w:noProof/>
          <w:lang w:eastAsia="en-GB"/>
        </w:rPr>
      </w:pPr>
      <w:r>
        <w:rPr>
          <w:noProof/>
          <w:lang w:eastAsia="en-GB"/>
        </w:rPr>
        <w:sym w:font="Wingdings" w:char="F0A8"/>
      </w:r>
      <w:r>
        <w:rPr>
          <w:noProof/>
          <w:lang w:eastAsia="en-GB"/>
        </w:rPr>
        <w:t xml:space="preserve"> bodies referred to in Articles 70 and 71 of the Financial Regulation;</w:t>
      </w:r>
    </w:p>
    <w:p>
      <w:pPr>
        <w:pStyle w:val="Tiret1"/>
        <w:rPr>
          <w:noProof/>
          <w:lang w:eastAsia="en-GB"/>
        </w:rPr>
      </w:pPr>
      <w:r>
        <w:rPr>
          <w:noProof/>
          <w:lang w:eastAsia="en-GB"/>
        </w:rPr>
        <w:sym w:font="Wingdings" w:char="F0A8"/>
      </w:r>
      <w:r>
        <w:rPr>
          <w:noProof/>
          <w:lang w:eastAsia="en-GB"/>
        </w:rPr>
        <w:t xml:space="preserve"> public law bodies;</w:t>
      </w:r>
    </w:p>
    <w:p>
      <w:pPr>
        <w:pStyle w:val="Tiret1"/>
        <w:rPr>
          <w:noProof/>
          <w:lang w:eastAsia="en-GB"/>
        </w:rPr>
      </w:pPr>
      <w:r>
        <w:rPr>
          <w:noProof/>
          <w:lang w:eastAsia="en-GB"/>
        </w:rPr>
        <w:sym w:font="Wingdings" w:char="F0A8"/>
      </w:r>
      <w:r>
        <w:rPr>
          <w:noProof/>
          <w:lang w:eastAsia="en-GB"/>
        </w:rPr>
        <w:t xml:space="preserve"> bodies governed by private law with a public service mission to the extent that they provide adequate financial guarantees;</w:t>
      </w:r>
    </w:p>
    <w:p>
      <w:pPr>
        <w:pStyle w:val="Tiret1"/>
        <w:rPr>
          <w:noProof/>
          <w:lang w:eastAsia="en-GB"/>
        </w:rPr>
      </w:pPr>
      <w:r>
        <w:rPr>
          <w:noProof/>
          <w:lang w:eastAsia="en-GB"/>
        </w:rPr>
        <w:sym w:font="Wingdings" w:char="F0A8"/>
      </w:r>
      <w:r>
        <w:rPr>
          <w:noProof/>
          <w:lang w:eastAsia="en-GB"/>
        </w:rPr>
        <w:t xml:space="preserve"> bodies governed by the private law of a Member State that are entrusted with the implementation of a public-private partnership and that provide adequate financial guarantees;</w:t>
      </w:r>
    </w:p>
    <w:p>
      <w:pPr>
        <w:pStyle w:val="Tiret1"/>
        <w:rPr>
          <w:noProof/>
          <w:lang w:eastAsia="en-GB"/>
        </w:rPr>
      </w:pPr>
      <w:r>
        <w:rPr>
          <w:noProof/>
          <w:lang w:eastAsia="en-GB"/>
        </w:rPr>
        <w:sym w:font="Wingdings" w:char="F0A8"/>
      </w:r>
      <w:r>
        <w:rPr>
          <w:noProof/>
          <w:lang w:eastAsia="en-GB"/>
        </w:rPr>
        <w:t xml:space="preserve"> persons entrusted with the implementation of specific actions in the CFSP pursuant to Title V of the TEU, and identified in the relevant basic act.</w:t>
      </w:r>
    </w:p>
    <w:p>
      <w:pPr>
        <w:pStyle w:val="Tiret1"/>
        <w:rPr>
          <w:i/>
          <w:noProof/>
          <w:sz w:val="18"/>
          <w:u w:val="single"/>
          <w:lang w:eastAsia="en-GB"/>
        </w:rPr>
      </w:pPr>
      <w:r>
        <w:rPr>
          <w:i/>
          <w:noProof/>
          <w:sz w:val="18"/>
          <w:lang w:eastAsia="en-GB"/>
        </w:rPr>
        <w:t>If more than one management mode is indicated, please provide details in the ‘Comments’ section.</w:t>
      </w:r>
    </w:p>
    <w:p>
      <w:pPr>
        <w:rPr>
          <w:rFonts w:eastAsia="Calibri"/>
          <w:noProof/>
        </w:rPr>
      </w:pPr>
      <w:r>
        <w:rPr>
          <w:rFonts w:eastAsia="Calibri"/>
          <w:noProof/>
        </w:rPr>
        <w:t xml:space="preserve">Comments </w:t>
      </w:r>
    </w:p>
    <w:p>
      <w:pPr>
        <w:pBdr>
          <w:top w:val="single" w:sz="4" w:space="1" w:color="auto"/>
          <w:left w:val="single" w:sz="4" w:space="4" w:color="auto"/>
          <w:bottom w:val="single" w:sz="4" w:space="1" w:color="auto"/>
          <w:right w:val="single" w:sz="4" w:space="4" w:color="auto"/>
        </w:pBdr>
        <w:rPr>
          <w:rFonts w:eastAsia="Calibri"/>
          <w:noProof/>
        </w:rPr>
        <w:sectPr>
          <w:pgSz w:w="11907" w:h="16840" w:code="9"/>
          <w:pgMar w:top="1134" w:right="1418" w:bottom="1134" w:left="1418" w:header="709" w:footer="709" w:gutter="0"/>
          <w:cols w:space="708"/>
          <w:docGrid w:linePitch="360"/>
        </w:sectPr>
      </w:pPr>
      <w:r>
        <w:rPr>
          <w:rFonts w:eastAsia="Calibri"/>
          <w:noProof/>
        </w:rPr>
        <w:t>N/A</w:t>
      </w:r>
    </w:p>
    <w:p>
      <w:pPr>
        <w:keepNext/>
        <w:tabs>
          <w:tab w:val="left" w:pos="850"/>
        </w:tabs>
        <w:spacing w:before="360"/>
        <w:ind w:left="850" w:hanging="850"/>
        <w:outlineLvl w:val="0"/>
        <w:rPr>
          <w:rFonts w:eastAsia="Calibri"/>
          <w:b/>
          <w:bCs/>
          <w:smallCaps/>
          <w:noProof/>
          <w:szCs w:val="24"/>
        </w:rPr>
      </w:pPr>
      <w:bookmarkStart w:id="24" w:name="_Toc514938041"/>
      <w:bookmarkStart w:id="25" w:name="_Toc520485042"/>
      <w:r>
        <w:rPr>
          <w:rFonts w:eastAsia="Calibri"/>
          <w:b/>
          <w:smallCaps/>
          <w:noProof/>
        </w:rPr>
        <w:t>2.</w:t>
      </w:r>
      <w:r>
        <w:rPr>
          <w:rFonts w:eastAsia="Calibri"/>
          <w:b/>
          <w:smallCaps/>
          <w:noProof/>
        </w:rPr>
        <w:tab/>
        <w:t>MANAGEMENT MEASURES</w:t>
      </w:r>
      <w:bookmarkEnd w:id="24"/>
      <w:bookmarkEnd w:id="25"/>
      <w:r>
        <w:rPr>
          <w:rFonts w:eastAsia="Calibri"/>
          <w:b/>
          <w:smallCaps/>
          <w:noProof/>
        </w:rPr>
        <w:t xml:space="preserve"> </w:t>
      </w:r>
    </w:p>
    <w:p>
      <w:pPr>
        <w:keepNext/>
        <w:tabs>
          <w:tab w:val="left" w:pos="850"/>
        </w:tabs>
        <w:ind w:left="850" w:hanging="850"/>
        <w:outlineLvl w:val="1"/>
        <w:rPr>
          <w:rFonts w:eastAsia="Calibri"/>
          <w:b/>
          <w:noProof/>
        </w:rPr>
      </w:pPr>
      <w:bookmarkStart w:id="26" w:name="_Toc514938042"/>
      <w:bookmarkStart w:id="27" w:name="_Toc520485043"/>
      <w:r>
        <w:rPr>
          <w:rFonts w:eastAsia="Calibri"/>
          <w:b/>
          <w:noProof/>
        </w:rPr>
        <w:t>2.1.</w:t>
      </w:r>
      <w:r>
        <w:rPr>
          <w:rFonts w:eastAsia="Calibri"/>
          <w:b/>
          <w:noProof/>
        </w:rPr>
        <w:tab/>
        <w:t>Monitoring and reporting rules</w:t>
      </w:r>
      <w:bookmarkEnd w:id="26"/>
      <w:bookmarkEnd w:id="27"/>
      <w:r>
        <w:rPr>
          <w:rFonts w:eastAsia="Calibri"/>
          <w:b/>
          <w:noProof/>
        </w:rPr>
        <w:t xml:space="preserve"> </w:t>
      </w:r>
    </w:p>
    <w:p>
      <w:pPr>
        <w:ind w:left="850"/>
        <w:rPr>
          <w:rFonts w:eastAsia="Calibri"/>
          <w:i/>
          <w:noProof/>
          <w:sz w:val="20"/>
        </w:rPr>
      </w:pPr>
      <w:r>
        <w:rPr>
          <w:rFonts w:eastAsia="Calibri"/>
          <w:i/>
          <w:noProof/>
          <w:sz w:val="20"/>
        </w:rPr>
        <w:t>Specify frequency and conditions.</w:t>
      </w:r>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The same as laid down in Council Regulation (EC) No 2012/2002 (for natural disasters)</w:t>
      </w:r>
    </w:p>
    <w:p>
      <w:pPr>
        <w:keepNext/>
        <w:tabs>
          <w:tab w:val="left" w:pos="850"/>
        </w:tabs>
        <w:ind w:left="850" w:hanging="850"/>
        <w:outlineLvl w:val="1"/>
        <w:rPr>
          <w:rFonts w:eastAsia="Calibri"/>
          <w:b/>
          <w:bCs/>
          <w:noProof/>
          <w:szCs w:val="24"/>
        </w:rPr>
      </w:pPr>
      <w:bookmarkStart w:id="28" w:name="_Toc514938045"/>
      <w:bookmarkStart w:id="29" w:name="_Toc520485044"/>
      <w:r>
        <w:rPr>
          <w:rFonts w:eastAsia="Calibri"/>
          <w:b/>
          <w:noProof/>
        </w:rPr>
        <w:t>2.2.</w:t>
      </w:r>
      <w:r>
        <w:rPr>
          <w:rFonts w:eastAsia="Calibri"/>
          <w:b/>
          <w:noProof/>
        </w:rPr>
        <w:tab/>
        <w:t>Management and control system(s)</w:t>
      </w:r>
      <w:bookmarkEnd w:id="28"/>
      <w:bookmarkEnd w:id="29"/>
      <w:r>
        <w:rPr>
          <w:rFonts w:eastAsia="Calibri"/>
          <w:b/>
          <w:noProof/>
        </w:rPr>
        <w:t xml:space="preserve"> </w:t>
      </w:r>
    </w:p>
    <w:p>
      <w:pPr>
        <w:keepNext/>
        <w:tabs>
          <w:tab w:val="left" w:pos="850"/>
        </w:tabs>
        <w:ind w:left="850" w:hanging="850"/>
        <w:outlineLvl w:val="2"/>
        <w:rPr>
          <w:rFonts w:eastAsia="Calibri"/>
          <w:i/>
          <w:noProof/>
        </w:rPr>
      </w:pPr>
      <w:bookmarkStart w:id="30" w:name="_Toc514938046"/>
      <w:bookmarkStart w:id="31" w:name="_Toc520485045"/>
      <w:r>
        <w:rPr>
          <w:rFonts w:eastAsia="Calibri"/>
          <w:i/>
          <w:noProof/>
        </w:rPr>
        <w:t>2.2.1.</w:t>
      </w:r>
      <w:r>
        <w:rPr>
          <w:rFonts w:eastAsia="Calibri"/>
          <w:i/>
          <w:noProof/>
        </w:rPr>
        <w:tab/>
        <w:t>Justification of the management mode(s), the funding implementation mechanism(s), the payment modalities and the control strategy proposed</w:t>
      </w:r>
      <w:bookmarkEnd w:id="30"/>
      <w:bookmarkEnd w:id="31"/>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The same as laid down in Council Regulation (EC) No 2012/2002</w:t>
      </w:r>
    </w:p>
    <w:p>
      <w:pPr>
        <w:keepNext/>
        <w:tabs>
          <w:tab w:val="left" w:pos="850"/>
        </w:tabs>
        <w:ind w:left="850" w:hanging="850"/>
        <w:outlineLvl w:val="2"/>
        <w:rPr>
          <w:rFonts w:eastAsia="Calibri"/>
          <w:bCs/>
          <w:i/>
          <w:noProof/>
          <w:szCs w:val="24"/>
        </w:rPr>
      </w:pPr>
      <w:bookmarkStart w:id="32" w:name="_Toc514938047"/>
      <w:bookmarkStart w:id="33" w:name="_Toc520485046"/>
      <w:r>
        <w:rPr>
          <w:rFonts w:eastAsia="Calibri"/>
          <w:i/>
          <w:noProof/>
        </w:rPr>
        <w:t>2.2.2.</w:t>
      </w:r>
      <w:r>
        <w:rPr>
          <w:rFonts w:eastAsia="Calibri"/>
          <w:i/>
          <w:noProof/>
        </w:rPr>
        <w:tab/>
        <w:t>Information concerning the risks identified and the internal control system(s) set up to mitigate them</w:t>
      </w:r>
      <w:bookmarkEnd w:id="32"/>
      <w:bookmarkEnd w:id="33"/>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The same as laid down in Council Regulation (EC) No 2012/2002</w:t>
      </w:r>
    </w:p>
    <w:p>
      <w:pPr>
        <w:keepNext/>
        <w:tabs>
          <w:tab w:val="left" w:pos="850"/>
        </w:tabs>
        <w:ind w:left="850" w:hanging="850"/>
        <w:outlineLvl w:val="2"/>
        <w:rPr>
          <w:rFonts w:eastAsia="Calibri"/>
          <w:i/>
          <w:noProof/>
        </w:rPr>
      </w:pPr>
      <w:bookmarkStart w:id="34" w:name="_Toc514938048"/>
      <w:bookmarkStart w:id="35" w:name="_Toc520485047"/>
      <w:r>
        <w:rPr>
          <w:rFonts w:eastAsia="Calibri"/>
          <w:i/>
          <w:noProof/>
        </w:rPr>
        <w:t>2.2.3.</w:t>
      </w:r>
      <w:r>
        <w:rPr>
          <w:rFonts w:eastAsia="Calibri"/>
          <w:i/>
          <w:noProof/>
        </w:rPr>
        <w:tab/>
        <w:t>Estimation and justification of the cost-effectiveness of the controls (ratio of "control costs ÷ value of the related funds managed"), and assessment of the expected levels of risk of error (at payment &amp; at closure)</w:t>
      </w:r>
      <w:bookmarkEnd w:id="34"/>
      <w:bookmarkEnd w:id="35"/>
      <w:r>
        <w:rPr>
          <w:rFonts w:eastAsia="Calibri"/>
          <w:i/>
          <w:noProof/>
        </w:rPr>
        <w:t xml:space="preserve"> </w:t>
      </w:r>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The same as laid down in Council Regulation (EC) No 2012/2002</w:t>
      </w:r>
    </w:p>
    <w:p>
      <w:pPr>
        <w:keepNext/>
        <w:tabs>
          <w:tab w:val="left" w:pos="850"/>
        </w:tabs>
        <w:ind w:left="850" w:hanging="850"/>
        <w:outlineLvl w:val="1"/>
        <w:rPr>
          <w:rFonts w:eastAsia="Calibri"/>
          <w:b/>
          <w:bCs/>
          <w:noProof/>
          <w:szCs w:val="24"/>
        </w:rPr>
      </w:pPr>
      <w:bookmarkStart w:id="36" w:name="_Toc514938049"/>
      <w:bookmarkStart w:id="37" w:name="_Toc520485048"/>
      <w:r>
        <w:rPr>
          <w:rFonts w:eastAsia="Calibri"/>
          <w:b/>
          <w:noProof/>
        </w:rPr>
        <w:t>2.3.</w:t>
      </w:r>
      <w:r>
        <w:rPr>
          <w:rFonts w:eastAsia="Calibri"/>
          <w:b/>
          <w:noProof/>
        </w:rPr>
        <w:tab/>
        <w:t>Measures to prevent fraud and irregularities</w:t>
      </w:r>
      <w:bookmarkEnd w:id="36"/>
      <w:bookmarkEnd w:id="37"/>
      <w:r>
        <w:rPr>
          <w:rFonts w:eastAsia="Calibri"/>
          <w:b/>
          <w:noProof/>
        </w:rPr>
        <w:t xml:space="preserve"> </w:t>
      </w:r>
    </w:p>
    <w:p>
      <w:pPr>
        <w:ind w:left="850"/>
        <w:rPr>
          <w:rFonts w:eastAsia="Calibri"/>
          <w:i/>
          <w:noProof/>
          <w:sz w:val="20"/>
        </w:rPr>
      </w:pPr>
      <w:r>
        <w:rPr>
          <w:rFonts w:eastAsia="Calibri"/>
          <w:i/>
          <w:noProof/>
          <w:sz w:val="20"/>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jc w:val="left"/>
        <w:rPr>
          <w:rFonts w:eastAsia="Calibri"/>
          <w:noProof/>
        </w:rPr>
        <w:sectPr>
          <w:pgSz w:w="11907" w:h="16840" w:code="9"/>
          <w:pgMar w:top="1134" w:right="1418" w:bottom="1134" w:left="1418" w:header="709" w:footer="709" w:gutter="0"/>
          <w:cols w:space="708"/>
          <w:docGrid w:linePitch="360"/>
        </w:sectPr>
      </w:pPr>
      <w:r>
        <w:rPr>
          <w:rFonts w:eastAsia="Calibri"/>
          <w:noProof/>
        </w:rPr>
        <w:t>The same as laid down in Council Regulation (EC) No 2012/2002</w:t>
      </w:r>
    </w:p>
    <w:p>
      <w:pPr>
        <w:keepNext/>
        <w:tabs>
          <w:tab w:val="left" w:pos="850"/>
        </w:tabs>
        <w:spacing w:before="360"/>
        <w:ind w:left="850" w:hanging="850"/>
        <w:outlineLvl w:val="0"/>
        <w:rPr>
          <w:rFonts w:eastAsia="Calibri"/>
          <w:b/>
          <w:bCs/>
          <w:smallCaps/>
          <w:noProof/>
          <w:szCs w:val="24"/>
        </w:rPr>
      </w:pPr>
      <w:bookmarkStart w:id="38" w:name="_Toc514938050"/>
      <w:bookmarkStart w:id="39" w:name="_Toc520485049"/>
      <w:r>
        <w:rPr>
          <w:rFonts w:eastAsia="Calibri"/>
          <w:b/>
          <w:smallCaps/>
          <w:noProof/>
        </w:rPr>
        <w:t>3.</w:t>
      </w:r>
      <w:r>
        <w:rPr>
          <w:rFonts w:eastAsia="Calibri"/>
          <w:b/>
          <w:smallCaps/>
          <w:noProof/>
        </w:rPr>
        <w:tab/>
        <w:t>ESTIMATED FINANCIAL IMPACT OF THE PROPOSAL/INITIATIVE</w:t>
      </w:r>
      <w:bookmarkEnd w:id="38"/>
      <w:bookmarkEnd w:id="39"/>
      <w:r>
        <w:rPr>
          <w:rFonts w:eastAsia="Calibri"/>
          <w:b/>
          <w:smallCaps/>
          <w:noProof/>
        </w:rPr>
        <w:t xml:space="preserve"> </w:t>
      </w:r>
    </w:p>
    <w:p>
      <w:pPr>
        <w:keepNext/>
        <w:tabs>
          <w:tab w:val="left" w:pos="850"/>
        </w:tabs>
        <w:ind w:left="850" w:hanging="850"/>
        <w:outlineLvl w:val="1"/>
        <w:rPr>
          <w:rFonts w:eastAsia="Calibri"/>
          <w:b/>
          <w:noProof/>
        </w:rPr>
      </w:pPr>
      <w:bookmarkStart w:id="40" w:name="_Toc514938051"/>
      <w:bookmarkStart w:id="41" w:name="_Toc520485050"/>
      <w:r>
        <w:rPr>
          <w:rFonts w:eastAsia="Calibri"/>
          <w:b/>
          <w:noProof/>
        </w:rPr>
        <w:t>3.1.</w:t>
      </w:r>
      <w:r>
        <w:rPr>
          <w:rFonts w:eastAsia="Calibri"/>
          <w:b/>
          <w:noProof/>
        </w:rPr>
        <w:tab/>
        <w:t>Heading(s) of the multiannual financial framework and expenditure budget line(s) affected</w:t>
      </w:r>
      <w:bookmarkEnd w:id="40"/>
      <w:bookmarkEnd w:id="41"/>
      <w:r>
        <w:rPr>
          <w:rFonts w:eastAsia="Calibri"/>
          <w:b/>
          <w:noProof/>
        </w:rPr>
        <w:t xml:space="preserve"> </w:t>
      </w:r>
    </w:p>
    <w:p>
      <w:pPr>
        <w:pStyle w:val="Text1"/>
        <w:rPr>
          <w:noProof/>
          <w:lang w:eastAsia="en-GB"/>
        </w:rPr>
      </w:pPr>
      <w:r>
        <w:rPr>
          <w:noProof/>
          <w:lang w:eastAsia="en-GB"/>
        </w:rPr>
        <w:t xml:space="preserve">- Existing budget lines </w:t>
      </w:r>
    </w:p>
    <w:p>
      <w:pPr>
        <w:ind w:left="850"/>
        <w:rPr>
          <w:rFonts w:eastAsia="Calibri"/>
          <w:i/>
          <w:noProof/>
        </w:rPr>
      </w:pPr>
      <w:r>
        <w:rPr>
          <w:rFonts w:eastAsia="Calibri"/>
          <w:i/>
          <w:noProof/>
          <w:u w:val="single"/>
        </w:rPr>
        <w:t>In order</w:t>
      </w:r>
      <w:r>
        <w:rPr>
          <w:rFonts w:eastAsia="Calibri"/>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687"/>
        <w:gridCol w:w="1080"/>
        <w:gridCol w:w="956"/>
        <w:gridCol w:w="1080"/>
        <w:gridCol w:w="956"/>
        <w:gridCol w:w="1448"/>
      </w:tblGrid>
      <w:tr>
        <w:tc>
          <w:tcPr>
            <w:tcW w:w="1353" w:type="dxa"/>
            <w:vMerge w:val="restart"/>
            <w:vAlign w:val="center"/>
          </w:tcPr>
          <w:p>
            <w:pPr>
              <w:spacing w:before="60" w:after="60"/>
              <w:jc w:val="center"/>
              <w:rPr>
                <w:rFonts w:eastAsia="Calibri"/>
                <w:noProof/>
              </w:rPr>
            </w:pPr>
            <w:r>
              <w:rPr>
                <w:rFonts w:eastAsia="Calibri"/>
                <w:noProof/>
                <w:sz w:val="18"/>
              </w:rPr>
              <w:t>Heading of multiannual financial framework</w:t>
            </w:r>
          </w:p>
        </w:tc>
        <w:tc>
          <w:tcPr>
            <w:tcW w:w="3687" w:type="dxa"/>
            <w:vAlign w:val="center"/>
          </w:tcPr>
          <w:p>
            <w:pPr>
              <w:spacing w:before="60" w:after="60"/>
              <w:jc w:val="center"/>
              <w:rPr>
                <w:rFonts w:eastAsia="Calibri"/>
                <w:noProof/>
              </w:rPr>
            </w:pPr>
            <w:r>
              <w:rPr>
                <w:rFonts w:eastAsia="Calibri"/>
                <w:noProof/>
                <w:sz w:val="20"/>
              </w:rPr>
              <w:t>Budget line</w:t>
            </w:r>
          </w:p>
        </w:tc>
        <w:tc>
          <w:tcPr>
            <w:tcW w:w="1080" w:type="dxa"/>
            <w:vAlign w:val="center"/>
          </w:tcPr>
          <w:p>
            <w:pPr>
              <w:spacing w:before="60" w:after="60"/>
              <w:jc w:val="center"/>
              <w:rPr>
                <w:rFonts w:eastAsia="Calibri"/>
                <w:noProof/>
              </w:rPr>
            </w:pPr>
            <w:r>
              <w:rPr>
                <w:rFonts w:eastAsia="Calibri"/>
                <w:noProof/>
                <w:sz w:val="18"/>
              </w:rPr>
              <w:t xml:space="preserve">Type of </w:t>
            </w:r>
            <w:r>
              <w:rPr>
                <w:rFonts w:eastAsia="Calibri"/>
                <w:noProof/>
                <w:sz w:val="22"/>
              </w:rPr>
              <w:br/>
            </w:r>
            <w:r>
              <w:rPr>
                <w:rFonts w:eastAsia="Calibri"/>
                <w:noProof/>
                <w:sz w:val="18"/>
              </w:rPr>
              <w:t>expenditure</w:t>
            </w:r>
          </w:p>
        </w:tc>
        <w:tc>
          <w:tcPr>
            <w:tcW w:w="4440" w:type="dxa"/>
            <w:gridSpan w:val="4"/>
            <w:vAlign w:val="center"/>
          </w:tcPr>
          <w:p>
            <w:pPr>
              <w:spacing w:before="60" w:after="60"/>
              <w:jc w:val="center"/>
              <w:rPr>
                <w:rFonts w:eastAsia="Calibri"/>
                <w:noProof/>
              </w:rPr>
            </w:pPr>
            <w:r>
              <w:rPr>
                <w:rFonts w:eastAsia="Calibri"/>
                <w:noProof/>
                <w:sz w:val="20"/>
              </w:rPr>
              <w:t xml:space="preserve">Contribution </w:t>
            </w:r>
          </w:p>
        </w:tc>
      </w:tr>
      <w:tr>
        <w:tc>
          <w:tcPr>
            <w:tcW w:w="1353" w:type="dxa"/>
            <w:vMerge/>
            <w:vAlign w:val="center"/>
          </w:tcPr>
          <w:p>
            <w:pPr>
              <w:jc w:val="center"/>
              <w:rPr>
                <w:rFonts w:eastAsia="Calibri"/>
                <w:noProof/>
              </w:rPr>
            </w:pPr>
          </w:p>
        </w:tc>
        <w:tc>
          <w:tcPr>
            <w:tcW w:w="3687" w:type="dxa"/>
            <w:vAlign w:val="center"/>
          </w:tcPr>
          <w:p>
            <w:pPr>
              <w:rPr>
                <w:rFonts w:eastAsia="Calibri"/>
                <w:noProof/>
              </w:rPr>
            </w:pPr>
            <w:r>
              <w:rPr>
                <w:rFonts w:eastAsia="Calibri"/>
                <w:noProof/>
                <w:sz w:val="20"/>
              </w:rPr>
              <w:t xml:space="preserve">Number </w:t>
            </w:r>
            <w:r>
              <w:rPr>
                <w:rFonts w:eastAsia="Calibri"/>
                <w:noProof/>
                <w:sz w:val="22"/>
              </w:rPr>
              <w:br/>
            </w:r>
          </w:p>
        </w:tc>
        <w:tc>
          <w:tcPr>
            <w:tcW w:w="1080" w:type="dxa"/>
            <w:vAlign w:val="center"/>
          </w:tcPr>
          <w:p>
            <w:pPr>
              <w:jc w:val="center"/>
              <w:rPr>
                <w:rFonts w:eastAsia="Calibri"/>
                <w:noProof/>
              </w:rPr>
            </w:pPr>
            <w:r>
              <w:rPr>
                <w:rFonts w:eastAsia="Calibri"/>
                <w:noProof/>
                <w:sz w:val="18"/>
              </w:rPr>
              <w:t>Diff./Non-diff.</w:t>
            </w:r>
            <w:r>
              <w:rPr>
                <w:rStyle w:val="FootnoteReference"/>
                <w:rFonts w:eastAsia="Calibri"/>
                <w:noProof/>
                <w:sz w:val="18"/>
              </w:rPr>
              <w:footnoteReference w:id="6"/>
            </w:r>
            <w:r>
              <w:rPr>
                <w:rStyle w:val="CommentReference"/>
                <w:noProof/>
              </w:rPr>
              <w:t xml:space="preserve"> </w:t>
            </w:r>
          </w:p>
        </w:tc>
        <w:tc>
          <w:tcPr>
            <w:tcW w:w="956" w:type="dxa"/>
            <w:vAlign w:val="center"/>
          </w:tcPr>
          <w:p>
            <w:pPr>
              <w:jc w:val="center"/>
              <w:rPr>
                <w:rFonts w:eastAsia="Calibri"/>
                <w:noProof/>
              </w:rPr>
            </w:pPr>
            <w:r>
              <w:rPr>
                <w:rFonts w:eastAsia="Calibri"/>
                <w:noProof/>
                <w:sz w:val="18"/>
              </w:rPr>
              <w:t>from EFTA countries</w:t>
            </w:r>
            <w:r>
              <w:rPr>
                <w:rStyle w:val="FootnoteReference"/>
                <w:rFonts w:eastAsia="Calibri"/>
                <w:noProof/>
                <w:sz w:val="18"/>
              </w:rPr>
              <w:footnoteReference w:id="7"/>
            </w:r>
          </w:p>
          <w:p>
            <w:pPr>
              <w:spacing w:before="0" w:after="0"/>
              <w:jc w:val="center"/>
              <w:rPr>
                <w:rFonts w:eastAsia="Calibri"/>
                <w:b/>
                <w:noProof/>
                <w:sz w:val="18"/>
              </w:rPr>
            </w:pPr>
          </w:p>
        </w:tc>
        <w:tc>
          <w:tcPr>
            <w:tcW w:w="1080" w:type="dxa"/>
            <w:vAlign w:val="center"/>
          </w:tcPr>
          <w:p>
            <w:pPr>
              <w:jc w:val="center"/>
              <w:rPr>
                <w:rFonts w:eastAsia="Calibri"/>
                <w:noProof/>
              </w:rPr>
            </w:pPr>
            <w:r>
              <w:rPr>
                <w:rFonts w:eastAsia="Calibri"/>
                <w:noProof/>
                <w:sz w:val="18"/>
              </w:rPr>
              <w:t>from candidate countries</w:t>
            </w:r>
            <w:r>
              <w:rPr>
                <w:rStyle w:val="FootnoteReference"/>
                <w:rFonts w:eastAsia="Calibri"/>
                <w:noProof/>
                <w:sz w:val="18"/>
              </w:rPr>
              <w:footnoteReference w:id="8"/>
            </w:r>
          </w:p>
          <w:p>
            <w:pPr>
              <w:spacing w:before="0" w:after="0"/>
              <w:jc w:val="center"/>
              <w:rPr>
                <w:rFonts w:eastAsia="Calibri"/>
                <w:noProof/>
                <w:sz w:val="18"/>
              </w:rPr>
            </w:pPr>
          </w:p>
        </w:tc>
        <w:tc>
          <w:tcPr>
            <w:tcW w:w="956" w:type="dxa"/>
            <w:vAlign w:val="center"/>
          </w:tcPr>
          <w:p>
            <w:pPr>
              <w:jc w:val="center"/>
              <w:rPr>
                <w:rFonts w:eastAsia="Calibri"/>
                <w:noProof/>
                <w:sz w:val="18"/>
              </w:rPr>
            </w:pPr>
            <w:r>
              <w:rPr>
                <w:rFonts w:eastAsia="Calibri"/>
                <w:noProof/>
                <w:sz w:val="18"/>
              </w:rPr>
              <w:t>from third countries</w:t>
            </w:r>
          </w:p>
        </w:tc>
        <w:tc>
          <w:tcPr>
            <w:tcW w:w="1448" w:type="dxa"/>
            <w:vAlign w:val="center"/>
          </w:tcPr>
          <w:p>
            <w:pPr>
              <w:jc w:val="center"/>
              <w:rPr>
                <w:rFonts w:eastAsia="Calibri"/>
                <w:noProof/>
              </w:rPr>
            </w:pPr>
            <w:r>
              <w:rPr>
                <w:rFonts w:eastAsia="Calibri"/>
                <w:noProof/>
                <w:sz w:val="16"/>
              </w:rPr>
              <w:t xml:space="preserve">within the meaning of Article 21(2)(b) of the Financial Regulation </w:t>
            </w:r>
          </w:p>
        </w:tc>
      </w:tr>
      <w:tr>
        <w:tc>
          <w:tcPr>
            <w:tcW w:w="1353" w:type="dxa"/>
            <w:shd w:val="clear" w:color="auto" w:fill="FFFF00"/>
            <w:vAlign w:val="center"/>
          </w:tcPr>
          <w:p>
            <w:pPr>
              <w:autoSpaceDE w:val="0"/>
              <w:autoSpaceDN w:val="0"/>
              <w:adjustRightInd w:val="0"/>
              <w:spacing w:before="0" w:after="0"/>
              <w:rPr>
                <w:rFonts w:eastAsia="Calibri"/>
                <w:noProof/>
                <w:color w:val="0000FF"/>
                <w:szCs w:val="24"/>
              </w:rPr>
            </w:pPr>
            <w:r>
              <w:rPr>
                <w:rFonts w:eastAsia="Calibri"/>
                <w:noProof/>
                <w:color w:val="000000"/>
                <w:sz w:val="22"/>
                <w:szCs w:val="24"/>
              </w:rPr>
              <w:t>Heading 9: Special Instruments</w:t>
            </w:r>
          </w:p>
        </w:tc>
        <w:tc>
          <w:tcPr>
            <w:tcW w:w="3687" w:type="dxa"/>
            <w:vAlign w:val="center"/>
          </w:tcPr>
          <w:p>
            <w:pPr>
              <w:spacing w:before="60"/>
              <w:rPr>
                <w:rFonts w:eastAsia="Calibri"/>
                <w:noProof/>
                <w:sz w:val="22"/>
              </w:rPr>
            </w:pPr>
          </w:p>
          <w:p>
            <w:pPr>
              <w:autoSpaceDE w:val="0"/>
              <w:autoSpaceDN w:val="0"/>
              <w:adjustRightInd w:val="0"/>
              <w:spacing w:before="0" w:after="0"/>
              <w:rPr>
                <w:rFonts w:eastAsia="Calibri"/>
                <w:noProof/>
                <w:color w:val="000000"/>
                <w:szCs w:val="24"/>
              </w:rPr>
            </w:pPr>
            <w:r>
              <w:rPr>
                <w:rFonts w:eastAsia="Calibri"/>
                <w:noProof/>
                <w:color w:val="000000"/>
                <w:sz w:val="22"/>
              </w:rPr>
              <w:t xml:space="preserve">13 06 01 </w:t>
            </w:r>
            <w:r>
              <w:rPr>
                <w:rFonts w:eastAsia="Calibri"/>
                <w:noProof/>
                <w:color w:val="000000"/>
                <w:sz w:val="22"/>
                <w:szCs w:val="24"/>
              </w:rPr>
              <w:t xml:space="preserve">- </w:t>
            </w:r>
            <w:r>
              <w:rPr>
                <w:rFonts w:eastAsia="Calibri"/>
                <w:noProof/>
                <w:color w:val="000000"/>
                <w:sz w:val="22"/>
              </w:rPr>
              <w:t xml:space="preserve">Assistance to Member States in the event of a major natural disaster with serious repercussions on living conditions, the natural environment or the economy </w:t>
            </w:r>
          </w:p>
          <w:p>
            <w:pPr>
              <w:spacing w:after="60"/>
              <w:rPr>
                <w:rFonts w:eastAsia="Calibri"/>
                <w:noProof/>
              </w:rPr>
            </w:pPr>
          </w:p>
        </w:tc>
        <w:tc>
          <w:tcPr>
            <w:tcW w:w="1080" w:type="dxa"/>
            <w:vAlign w:val="center"/>
          </w:tcPr>
          <w:p>
            <w:pPr>
              <w:autoSpaceDE w:val="0"/>
              <w:autoSpaceDN w:val="0"/>
              <w:adjustRightInd w:val="0"/>
              <w:spacing w:before="0" w:after="0"/>
              <w:jc w:val="center"/>
              <w:rPr>
                <w:rFonts w:eastAsia="Calibri"/>
                <w:noProof/>
                <w:color w:val="0000FF"/>
                <w:szCs w:val="24"/>
              </w:rPr>
            </w:pPr>
            <w:r>
              <w:rPr>
                <w:rFonts w:eastAsia="Calibri"/>
                <w:noProof/>
                <w:color w:val="000000"/>
                <w:sz w:val="22"/>
              </w:rPr>
              <w:t>Differentiated</w:t>
            </w:r>
          </w:p>
        </w:tc>
        <w:tc>
          <w:tcPr>
            <w:tcW w:w="956" w:type="dxa"/>
            <w:vAlign w:val="center"/>
          </w:tcPr>
          <w:p>
            <w:pPr>
              <w:jc w:val="center"/>
              <w:rPr>
                <w:rFonts w:eastAsia="Calibri"/>
                <w:noProof/>
                <w:sz w:val="20"/>
              </w:rPr>
            </w:pPr>
            <w:r>
              <w:rPr>
                <w:rFonts w:eastAsia="Calibri"/>
                <w:noProof/>
                <w:sz w:val="20"/>
              </w:rPr>
              <w:t>NO</w:t>
            </w:r>
          </w:p>
        </w:tc>
        <w:tc>
          <w:tcPr>
            <w:tcW w:w="1080" w:type="dxa"/>
            <w:vAlign w:val="center"/>
          </w:tcPr>
          <w:p>
            <w:pPr>
              <w:jc w:val="center"/>
              <w:rPr>
                <w:rFonts w:eastAsia="Calibri"/>
                <w:noProof/>
                <w:sz w:val="20"/>
              </w:rPr>
            </w:pPr>
            <w:r>
              <w:rPr>
                <w:rFonts w:eastAsia="Calibri"/>
                <w:noProof/>
                <w:sz w:val="20"/>
              </w:rPr>
              <w:t>NO</w:t>
            </w:r>
          </w:p>
        </w:tc>
        <w:tc>
          <w:tcPr>
            <w:tcW w:w="956" w:type="dxa"/>
            <w:vAlign w:val="center"/>
          </w:tcPr>
          <w:p>
            <w:pPr>
              <w:jc w:val="center"/>
              <w:rPr>
                <w:rFonts w:eastAsia="Calibri"/>
                <w:noProof/>
                <w:sz w:val="20"/>
              </w:rPr>
            </w:pPr>
            <w:r>
              <w:rPr>
                <w:rFonts w:eastAsia="Calibri"/>
                <w:noProof/>
                <w:sz w:val="20"/>
              </w:rPr>
              <w:t>NO</w:t>
            </w:r>
          </w:p>
        </w:tc>
        <w:tc>
          <w:tcPr>
            <w:tcW w:w="1448" w:type="dxa"/>
            <w:vAlign w:val="center"/>
          </w:tcPr>
          <w:p>
            <w:pPr>
              <w:rPr>
                <w:rFonts w:eastAsia="Calibri"/>
                <w:noProof/>
                <w:sz w:val="20"/>
              </w:rPr>
            </w:pPr>
            <w:r>
              <w:rPr>
                <w:rFonts w:eastAsia="Calibri"/>
                <w:noProof/>
                <w:sz w:val="20"/>
              </w:rPr>
              <w:t xml:space="preserve">      NO</w:t>
            </w:r>
          </w:p>
        </w:tc>
      </w:tr>
    </w:tbl>
    <w:p>
      <w:pPr>
        <w:keepNext/>
        <w:tabs>
          <w:tab w:val="left" w:pos="850"/>
        </w:tabs>
        <w:ind w:left="850" w:hanging="850"/>
        <w:outlineLvl w:val="1"/>
        <w:rPr>
          <w:rFonts w:eastAsia="Calibri"/>
          <w:b/>
          <w:bCs/>
          <w:noProof/>
          <w:szCs w:val="24"/>
        </w:rPr>
      </w:pPr>
      <w:bookmarkStart w:id="42" w:name="_Toc514938052"/>
      <w:bookmarkStart w:id="43" w:name="_Toc520485051"/>
      <w:r>
        <w:rPr>
          <w:rFonts w:eastAsia="Calibri"/>
          <w:b/>
          <w:noProof/>
        </w:rPr>
        <w:t>3.2.</w:t>
      </w:r>
      <w:r>
        <w:rPr>
          <w:rFonts w:eastAsia="Calibri"/>
          <w:b/>
          <w:noProof/>
        </w:rPr>
        <w:tab/>
        <w:t>Estimated financial impact of the proposal on appropriations</w:t>
      </w:r>
      <w:bookmarkEnd w:id="42"/>
      <w:bookmarkEnd w:id="43"/>
      <w:r>
        <w:rPr>
          <w:rFonts w:eastAsia="Calibri"/>
          <w:b/>
          <w:noProof/>
        </w:rPr>
        <w:t xml:space="preserve"> </w:t>
      </w:r>
    </w:p>
    <w:p>
      <w:pPr>
        <w:keepNext/>
        <w:tabs>
          <w:tab w:val="left" w:pos="850"/>
        </w:tabs>
        <w:ind w:left="850" w:hanging="850"/>
        <w:outlineLvl w:val="2"/>
        <w:rPr>
          <w:rFonts w:eastAsia="Calibri"/>
          <w:i/>
          <w:noProof/>
        </w:rPr>
      </w:pPr>
      <w:bookmarkStart w:id="44" w:name="_Toc514938053"/>
      <w:bookmarkStart w:id="45" w:name="_Toc520485052"/>
      <w:r>
        <w:rPr>
          <w:rFonts w:eastAsia="Calibri"/>
          <w:i/>
          <w:noProof/>
        </w:rPr>
        <w:t>3.2.1.</w:t>
      </w:r>
      <w:r>
        <w:rPr>
          <w:rFonts w:eastAsia="Calibri"/>
          <w:i/>
          <w:noProof/>
        </w:rPr>
        <w:tab/>
        <w:t>Summary of estimated impact on operational appropriations</w:t>
      </w:r>
      <w:bookmarkEnd w:id="44"/>
      <w:bookmarkEnd w:id="45"/>
      <w:r>
        <w:rPr>
          <w:rFonts w:eastAsia="Calibri"/>
          <w:i/>
          <w:noProof/>
        </w:rPr>
        <w:t xml:space="preserve"> </w:t>
      </w:r>
    </w:p>
    <w:p>
      <w:pPr>
        <w:ind w:left="850"/>
        <w:rPr>
          <w:rFonts w:eastAsia="Calibri"/>
          <w:noProof/>
          <w:lang w:eastAsia="en-GB"/>
        </w:rPr>
      </w:pPr>
      <w:r>
        <w:rPr>
          <w:rFonts w:eastAsia="Calibri"/>
          <w:noProof/>
          <w:lang w:eastAsia="en-GB"/>
        </w:rPr>
        <w:sym w:font="Wingdings" w:char="F0A8"/>
      </w:r>
      <w:r>
        <w:rPr>
          <w:rFonts w:eastAsia="Calibri"/>
          <w:noProof/>
          <w:lang w:eastAsia="en-GB"/>
        </w:rPr>
        <w:tab/>
        <w:t xml:space="preserve">This Regulation has no financial impact.  </w:t>
      </w:r>
    </w:p>
    <w:p>
      <w:pPr>
        <w:ind w:left="850"/>
        <w:rPr>
          <w:rFonts w:eastAsia="Calibri"/>
          <w:noProof/>
        </w:rPr>
      </w:pPr>
      <w:r>
        <w:rPr>
          <w:rFonts w:eastAsia="Calibri"/>
          <w:noProof/>
        </w:rPr>
        <w:t>X</w:t>
      </w:r>
      <w:r>
        <w:rPr>
          <w:rFonts w:eastAsia="Calibri"/>
          <w:noProof/>
        </w:rPr>
        <w:tab/>
        <w:t>The proposal/initiative requires the use of operational appropriations, remaining within the maximum allocations provided for the EUSF in the MFF.</w:t>
      </w:r>
    </w:p>
    <w:p>
      <w:pPr>
        <w:jc w:val="right"/>
        <w:rPr>
          <w:rFonts w:eastAsia="Calibri"/>
          <w:noProof/>
          <w:sz w:val="18"/>
          <w:szCs w:val="18"/>
        </w:rPr>
      </w:pPr>
      <w:r>
        <w:rPr>
          <w:rFonts w:eastAsia="Calibri"/>
          <w:noProof/>
          <w:sz w:val="18"/>
          <w:szCs w:val="18"/>
        </w:rPr>
        <w:t xml:space="preserve">EUR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rFonts w:eastAsia="Calibri"/>
                <w:noProof/>
              </w:rPr>
              <w:br w:type="page"/>
            </w:r>
            <w:r>
              <w:rPr>
                <w:rFonts w:eastAsia="Calibri"/>
                <w:b/>
                <w:noProof/>
                <w:sz w:val="22"/>
              </w:rPr>
              <w:t xml:space="preserve">Heading of multiannual financial </w:t>
            </w:r>
            <w:r>
              <w:rPr>
                <w:rFonts w:eastAsia="Calibri"/>
                <w:noProof/>
                <w:sz w:val="22"/>
              </w:rPr>
              <w:br/>
            </w:r>
            <w:r>
              <w:rPr>
                <w:rFonts w:eastAsia="Calibri"/>
                <w:b/>
                <w:noProof/>
                <w:sz w:val="22"/>
              </w:rPr>
              <w:t xml:space="preserve">framework </w:t>
            </w:r>
          </w:p>
        </w:tc>
        <w:tc>
          <w:tcPr>
            <w:tcW w:w="1080" w:type="dxa"/>
            <w:vAlign w:val="center"/>
          </w:tcPr>
          <w:p>
            <w:pPr>
              <w:spacing w:before="60" w:after="60"/>
              <w:jc w:val="center"/>
              <w:rPr>
                <w:rFonts w:eastAsia="Calibri"/>
                <w:noProof/>
              </w:rPr>
            </w:pPr>
            <w:r>
              <w:rPr>
                <w:rFonts w:eastAsia="Calibri"/>
                <w:noProof/>
                <w:sz w:val="22"/>
              </w:rPr>
              <w:t>9</w:t>
            </w:r>
          </w:p>
        </w:tc>
        <w:tc>
          <w:tcPr>
            <w:tcW w:w="7817" w:type="dxa"/>
            <w:vAlign w:val="center"/>
          </w:tcPr>
          <w:p>
            <w:pPr>
              <w:spacing w:before="60" w:after="60"/>
              <w:rPr>
                <w:rFonts w:eastAsia="Calibri"/>
                <w:noProof/>
              </w:rPr>
            </w:pPr>
            <w:r>
              <w:rPr>
                <w:rFonts w:eastAsia="Calibri"/>
                <w:noProof/>
              </w:rPr>
              <w:t>Special Instruments</w:t>
            </w:r>
          </w:p>
        </w:tc>
      </w:tr>
    </w:tbl>
    <w:p>
      <w:pPr>
        <w:rPr>
          <w:rFonts w:eastAsia="Calibri"/>
          <w:noProof/>
          <w:sz w:val="16"/>
        </w:rPr>
      </w:pPr>
    </w:p>
    <w:tbl>
      <w:tblPr>
        <w:tblW w:w="15952"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116"/>
        <w:gridCol w:w="1010"/>
        <w:gridCol w:w="1134"/>
        <w:gridCol w:w="1418"/>
        <w:gridCol w:w="1559"/>
        <w:gridCol w:w="2409"/>
      </w:tblGrid>
      <w:tr>
        <w:trPr>
          <w:trHeight w:val="1068"/>
        </w:trPr>
        <w:tc>
          <w:tcPr>
            <w:tcW w:w="3960" w:type="dxa"/>
            <w:vAlign w:val="center"/>
          </w:tcPr>
          <w:p>
            <w:pPr>
              <w:rPr>
                <w:rFonts w:eastAsia="Calibri"/>
                <w:noProof/>
              </w:rPr>
            </w:pPr>
          </w:p>
        </w:tc>
        <w:tc>
          <w:tcPr>
            <w:tcW w:w="1560" w:type="dxa"/>
            <w:gridSpan w:val="2"/>
          </w:tcPr>
          <w:p>
            <w:pPr>
              <w:rPr>
                <w:rFonts w:eastAsia="Calibri"/>
                <w:noProof/>
                <w:sz w:val="20"/>
              </w:rPr>
            </w:pPr>
          </w:p>
        </w:tc>
        <w:tc>
          <w:tcPr>
            <w:tcW w:w="534" w:type="dxa"/>
          </w:tcPr>
          <w:p>
            <w:pPr>
              <w:jc w:val="center"/>
              <w:rPr>
                <w:rFonts w:eastAsia="Calibri"/>
                <w:noProof/>
                <w:sz w:val="20"/>
              </w:rPr>
            </w:pPr>
          </w:p>
        </w:tc>
        <w:tc>
          <w:tcPr>
            <w:tcW w:w="1252" w:type="dxa"/>
            <w:vAlign w:val="center"/>
          </w:tcPr>
          <w:p>
            <w:pPr>
              <w:jc w:val="center"/>
              <w:rPr>
                <w:rFonts w:eastAsia="Calibri"/>
                <w:noProof/>
                <w:sz w:val="20"/>
              </w:rPr>
            </w:pPr>
            <w:r>
              <w:rPr>
                <w:rFonts w:eastAsia="Calibri"/>
                <w:noProof/>
                <w:sz w:val="20"/>
              </w:rPr>
              <w:t>2019</w:t>
            </w:r>
          </w:p>
        </w:tc>
        <w:tc>
          <w:tcPr>
            <w:tcW w:w="1116" w:type="dxa"/>
            <w:vAlign w:val="center"/>
          </w:tcPr>
          <w:p>
            <w:pPr>
              <w:jc w:val="center"/>
              <w:rPr>
                <w:rFonts w:eastAsia="Calibri"/>
                <w:noProof/>
                <w:sz w:val="20"/>
              </w:rPr>
            </w:pPr>
            <w:r>
              <w:rPr>
                <w:rFonts w:eastAsia="Calibri"/>
                <w:noProof/>
                <w:sz w:val="20"/>
              </w:rPr>
              <w:t>2020</w:t>
            </w:r>
          </w:p>
        </w:tc>
        <w:tc>
          <w:tcPr>
            <w:tcW w:w="1010" w:type="dxa"/>
            <w:vAlign w:val="center"/>
          </w:tcPr>
          <w:p>
            <w:pPr>
              <w:jc w:val="center"/>
              <w:rPr>
                <w:rFonts w:eastAsia="Calibri"/>
                <w:noProof/>
                <w:sz w:val="20"/>
              </w:rPr>
            </w:pPr>
            <w:r>
              <w:rPr>
                <w:rFonts w:eastAsia="Calibri"/>
                <w:noProof/>
                <w:sz w:val="20"/>
              </w:rPr>
              <w:t>2021</w:t>
            </w:r>
          </w:p>
        </w:tc>
        <w:tc>
          <w:tcPr>
            <w:tcW w:w="1134" w:type="dxa"/>
            <w:vAlign w:val="center"/>
          </w:tcPr>
          <w:p>
            <w:pPr>
              <w:jc w:val="center"/>
              <w:rPr>
                <w:rFonts w:eastAsia="Calibri"/>
                <w:noProof/>
                <w:sz w:val="20"/>
              </w:rPr>
            </w:pPr>
            <w:r>
              <w:rPr>
                <w:rFonts w:eastAsia="Calibri"/>
                <w:noProof/>
                <w:sz w:val="20"/>
              </w:rPr>
              <w:t>2022</w:t>
            </w:r>
          </w:p>
        </w:tc>
        <w:tc>
          <w:tcPr>
            <w:tcW w:w="1418" w:type="dxa"/>
          </w:tcPr>
          <w:p>
            <w:pPr>
              <w:rPr>
                <w:rFonts w:eastAsia="Calibri"/>
                <w:noProof/>
                <w:sz w:val="20"/>
              </w:rPr>
            </w:pPr>
            <w:r>
              <w:rPr>
                <w:rFonts w:eastAsia="Calibri"/>
                <w:noProof/>
                <w:sz w:val="20"/>
              </w:rPr>
              <w:t xml:space="preserve">   </w:t>
            </w:r>
          </w:p>
          <w:p>
            <w:pPr>
              <w:rPr>
                <w:rFonts w:eastAsia="Calibri"/>
                <w:noProof/>
                <w:sz w:val="20"/>
              </w:rPr>
            </w:pPr>
            <w:r>
              <w:rPr>
                <w:rFonts w:eastAsia="Calibri"/>
                <w:noProof/>
                <w:sz w:val="20"/>
              </w:rPr>
              <w:t xml:space="preserve">      2023</w:t>
            </w:r>
          </w:p>
        </w:tc>
        <w:tc>
          <w:tcPr>
            <w:tcW w:w="1559" w:type="dxa"/>
          </w:tcPr>
          <w:p>
            <w:pPr>
              <w:jc w:val="center"/>
              <w:rPr>
                <w:rFonts w:eastAsia="Calibri"/>
                <w:noProof/>
                <w:sz w:val="20"/>
              </w:rPr>
            </w:pPr>
          </w:p>
          <w:p>
            <w:pPr>
              <w:jc w:val="center"/>
              <w:rPr>
                <w:rFonts w:eastAsia="Calibri"/>
                <w:noProof/>
                <w:sz w:val="20"/>
              </w:rPr>
            </w:pPr>
            <w:r>
              <w:rPr>
                <w:rFonts w:eastAsia="Calibri"/>
                <w:noProof/>
                <w:sz w:val="20"/>
              </w:rPr>
              <w:t>Subsequent years</w:t>
            </w:r>
          </w:p>
        </w:tc>
        <w:tc>
          <w:tcPr>
            <w:tcW w:w="2409" w:type="dxa"/>
            <w:vAlign w:val="center"/>
          </w:tcPr>
          <w:p>
            <w:pPr>
              <w:jc w:val="center"/>
              <w:rPr>
                <w:rFonts w:eastAsia="Calibri"/>
                <w:b/>
                <w:noProof/>
                <w:sz w:val="20"/>
              </w:rPr>
            </w:pPr>
            <w:r>
              <w:rPr>
                <w:rFonts w:eastAsia="Calibri"/>
                <w:b/>
                <w:noProof/>
                <w:sz w:val="20"/>
              </w:rPr>
              <w:t>TOTAL</w:t>
            </w:r>
          </w:p>
        </w:tc>
      </w:tr>
      <w:tr>
        <w:trPr>
          <w:trHeight w:val="213"/>
        </w:trPr>
        <w:tc>
          <w:tcPr>
            <w:tcW w:w="6054" w:type="dxa"/>
            <w:gridSpan w:val="4"/>
            <w:vAlign w:val="center"/>
          </w:tcPr>
          <w:p>
            <w:pPr>
              <w:spacing w:before="20" w:after="20"/>
              <w:rPr>
                <w:rFonts w:eastAsia="Calibri"/>
                <w:b/>
                <w:noProof/>
                <w:szCs w:val="24"/>
              </w:rPr>
            </w:pPr>
            <w:r>
              <w:rPr>
                <w:rFonts w:eastAsia="Calibri"/>
                <w:noProof/>
                <w:sz w:val="21"/>
              </w:rPr>
              <w:sym w:font="Wingdings" w:char="F09F"/>
            </w:r>
            <w:r>
              <w:rPr>
                <w:rFonts w:eastAsia="Calibri"/>
                <w:noProof/>
                <w:sz w:val="21"/>
              </w:rPr>
              <w:t xml:space="preserve"> </w:t>
            </w:r>
            <w:r>
              <w:rPr>
                <w:rFonts w:eastAsia="Calibri"/>
                <w:b/>
                <w:noProof/>
                <w:szCs w:val="24"/>
              </w:rPr>
              <w:t>Operational appropiation</w:t>
            </w:r>
          </w:p>
        </w:tc>
        <w:tc>
          <w:tcPr>
            <w:tcW w:w="1252" w:type="dxa"/>
            <w:vAlign w:val="center"/>
          </w:tcPr>
          <w:p>
            <w:pPr>
              <w:rPr>
                <w:rFonts w:eastAsia="Calibri"/>
                <w:noProof/>
                <w:sz w:val="20"/>
              </w:rPr>
            </w:pPr>
          </w:p>
        </w:tc>
        <w:tc>
          <w:tcPr>
            <w:tcW w:w="1116" w:type="dxa"/>
            <w:vAlign w:val="center"/>
          </w:tcPr>
          <w:p>
            <w:pPr>
              <w:rPr>
                <w:rFonts w:eastAsia="Calibri"/>
                <w:noProof/>
                <w:sz w:val="20"/>
              </w:rPr>
            </w:pPr>
          </w:p>
        </w:tc>
        <w:tc>
          <w:tcPr>
            <w:tcW w:w="1010" w:type="dxa"/>
            <w:vAlign w:val="center"/>
          </w:tcPr>
          <w:p>
            <w:pPr>
              <w:rPr>
                <w:rFonts w:eastAsia="Calibri"/>
                <w:noProof/>
                <w:sz w:val="20"/>
              </w:rPr>
            </w:pPr>
          </w:p>
        </w:tc>
        <w:tc>
          <w:tcPr>
            <w:tcW w:w="1134" w:type="dxa"/>
            <w:vAlign w:val="center"/>
          </w:tcPr>
          <w:p>
            <w:pPr>
              <w:rPr>
                <w:rFonts w:eastAsia="Calibri"/>
                <w:noProof/>
                <w:sz w:val="20"/>
              </w:rPr>
            </w:pPr>
          </w:p>
        </w:tc>
        <w:tc>
          <w:tcPr>
            <w:tcW w:w="1418" w:type="dxa"/>
          </w:tcPr>
          <w:p>
            <w:pPr>
              <w:rPr>
                <w:rFonts w:eastAsia="Calibri"/>
                <w:b/>
                <w:noProof/>
                <w:sz w:val="20"/>
              </w:rPr>
            </w:pPr>
          </w:p>
        </w:tc>
        <w:tc>
          <w:tcPr>
            <w:tcW w:w="1559" w:type="dxa"/>
          </w:tcPr>
          <w:p>
            <w:pPr>
              <w:rPr>
                <w:rFonts w:eastAsia="Calibri"/>
                <w:b/>
                <w:noProof/>
                <w:sz w:val="20"/>
              </w:rPr>
            </w:pPr>
          </w:p>
        </w:tc>
        <w:tc>
          <w:tcPr>
            <w:tcW w:w="2409" w:type="dxa"/>
            <w:vAlign w:val="center"/>
          </w:tcPr>
          <w:p>
            <w:pPr>
              <w:rPr>
                <w:rFonts w:eastAsia="Calibri"/>
                <w:b/>
                <w:noProof/>
                <w:sz w:val="20"/>
              </w:rPr>
            </w:pPr>
          </w:p>
        </w:tc>
      </w:tr>
      <w:tr>
        <w:trPr>
          <w:trHeight w:val="509"/>
        </w:trPr>
        <w:tc>
          <w:tcPr>
            <w:tcW w:w="3960" w:type="dxa"/>
            <w:vMerge w:val="restart"/>
            <w:vAlign w:val="center"/>
          </w:tcPr>
          <w:p>
            <w:pPr>
              <w:rPr>
                <w:rFonts w:eastAsia="Calibri"/>
                <w:noProof/>
                <w:sz w:val="20"/>
              </w:rPr>
            </w:pPr>
            <w:r>
              <w:rPr>
                <w:rFonts w:eastAsia="Calibri"/>
                <w:noProof/>
                <w:sz w:val="20"/>
              </w:rPr>
              <w:t>13 06 01 - Assistance to Member States in the event of a major natural disaster with serious repercussions on living conditions, the natural environment or the economy</w:t>
            </w:r>
          </w:p>
        </w:tc>
        <w:tc>
          <w:tcPr>
            <w:tcW w:w="1440" w:type="dxa"/>
            <w:vAlign w:val="center"/>
          </w:tcPr>
          <w:p>
            <w:pPr>
              <w:spacing w:before="20" w:after="20"/>
              <w:rPr>
                <w:rFonts w:eastAsia="Calibri"/>
                <w:noProof/>
                <w:sz w:val="18"/>
              </w:rPr>
            </w:pPr>
            <w:r>
              <w:rPr>
                <w:rFonts w:eastAsia="Calibri"/>
                <w:noProof/>
                <w:sz w:val="18"/>
              </w:rPr>
              <w:t>Commitments</w:t>
            </w:r>
          </w:p>
        </w:tc>
        <w:tc>
          <w:tcPr>
            <w:tcW w:w="654" w:type="dxa"/>
            <w:gridSpan w:val="2"/>
            <w:vAlign w:val="center"/>
          </w:tcPr>
          <w:p>
            <w:pPr>
              <w:spacing w:before="20" w:after="20"/>
              <w:jc w:val="center"/>
              <w:rPr>
                <w:rFonts w:eastAsia="Calibri"/>
                <w:noProof/>
                <w:sz w:val="14"/>
              </w:rPr>
            </w:pPr>
            <w:r>
              <w:rPr>
                <w:rFonts w:eastAsia="Calibri"/>
                <w:noProof/>
                <w:sz w:val="14"/>
              </w:rPr>
              <w:t>(1a)</w:t>
            </w:r>
          </w:p>
        </w:tc>
        <w:tc>
          <w:tcPr>
            <w:tcW w:w="1252" w:type="dxa"/>
            <w:shd w:val="clear" w:color="auto" w:fill="FFFFFF"/>
            <w:vAlign w:val="center"/>
          </w:tcPr>
          <w:p>
            <w:pPr>
              <w:spacing w:before="20" w:after="20"/>
              <w:jc w:val="right"/>
              <w:rPr>
                <w:rFonts w:eastAsia="Calibri"/>
                <w:noProof/>
                <w:sz w:val="18"/>
                <w:szCs w:val="18"/>
              </w:rPr>
            </w:pPr>
            <w:r>
              <w:rPr>
                <w:rFonts w:eastAsia="Calibri"/>
                <w:noProof/>
                <w:sz w:val="18"/>
                <w:szCs w:val="18"/>
              </w:rPr>
              <w:t xml:space="preserve">   </w:t>
            </w: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r>
        <w:tc>
          <w:tcPr>
            <w:tcW w:w="3960" w:type="dxa"/>
            <w:vMerge/>
          </w:tcPr>
          <w:p>
            <w:pPr>
              <w:jc w:val="center"/>
              <w:rPr>
                <w:rFonts w:eastAsia="Calibri"/>
                <w:noProof/>
                <w:sz w:val="20"/>
              </w:rPr>
            </w:pPr>
          </w:p>
        </w:tc>
        <w:tc>
          <w:tcPr>
            <w:tcW w:w="1440" w:type="dxa"/>
            <w:vAlign w:val="center"/>
          </w:tcPr>
          <w:p>
            <w:pPr>
              <w:spacing w:before="20" w:after="20"/>
              <w:rPr>
                <w:rFonts w:eastAsia="Calibri"/>
                <w:noProof/>
                <w:sz w:val="18"/>
              </w:rPr>
            </w:pPr>
            <w:r>
              <w:rPr>
                <w:rFonts w:eastAsia="Calibri"/>
                <w:noProof/>
                <w:sz w:val="18"/>
              </w:rPr>
              <w:t>Payments</w:t>
            </w:r>
          </w:p>
        </w:tc>
        <w:tc>
          <w:tcPr>
            <w:tcW w:w="654" w:type="dxa"/>
            <w:gridSpan w:val="2"/>
            <w:vAlign w:val="center"/>
          </w:tcPr>
          <w:p>
            <w:pPr>
              <w:spacing w:before="20" w:after="20"/>
              <w:jc w:val="center"/>
              <w:rPr>
                <w:rFonts w:eastAsia="Calibri"/>
                <w:noProof/>
                <w:sz w:val="14"/>
              </w:rPr>
            </w:pPr>
            <w:r>
              <w:rPr>
                <w:rFonts w:eastAsia="Calibri"/>
                <w:noProof/>
                <w:sz w:val="14"/>
              </w:rPr>
              <w:t>(2a)</w:t>
            </w:r>
          </w:p>
        </w:tc>
        <w:tc>
          <w:tcPr>
            <w:tcW w:w="1252" w:type="dxa"/>
            <w:shd w:val="clear" w:color="auto" w:fill="FFFFFF"/>
            <w:vAlign w:val="center"/>
          </w:tcPr>
          <w:p>
            <w:pPr>
              <w:spacing w:before="20" w:after="20"/>
              <w:jc w:val="right"/>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r>
        <w:tc>
          <w:tcPr>
            <w:tcW w:w="3960" w:type="dxa"/>
            <w:vMerge w:val="restart"/>
            <w:vAlign w:val="center"/>
          </w:tcPr>
          <w:p>
            <w:pPr>
              <w:jc w:val="center"/>
              <w:rPr>
                <w:rFonts w:eastAsia="Calibri"/>
                <w:b/>
                <w:noProof/>
              </w:rPr>
            </w:pPr>
            <w:r>
              <w:rPr>
                <w:rFonts w:eastAsia="Calibri"/>
                <w:b/>
                <w:noProof/>
                <w:sz w:val="22"/>
              </w:rPr>
              <w:t>TOTAL appropriations</w:t>
            </w:r>
            <w:r>
              <w:rPr>
                <w:rFonts w:eastAsia="Calibri"/>
                <w:noProof/>
                <w:sz w:val="22"/>
              </w:rPr>
              <w:br/>
            </w:r>
          </w:p>
        </w:tc>
        <w:tc>
          <w:tcPr>
            <w:tcW w:w="1440" w:type="dxa"/>
            <w:vAlign w:val="center"/>
          </w:tcPr>
          <w:p>
            <w:pPr>
              <w:rPr>
                <w:rFonts w:eastAsia="Calibri"/>
                <w:noProof/>
                <w:sz w:val="18"/>
              </w:rPr>
            </w:pPr>
            <w:r>
              <w:rPr>
                <w:rFonts w:eastAsia="Calibri"/>
                <w:noProof/>
                <w:sz w:val="18"/>
              </w:rPr>
              <w:t>Commitments</w:t>
            </w:r>
          </w:p>
        </w:tc>
        <w:tc>
          <w:tcPr>
            <w:tcW w:w="654" w:type="dxa"/>
            <w:gridSpan w:val="2"/>
            <w:vAlign w:val="center"/>
          </w:tcPr>
          <w:p>
            <w:pPr>
              <w:jc w:val="center"/>
              <w:rPr>
                <w:rFonts w:eastAsia="Calibri"/>
                <w:noProof/>
                <w:sz w:val="14"/>
              </w:rPr>
            </w:pPr>
            <w:r>
              <w:rPr>
                <w:rFonts w:eastAsia="Calibri"/>
                <w:noProof/>
                <w:sz w:val="14"/>
              </w:rPr>
              <w:t>=1a+1b +3</w:t>
            </w:r>
          </w:p>
        </w:tc>
        <w:tc>
          <w:tcPr>
            <w:tcW w:w="1252" w:type="dxa"/>
            <w:shd w:val="clear" w:color="auto" w:fill="FFFFFF"/>
            <w:vAlign w:val="center"/>
          </w:tcPr>
          <w:p>
            <w:pPr>
              <w:spacing w:before="20" w:after="20"/>
              <w:jc w:val="right"/>
              <w:rPr>
                <w:rFonts w:eastAsia="Calibri"/>
                <w:noProof/>
                <w:sz w:val="18"/>
                <w:szCs w:val="18"/>
              </w:rPr>
            </w:pPr>
            <w:r>
              <w:rPr>
                <w:rFonts w:eastAsia="Calibri"/>
                <w:noProof/>
                <w:sz w:val="18"/>
                <w:szCs w:val="18"/>
              </w:rPr>
              <w:t xml:space="preserve">   </w:t>
            </w: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r>
        <w:tc>
          <w:tcPr>
            <w:tcW w:w="3960" w:type="dxa"/>
            <w:vMerge/>
          </w:tcPr>
          <w:p>
            <w:pPr>
              <w:rPr>
                <w:rFonts w:eastAsia="Calibri"/>
                <w:noProof/>
                <w:sz w:val="20"/>
              </w:rPr>
            </w:pPr>
          </w:p>
        </w:tc>
        <w:tc>
          <w:tcPr>
            <w:tcW w:w="1440" w:type="dxa"/>
            <w:vAlign w:val="center"/>
          </w:tcPr>
          <w:p>
            <w:pPr>
              <w:rPr>
                <w:rFonts w:eastAsia="Calibri"/>
                <w:noProof/>
                <w:sz w:val="18"/>
              </w:rPr>
            </w:pPr>
            <w:r>
              <w:rPr>
                <w:rFonts w:eastAsia="Calibri"/>
                <w:noProof/>
                <w:sz w:val="18"/>
              </w:rPr>
              <w:t>Payments</w:t>
            </w:r>
          </w:p>
        </w:tc>
        <w:tc>
          <w:tcPr>
            <w:tcW w:w="654" w:type="dxa"/>
            <w:gridSpan w:val="2"/>
            <w:vAlign w:val="center"/>
          </w:tcPr>
          <w:p>
            <w:pPr>
              <w:jc w:val="center"/>
              <w:rPr>
                <w:rFonts w:eastAsia="Calibri"/>
                <w:noProof/>
                <w:sz w:val="14"/>
              </w:rPr>
            </w:pPr>
            <w:r>
              <w:rPr>
                <w:rFonts w:eastAsia="Calibri"/>
                <w:noProof/>
                <w:sz w:val="14"/>
              </w:rPr>
              <w:t>=2a+2b</w:t>
            </w:r>
          </w:p>
          <w:p>
            <w:pPr>
              <w:jc w:val="center"/>
              <w:rPr>
                <w:rFonts w:eastAsia="Calibri"/>
                <w:noProof/>
                <w:sz w:val="14"/>
              </w:rPr>
            </w:pPr>
            <w:r>
              <w:rPr>
                <w:rFonts w:eastAsia="Calibri"/>
                <w:noProof/>
                <w:sz w:val="14"/>
              </w:rPr>
              <w:t>+3</w:t>
            </w:r>
          </w:p>
        </w:tc>
        <w:tc>
          <w:tcPr>
            <w:tcW w:w="1252" w:type="dxa"/>
            <w:shd w:val="clear" w:color="auto" w:fill="FFFFFF"/>
            <w:vAlign w:val="center"/>
          </w:tcPr>
          <w:p>
            <w:pPr>
              <w:spacing w:before="20" w:after="20"/>
              <w:jc w:val="right"/>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010"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418" w:type="dxa"/>
            <w:shd w:val="clear" w:color="auto" w:fill="FFFFFF"/>
          </w:tcPr>
          <w:p>
            <w:pPr>
              <w:spacing w:before="20" w:after="20"/>
              <w:jc w:val="right"/>
              <w:rPr>
                <w:rFonts w:eastAsia="Calibri"/>
                <w:noProof/>
                <w:sz w:val="18"/>
                <w:szCs w:val="18"/>
              </w:rPr>
            </w:pPr>
          </w:p>
        </w:tc>
        <w:tc>
          <w:tcPr>
            <w:tcW w:w="1559" w:type="dxa"/>
            <w:shd w:val="clear" w:color="auto" w:fill="FFFFFF"/>
          </w:tcPr>
          <w:p>
            <w:pPr>
              <w:spacing w:before="20" w:after="20"/>
              <w:jc w:val="right"/>
              <w:rPr>
                <w:rFonts w:eastAsia="Calibri"/>
                <w:noProof/>
                <w:sz w:val="18"/>
                <w:szCs w:val="18"/>
              </w:rPr>
            </w:pPr>
          </w:p>
        </w:tc>
        <w:tc>
          <w:tcPr>
            <w:tcW w:w="2409" w:type="dxa"/>
            <w:shd w:val="clear" w:color="auto" w:fill="FFFFFF"/>
            <w:vAlign w:val="center"/>
          </w:tcPr>
          <w:p>
            <w:pPr>
              <w:spacing w:before="20" w:after="20"/>
              <w:jc w:val="right"/>
              <w:rPr>
                <w:rFonts w:eastAsia="Calibri"/>
                <w:noProof/>
                <w:sz w:val="18"/>
                <w:szCs w:val="18"/>
              </w:rPr>
            </w:pPr>
          </w:p>
        </w:tc>
      </w:tr>
    </w:tbl>
    <w:p>
      <w:pPr>
        <w:rPr>
          <w:rFonts w:eastAsia="Calibri"/>
          <w:noProof/>
        </w:rPr>
      </w:pPr>
      <w:r>
        <w:rPr>
          <w:rFonts w:eastAsia="Calibri"/>
          <w:noProof/>
        </w:rPr>
        <w:br/>
      </w: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1440"/>
        <w:gridCol w:w="654"/>
        <w:gridCol w:w="1252"/>
        <w:gridCol w:w="1116"/>
        <w:gridCol w:w="1152"/>
        <w:gridCol w:w="1134"/>
        <w:gridCol w:w="1134"/>
        <w:gridCol w:w="1134"/>
        <w:gridCol w:w="2268"/>
      </w:tblGrid>
      <w:tr>
        <w:trPr>
          <w:trHeight w:val="277"/>
        </w:trPr>
        <w:tc>
          <w:tcPr>
            <w:tcW w:w="4593" w:type="dxa"/>
            <w:vMerge w:val="restart"/>
            <w:vAlign w:val="center"/>
          </w:tcPr>
          <w:p>
            <w:pPr>
              <w:spacing w:before="20" w:after="20"/>
              <w:rPr>
                <w:rFonts w:eastAsia="Calibri"/>
                <w:noProof/>
              </w:rPr>
            </w:pPr>
            <w:r>
              <w:rPr>
                <w:rFonts w:eastAsia="Calibri"/>
                <w:noProof/>
                <w:sz w:val="22"/>
              </w:rPr>
              <w:br w:type="page"/>
            </w:r>
            <w:r>
              <w:rPr>
                <w:rFonts w:eastAsia="Calibri"/>
                <w:noProof/>
                <w:sz w:val="21"/>
              </w:rPr>
              <w:sym w:font="Wingdings" w:char="F09F"/>
            </w:r>
            <w:r>
              <w:rPr>
                <w:rFonts w:eastAsia="Calibri"/>
                <w:noProof/>
                <w:sz w:val="21"/>
              </w:rPr>
              <w:t xml:space="preserve"> TOTAL operational appropriations </w:t>
            </w:r>
          </w:p>
        </w:tc>
        <w:tc>
          <w:tcPr>
            <w:tcW w:w="1440" w:type="dxa"/>
            <w:vAlign w:val="center"/>
          </w:tcPr>
          <w:p>
            <w:pPr>
              <w:spacing w:beforeLines="20" w:before="48" w:afterLines="20" w:after="48"/>
              <w:rPr>
                <w:rFonts w:eastAsia="Calibri"/>
                <w:noProof/>
                <w:sz w:val="18"/>
              </w:rPr>
            </w:pPr>
            <w:r>
              <w:rPr>
                <w:rFonts w:eastAsia="Calibri"/>
                <w:noProof/>
                <w:sz w:val="18"/>
              </w:rPr>
              <w:t>Commitments</w:t>
            </w:r>
          </w:p>
        </w:tc>
        <w:tc>
          <w:tcPr>
            <w:tcW w:w="654" w:type="dxa"/>
            <w:vAlign w:val="center"/>
          </w:tcPr>
          <w:p>
            <w:pPr>
              <w:spacing w:beforeLines="20" w:before="48" w:afterLines="20" w:after="48"/>
              <w:jc w:val="center"/>
              <w:rPr>
                <w:rFonts w:eastAsia="Calibri"/>
                <w:noProof/>
                <w:sz w:val="14"/>
              </w:rPr>
            </w:pPr>
            <w:r>
              <w:rPr>
                <w:rFonts w:eastAsia="Calibri"/>
                <w:noProof/>
                <w:sz w:val="14"/>
              </w:rPr>
              <w:t>(4)</w:t>
            </w:r>
          </w:p>
        </w:tc>
        <w:tc>
          <w:tcPr>
            <w:tcW w:w="1252" w:type="dxa"/>
            <w:shd w:val="clear" w:color="auto" w:fill="FFFFFF"/>
            <w:vAlign w:val="center"/>
          </w:tcPr>
          <w:p>
            <w:pPr>
              <w:spacing w:before="20" w:after="20"/>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2268" w:type="dxa"/>
            <w:shd w:val="clear" w:color="auto" w:fill="FFFFFF"/>
            <w:vAlign w:val="center"/>
          </w:tcPr>
          <w:p>
            <w:pPr>
              <w:spacing w:before="20" w:after="20"/>
              <w:jc w:val="right"/>
              <w:rPr>
                <w:rFonts w:eastAsia="Calibri"/>
                <w:noProof/>
                <w:sz w:val="18"/>
                <w:szCs w:val="18"/>
              </w:rPr>
            </w:pPr>
          </w:p>
        </w:tc>
      </w:tr>
      <w:tr>
        <w:tc>
          <w:tcPr>
            <w:tcW w:w="4593" w:type="dxa"/>
            <w:vMerge/>
          </w:tcPr>
          <w:p>
            <w:pPr>
              <w:jc w:val="center"/>
              <w:rPr>
                <w:rFonts w:eastAsia="Calibri"/>
                <w:noProof/>
                <w:sz w:val="20"/>
              </w:rPr>
            </w:pPr>
          </w:p>
        </w:tc>
        <w:tc>
          <w:tcPr>
            <w:tcW w:w="1440" w:type="dxa"/>
            <w:vAlign w:val="center"/>
          </w:tcPr>
          <w:p>
            <w:pPr>
              <w:spacing w:beforeLines="20" w:before="48" w:afterLines="20" w:after="48"/>
              <w:rPr>
                <w:rFonts w:eastAsia="Calibri"/>
                <w:noProof/>
                <w:sz w:val="18"/>
              </w:rPr>
            </w:pPr>
            <w:r>
              <w:rPr>
                <w:rFonts w:eastAsia="Calibri"/>
                <w:noProof/>
                <w:sz w:val="18"/>
              </w:rPr>
              <w:t>Payments</w:t>
            </w:r>
          </w:p>
        </w:tc>
        <w:tc>
          <w:tcPr>
            <w:tcW w:w="654" w:type="dxa"/>
            <w:vAlign w:val="center"/>
          </w:tcPr>
          <w:p>
            <w:pPr>
              <w:spacing w:beforeLines="20" w:before="48" w:afterLines="20" w:after="48"/>
              <w:jc w:val="center"/>
              <w:rPr>
                <w:rFonts w:eastAsia="Calibri"/>
                <w:noProof/>
                <w:sz w:val="14"/>
              </w:rPr>
            </w:pPr>
            <w:r>
              <w:rPr>
                <w:rFonts w:eastAsia="Calibri"/>
                <w:noProof/>
                <w:sz w:val="14"/>
              </w:rPr>
              <w:t>(5)</w:t>
            </w:r>
          </w:p>
        </w:tc>
        <w:tc>
          <w:tcPr>
            <w:tcW w:w="1252" w:type="dxa"/>
            <w:shd w:val="clear" w:color="auto" w:fill="FFFFFF"/>
            <w:vAlign w:val="center"/>
          </w:tcPr>
          <w:p>
            <w:pPr>
              <w:spacing w:before="20" w:after="20"/>
              <w:jc w:val="center"/>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1134" w:type="dxa"/>
            <w:shd w:val="clear" w:color="auto" w:fill="FFFFFF"/>
            <w:vAlign w:val="center"/>
          </w:tcPr>
          <w:p>
            <w:pPr>
              <w:spacing w:before="20" w:after="20"/>
              <w:jc w:val="right"/>
              <w:rPr>
                <w:rFonts w:eastAsia="Calibri"/>
                <w:noProof/>
                <w:sz w:val="20"/>
              </w:rPr>
            </w:pPr>
          </w:p>
        </w:tc>
        <w:tc>
          <w:tcPr>
            <w:tcW w:w="2268" w:type="dxa"/>
            <w:shd w:val="clear" w:color="auto" w:fill="FFFFFF"/>
            <w:vAlign w:val="center"/>
          </w:tcPr>
          <w:p>
            <w:pPr>
              <w:spacing w:before="20" w:after="20"/>
              <w:jc w:val="right"/>
              <w:rPr>
                <w:rFonts w:eastAsia="Calibri"/>
                <w:noProof/>
                <w:sz w:val="18"/>
                <w:szCs w:val="18"/>
              </w:rPr>
            </w:pPr>
          </w:p>
        </w:tc>
      </w:tr>
      <w:tr>
        <w:trPr>
          <w:trHeight w:val="533"/>
        </w:trPr>
        <w:tc>
          <w:tcPr>
            <w:tcW w:w="6033" w:type="dxa"/>
            <w:gridSpan w:val="2"/>
            <w:vAlign w:val="center"/>
          </w:tcPr>
          <w:p>
            <w:pPr>
              <w:spacing w:beforeLines="20" w:before="48" w:afterLines="20" w:after="48"/>
              <w:rPr>
                <w:rFonts w:eastAsia="Calibri"/>
                <w:noProof/>
              </w:rPr>
            </w:pPr>
            <w:r>
              <w:rPr>
                <w:rFonts w:eastAsia="Calibri"/>
                <w:noProof/>
                <w:sz w:val="21"/>
              </w:rPr>
              <w:sym w:font="Wingdings" w:char="F09F"/>
            </w:r>
            <w:r>
              <w:rPr>
                <w:rFonts w:eastAsia="Calibri"/>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rFonts w:eastAsia="Calibri"/>
                <w:noProof/>
                <w:sz w:val="14"/>
              </w:rPr>
            </w:pPr>
            <w:r>
              <w:rPr>
                <w:rFonts w:eastAsia="Calibri"/>
                <w:noProof/>
                <w:sz w:val="14"/>
              </w:rPr>
              <w:t>(6)</w:t>
            </w:r>
          </w:p>
        </w:tc>
        <w:tc>
          <w:tcPr>
            <w:tcW w:w="1252" w:type="dxa"/>
            <w:shd w:val="clear" w:color="auto" w:fill="FFFFFF"/>
            <w:vAlign w:val="center"/>
          </w:tcPr>
          <w:p>
            <w:pPr>
              <w:spacing w:before="20" w:after="20"/>
              <w:jc w:val="right"/>
              <w:rPr>
                <w:rFonts w:eastAsia="Calibri"/>
                <w:b/>
                <w:noProof/>
                <w:sz w:val="20"/>
              </w:rPr>
            </w:pPr>
          </w:p>
        </w:tc>
        <w:tc>
          <w:tcPr>
            <w:tcW w:w="1116" w:type="dxa"/>
            <w:shd w:val="clear" w:color="auto" w:fill="FFFFFF"/>
            <w:vAlign w:val="center"/>
          </w:tcPr>
          <w:p>
            <w:pPr>
              <w:spacing w:before="20" w:after="20"/>
              <w:jc w:val="right"/>
              <w:rPr>
                <w:rFonts w:eastAsia="Calibri"/>
                <w:b/>
                <w:noProof/>
                <w:sz w:val="20"/>
              </w:rPr>
            </w:pPr>
          </w:p>
        </w:tc>
        <w:tc>
          <w:tcPr>
            <w:tcW w:w="1152" w:type="dxa"/>
            <w:shd w:val="clear" w:color="auto" w:fill="FFFFFF"/>
            <w:vAlign w:val="center"/>
          </w:tcPr>
          <w:p>
            <w:pPr>
              <w:spacing w:before="20" w:after="20"/>
              <w:jc w:val="right"/>
              <w:rPr>
                <w:rFonts w:eastAsia="Calibri"/>
                <w:b/>
                <w:noProof/>
                <w:sz w:val="20"/>
              </w:rPr>
            </w:pPr>
          </w:p>
        </w:tc>
        <w:tc>
          <w:tcPr>
            <w:tcW w:w="1134" w:type="dxa"/>
            <w:shd w:val="clear" w:color="auto" w:fill="FFFFFF"/>
            <w:vAlign w:val="center"/>
          </w:tcPr>
          <w:p>
            <w:pPr>
              <w:spacing w:before="20" w:after="20"/>
              <w:jc w:val="right"/>
              <w:rPr>
                <w:rFonts w:eastAsia="Calibri"/>
                <w:b/>
                <w:noProof/>
                <w:sz w:val="20"/>
              </w:rPr>
            </w:pPr>
          </w:p>
        </w:tc>
        <w:tc>
          <w:tcPr>
            <w:tcW w:w="1134" w:type="dxa"/>
            <w:shd w:val="clear" w:color="auto" w:fill="FFFFFF"/>
            <w:vAlign w:val="center"/>
          </w:tcPr>
          <w:p>
            <w:pPr>
              <w:spacing w:before="20" w:after="20"/>
              <w:jc w:val="right"/>
              <w:rPr>
                <w:rFonts w:eastAsia="Calibri"/>
                <w:b/>
                <w:noProof/>
                <w:sz w:val="20"/>
              </w:rPr>
            </w:pPr>
          </w:p>
        </w:tc>
        <w:tc>
          <w:tcPr>
            <w:tcW w:w="1134" w:type="dxa"/>
            <w:shd w:val="clear" w:color="auto" w:fill="FFFFFF"/>
            <w:vAlign w:val="center"/>
          </w:tcPr>
          <w:p>
            <w:pPr>
              <w:spacing w:before="20" w:after="20"/>
              <w:jc w:val="right"/>
              <w:rPr>
                <w:rFonts w:eastAsia="Calibri"/>
                <w:b/>
                <w:noProof/>
                <w:sz w:val="20"/>
              </w:rPr>
            </w:pPr>
          </w:p>
        </w:tc>
        <w:tc>
          <w:tcPr>
            <w:tcW w:w="2268" w:type="dxa"/>
            <w:shd w:val="clear" w:color="auto" w:fill="FFFFFF"/>
            <w:vAlign w:val="center"/>
          </w:tcPr>
          <w:p>
            <w:pPr>
              <w:spacing w:before="20" w:after="20"/>
              <w:jc w:val="right"/>
              <w:rPr>
                <w:rFonts w:eastAsia="Calibri"/>
                <w:b/>
                <w:noProof/>
                <w:sz w:val="20"/>
              </w:rPr>
            </w:pPr>
          </w:p>
        </w:tc>
      </w:tr>
      <w:tr>
        <w:tc>
          <w:tcPr>
            <w:tcW w:w="4593" w:type="dxa"/>
            <w:vMerge w:val="restart"/>
            <w:shd w:val="thinDiagStripe" w:color="C0C0C0" w:fill="auto"/>
            <w:vAlign w:val="center"/>
          </w:tcPr>
          <w:p>
            <w:pPr>
              <w:jc w:val="center"/>
              <w:rPr>
                <w:rFonts w:eastAsia="Calibri"/>
                <w:b/>
                <w:noProof/>
              </w:rPr>
            </w:pPr>
            <w:r>
              <w:rPr>
                <w:rFonts w:eastAsia="Calibri"/>
                <w:b/>
                <w:noProof/>
                <w:sz w:val="22"/>
              </w:rPr>
              <w:t xml:space="preserve">TOTAL appropriations </w:t>
            </w:r>
            <w:r>
              <w:rPr>
                <w:rFonts w:eastAsia="Calibri"/>
                <w:noProof/>
                <w:sz w:val="22"/>
              </w:rPr>
              <w:br/>
            </w:r>
            <w:r>
              <w:rPr>
                <w:rFonts w:eastAsia="Calibri"/>
                <w:b/>
                <w:noProof/>
                <w:sz w:val="22"/>
              </w:rPr>
              <w:t>under HEADING 9</w:t>
            </w:r>
            <w:r>
              <w:rPr>
                <w:rFonts w:eastAsia="Calibri"/>
                <w:noProof/>
                <w:sz w:val="22"/>
              </w:rPr>
              <w:br/>
              <w:t>of the multiannual financial framework</w:t>
            </w:r>
          </w:p>
        </w:tc>
        <w:tc>
          <w:tcPr>
            <w:tcW w:w="1440" w:type="dxa"/>
            <w:vAlign w:val="center"/>
          </w:tcPr>
          <w:p>
            <w:pPr>
              <w:rPr>
                <w:rFonts w:eastAsia="Calibri"/>
                <w:noProof/>
                <w:sz w:val="18"/>
              </w:rPr>
            </w:pPr>
            <w:r>
              <w:rPr>
                <w:rFonts w:eastAsia="Calibri"/>
                <w:noProof/>
                <w:sz w:val="18"/>
              </w:rPr>
              <w:t>Commitments</w:t>
            </w:r>
          </w:p>
        </w:tc>
        <w:tc>
          <w:tcPr>
            <w:tcW w:w="654" w:type="dxa"/>
            <w:vAlign w:val="center"/>
          </w:tcPr>
          <w:p>
            <w:pPr>
              <w:jc w:val="center"/>
              <w:rPr>
                <w:rFonts w:eastAsia="Calibri"/>
                <w:noProof/>
                <w:sz w:val="14"/>
              </w:rPr>
            </w:pPr>
            <w:r>
              <w:rPr>
                <w:rFonts w:eastAsia="Calibri"/>
                <w:noProof/>
                <w:sz w:val="14"/>
              </w:rPr>
              <w:t>=4+ 6</w:t>
            </w:r>
          </w:p>
        </w:tc>
        <w:tc>
          <w:tcPr>
            <w:tcW w:w="1252" w:type="dxa"/>
            <w:shd w:val="clear" w:color="auto" w:fill="FFFFFF"/>
            <w:vAlign w:val="center"/>
          </w:tcPr>
          <w:p>
            <w:pPr>
              <w:spacing w:before="20" w:after="20"/>
              <w:rPr>
                <w:rFonts w:eastAsia="Calibri"/>
                <w:noProof/>
                <w:sz w:val="18"/>
                <w:szCs w:val="18"/>
              </w:rPr>
            </w:pPr>
            <w:r>
              <w:rPr>
                <w:rFonts w:eastAsia="Calibri"/>
                <w:noProof/>
                <w:sz w:val="18"/>
                <w:szCs w:val="18"/>
              </w:rPr>
              <w:t xml:space="preserve">   </w:t>
            </w: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2268" w:type="dxa"/>
            <w:shd w:val="clear" w:color="auto" w:fill="FFFFFF"/>
            <w:vAlign w:val="center"/>
          </w:tcPr>
          <w:p>
            <w:pPr>
              <w:spacing w:before="20" w:after="20"/>
              <w:jc w:val="right"/>
              <w:rPr>
                <w:rFonts w:eastAsia="Calibri"/>
                <w:noProof/>
                <w:sz w:val="18"/>
                <w:szCs w:val="18"/>
              </w:rPr>
            </w:pPr>
          </w:p>
        </w:tc>
      </w:tr>
      <w:tr>
        <w:tc>
          <w:tcPr>
            <w:tcW w:w="4593" w:type="dxa"/>
            <w:vMerge/>
            <w:shd w:val="thinDiagStripe" w:color="C0C0C0" w:fill="auto"/>
          </w:tcPr>
          <w:p>
            <w:pPr>
              <w:rPr>
                <w:rFonts w:eastAsia="Calibri"/>
                <w:noProof/>
                <w:sz w:val="20"/>
              </w:rPr>
            </w:pPr>
          </w:p>
        </w:tc>
        <w:tc>
          <w:tcPr>
            <w:tcW w:w="1440" w:type="dxa"/>
            <w:vAlign w:val="center"/>
          </w:tcPr>
          <w:p>
            <w:pPr>
              <w:rPr>
                <w:rFonts w:eastAsia="Calibri"/>
                <w:noProof/>
                <w:sz w:val="18"/>
              </w:rPr>
            </w:pPr>
            <w:r>
              <w:rPr>
                <w:rFonts w:eastAsia="Calibri"/>
                <w:noProof/>
                <w:sz w:val="18"/>
              </w:rPr>
              <w:t>Payments</w:t>
            </w:r>
          </w:p>
        </w:tc>
        <w:tc>
          <w:tcPr>
            <w:tcW w:w="654" w:type="dxa"/>
            <w:vAlign w:val="center"/>
          </w:tcPr>
          <w:p>
            <w:pPr>
              <w:jc w:val="center"/>
              <w:rPr>
                <w:rFonts w:eastAsia="Calibri"/>
                <w:noProof/>
                <w:sz w:val="14"/>
              </w:rPr>
            </w:pPr>
            <w:r>
              <w:rPr>
                <w:rFonts w:eastAsia="Calibri"/>
                <w:noProof/>
                <w:sz w:val="14"/>
              </w:rPr>
              <w:t>=5+ 6</w:t>
            </w:r>
          </w:p>
        </w:tc>
        <w:tc>
          <w:tcPr>
            <w:tcW w:w="1252" w:type="dxa"/>
            <w:shd w:val="clear" w:color="auto" w:fill="FFFFFF"/>
            <w:vAlign w:val="center"/>
          </w:tcPr>
          <w:p>
            <w:pPr>
              <w:spacing w:before="20" w:after="20"/>
              <w:jc w:val="center"/>
              <w:rPr>
                <w:rFonts w:eastAsia="Calibri"/>
                <w:noProof/>
                <w:sz w:val="18"/>
                <w:szCs w:val="18"/>
              </w:rPr>
            </w:pPr>
          </w:p>
        </w:tc>
        <w:tc>
          <w:tcPr>
            <w:tcW w:w="1116" w:type="dxa"/>
            <w:shd w:val="clear" w:color="auto" w:fill="FFFFFF"/>
            <w:vAlign w:val="center"/>
          </w:tcPr>
          <w:p>
            <w:pPr>
              <w:spacing w:before="20" w:after="20"/>
              <w:jc w:val="right"/>
              <w:rPr>
                <w:rFonts w:eastAsia="Calibri"/>
                <w:noProof/>
                <w:sz w:val="18"/>
                <w:szCs w:val="18"/>
              </w:rPr>
            </w:pPr>
          </w:p>
        </w:tc>
        <w:tc>
          <w:tcPr>
            <w:tcW w:w="1152" w:type="dxa"/>
            <w:shd w:val="clear" w:color="auto" w:fill="FFFFFF"/>
            <w:vAlign w:val="center"/>
          </w:tcPr>
          <w:p>
            <w:pPr>
              <w:spacing w:before="20" w:after="20"/>
              <w:jc w:val="right"/>
              <w:rPr>
                <w:rFonts w:eastAsia="Calibri"/>
                <w:noProof/>
                <w:sz w:val="18"/>
                <w:szCs w:val="18"/>
              </w:rPr>
            </w:pPr>
          </w:p>
        </w:tc>
        <w:tc>
          <w:tcPr>
            <w:tcW w:w="1134" w:type="dxa"/>
            <w:shd w:val="clear" w:color="auto" w:fill="FFFFFF"/>
            <w:vAlign w:val="center"/>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1134" w:type="dxa"/>
            <w:shd w:val="clear" w:color="auto" w:fill="FFFFFF"/>
          </w:tcPr>
          <w:p>
            <w:pPr>
              <w:spacing w:before="20" w:after="20"/>
              <w:jc w:val="right"/>
              <w:rPr>
                <w:rFonts w:eastAsia="Calibri"/>
                <w:noProof/>
                <w:sz w:val="18"/>
                <w:szCs w:val="18"/>
              </w:rPr>
            </w:pPr>
          </w:p>
        </w:tc>
        <w:tc>
          <w:tcPr>
            <w:tcW w:w="2268" w:type="dxa"/>
            <w:shd w:val="clear" w:color="auto" w:fill="FFFFFF"/>
            <w:vAlign w:val="center"/>
          </w:tcPr>
          <w:p>
            <w:pPr>
              <w:spacing w:before="20" w:after="20"/>
              <w:jc w:val="right"/>
              <w:rPr>
                <w:rFonts w:eastAsia="Calibri"/>
                <w:noProof/>
                <w:sz w:val="18"/>
                <w:szCs w:val="18"/>
              </w:rPr>
            </w:pPr>
          </w:p>
        </w:tc>
      </w:tr>
    </w:tbl>
    <w:p>
      <w:pPr>
        <w:spacing w:after="40"/>
        <w:rPr>
          <w:rFonts w:eastAsia="Calibri"/>
          <w:b/>
          <w:noProof/>
          <w:sz w:val="22"/>
          <w:u w:val="single"/>
        </w:rPr>
      </w:pPr>
    </w:p>
    <w:p>
      <w:pPr>
        <w:spacing w:after="40"/>
        <w:rPr>
          <w:rFonts w:eastAsia="Calibri"/>
          <w:b/>
          <w:noProof/>
          <w:sz w:val="22"/>
          <w:u w:val="single"/>
        </w:rPr>
      </w:pPr>
      <w:r>
        <w:rPr>
          <w:rFonts w:eastAsia="Calibri"/>
          <w:b/>
          <w:noProof/>
          <w:sz w:val="22"/>
          <w:u w:val="single"/>
        </w:rPr>
        <w:t>If more than one operational heading is affected by the proposal / initiative, repeat the section above:</w:t>
      </w:r>
    </w:p>
    <w:p>
      <w:pPr>
        <w:spacing w:before="0" w:after="0"/>
        <w:jc w:val="left"/>
        <w:rPr>
          <w:rFonts w:eastAsia="Calibr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Calibri"/>
                <w:b/>
                <w:noProof/>
              </w:rPr>
            </w:pPr>
            <w:r>
              <w:rPr>
                <w:rFonts w:eastAsia="Calibri"/>
                <w:noProof/>
                <w:sz w:val="22"/>
              </w:rPr>
              <w:br w:type="page"/>
            </w:r>
            <w:r>
              <w:rPr>
                <w:rFonts w:eastAsia="Calibri"/>
                <w:b/>
                <w:noProof/>
                <w:sz w:val="22"/>
              </w:rPr>
              <w:t xml:space="preserve">Heading of multiannual financial </w:t>
            </w:r>
            <w:r>
              <w:rPr>
                <w:rFonts w:eastAsia="Calibri"/>
                <w:noProof/>
                <w:sz w:val="22"/>
              </w:rPr>
              <w:br/>
            </w:r>
            <w:r>
              <w:rPr>
                <w:rFonts w:eastAsia="Calibri"/>
                <w:b/>
                <w:noProof/>
                <w:sz w:val="22"/>
              </w:rPr>
              <w:t xml:space="preserve">framework </w:t>
            </w:r>
          </w:p>
        </w:tc>
        <w:tc>
          <w:tcPr>
            <w:tcW w:w="1080" w:type="dxa"/>
            <w:shd w:val="clear" w:color="auto" w:fill="FFFFFF"/>
            <w:vAlign w:val="center"/>
          </w:tcPr>
          <w:p>
            <w:pPr>
              <w:spacing w:before="60" w:after="60"/>
              <w:jc w:val="center"/>
              <w:rPr>
                <w:rFonts w:eastAsia="Calibri"/>
                <w:noProof/>
              </w:rPr>
            </w:pPr>
          </w:p>
        </w:tc>
        <w:tc>
          <w:tcPr>
            <w:tcW w:w="7817" w:type="dxa"/>
            <w:vAlign w:val="center"/>
          </w:tcPr>
          <w:p>
            <w:pPr>
              <w:spacing w:before="60" w:after="60"/>
              <w:rPr>
                <w:rFonts w:eastAsia="Calibri"/>
                <w:noProof/>
              </w:rPr>
            </w:pPr>
          </w:p>
        </w:tc>
      </w:tr>
    </w:tbl>
    <w:p>
      <w:pPr>
        <w:jc w:val="left"/>
        <w:rPr>
          <w:rFonts w:eastAsia="Calibri"/>
          <w:noProof/>
          <w:sz w:val="20"/>
        </w:rPr>
      </w:pPr>
      <w:r>
        <w:rPr>
          <w:rFonts w:eastAsia="Calibri"/>
          <w:noProof/>
        </w:rPr>
        <w:t xml:space="preserve">This section should be filled in using the 'budget data of an administrative nature' to be firstly introduced in the </w:t>
      </w:r>
      <w:hyperlink r:id="rId13" w:history="1">
        <w:r>
          <w:rPr>
            <w:rFonts w:eastAsia="Calibri"/>
            <w:noProof/>
            <w:color w:val="0000FF"/>
            <w:u w:val="single"/>
          </w:rPr>
          <w:t>Annex to the Legislative Financial Statement</w:t>
        </w:r>
      </w:hyperlink>
      <w:r>
        <w:rPr>
          <w:rFonts w:eastAsia="Calibri"/>
          <w:noProof/>
        </w:rPr>
        <w:t xml:space="preserve"> (Annex V to the internal rules), which is uploaded to DECIDE for interservice consultation purposes.</w:t>
      </w:r>
    </w:p>
    <w:p>
      <w:pPr>
        <w:jc w:val="right"/>
        <w:rPr>
          <w:rFonts w:eastAsia="Calibri"/>
          <w:noProof/>
          <w:sz w:val="20"/>
        </w:rPr>
      </w:pPr>
      <w:r>
        <w:rPr>
          <w:rFonts w:eastAsia="Calibri"/>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Calibri"/>
                <w:noProof/>
              </w:rPr>
            </w:pPr>
          </w:p>
        </w:tc>
        <w:tc>
          <w:tcPr>
            <w:tcW w:w="1560" w:type="dxa"/>
            <w:tcBorders>
              <w:top w:val="nil"/>
              <w:left w:val="nil"/>
              <w:right w:val="nil"/>
            </w:tcBorders>
          </w:tcPr>
          <w:p>
            <w:pPr>
              <w:rPr>
                <w:rFonts w:eastAsia="Calibri"/>
                <w:noProof/>
                <w:sz w:val="20"/>
              </w:rPr>
            </w:pPr>
          </w:p>
        </w:tc>
        <w:tc>
          <w:tcPr>
            <w:tcW w:w="534" w:type="dxa"/>
            <w:tcBorders>
              <w:top w:val="nil"/>
              <w:left w:val="nil"/>
            </w:tcBorders>
          </w:tcPr>
          <w:p>
            <w:pPr>
              <w:jc w:val="center"/>
              <w:rPr>
                <w:rFonts w:eastAsia="Calibri"/>
                <w:noProof/>
                <w:sz w:val="20"/>
              </w:rPr>
            </w:pPr>
          </w:p>
        </w:tc>
        <w:tc>
          <w:tcPr>
            <w:tcW w:w="868" w:type="dxa"/>
            <w:vAlign w:val="center"/>
          </w:tcPr>
          <w:p>
            <w:pPr>
              <w:jc w:val="center"/>
              <w:rPr>
                <w:rFonts w:eastAsia="Calibri"/>
                <w:noProof/>
                <w:sz w:val="20"/>
              </w:rPr>
            </w:pPr>
            <w:r>
              <w:rPr>
                <w:rFonts w:eastAsia="Calibri"/>
                <w:noProof/>
                <w:sz w:val="20"/>
              </w:rPr>
              <w:t>Year</w:t>
            </w:r>
            <w:r>
              <w:rPr>
                <w:rFonts w:eastAsia="Calibri"/>
                <w:noProof/>
                <w:sz w:val="22"/>
              </w:rPr>
              <w:br/>
            </w:r>
            <w:r>
              <w:rPr>
                <w:rFonts w:eastAsia="Calibri"/>
                <w:b/>
                <w:noProof/>
                <w:sz w:val="20"/>
              </w:rPr>
              <w:t>N</w:t>
            </w:r>
          </w:p>
        </w:tc>
        <w:tc>
          <w:tcPr>
            <w:tcW w:w="868" w:type="dxa"/>
            <w:vAlign w:val="center"/>
          </w:tcPr>
          <w:p>
            <w:pPr>
              <w:jc w:val="center"/>
              <w:rPr>
                <w:rFonts w:eastAsia="Calibri"/>
                <w:noProof/>
                <w:sz w:val="20"/>
              </w:rPr>
            </w:pPr>
            <w:r>
              <w:rPr>
                <w:rFonts w:eastAsia="Calibri"/>
                <w:noProof/>
                <w:sz w:val="20"/>
              </w:rPr>
              <w:t>Year</w:t>
            </w:r>
            <w:r>
              <w:rPr>
                <w:rFonts w:eastAsia="Calibri"/>
                <w:noProof/>
                <w:sz w:val="22"/>
              </w:rPr>
              <w:br/>
            </w:r>
            <w:r>
              <w:rPr>
                <w:rFonts w:eastAsia="Calibri"/>
                <w:b/>
                <w:noProof/>
                <w:sz w:val="20"/>
              </w:rPr>
              <w:t>N+1</w:t>
            </w:r>
          </w:p>
        </w:tc>
        <w:tc>
          <w:tcPr>
            <w:tcW w:w="868" w:type="dxa"/>
            <w:vAlign w:val="center"/>
          </w:tcPr>
          <w:p>
            <w:pPr>
              <w:jc w:val="center"/>
              <w:rPr>
                <w:rFonts w:eastAsia="Calibri"/>
                <w:noProof/>
                <w:sz w:val="20"/>
              </w:rPr>
            </w:pPr>
            <w:r>
              <w:rPr>
                <w:rFonts w:eastAsia="Calibri"/>
                <w:noProof/>
                <w:sz w:val="20"/>
              </w:rPr>
              <w:t>Year</w:t>
            </w:r>
            <w:r>
              <w:rPr>
                <w:rFonts w:eastAsia="Calibri"/>
                <w:noProof/>
                <w:sz w:val="22"/>
              </w:rPr>
              <w:br/>
            </w:r>
            <w:r>
              <w:rPr>
                <w:rFonts w:eastAsia="Calibri"/>
                <w:b/>
                <w:noProof/>
                <w:sz w:val="20"/>
              </w:rPr>
              <w:t>N+2</w:t>
            </w:r>
          </w:p>
        </w:tc>
        <w:tc>
          <w:tcPr>
            <w:tcW w:w="868" w:type="dxa"/>
            <w:vAlign w:val="center"/>
          </w:tcPr>
          <w:p>
            <w:pPr>
              <w:jc w:val="center"/>
              <w:rPr>
                <w:rFonts w:eastAsia="Calibri"/>
                <w:noProof/>
                <w:sz w:val="20"/>
              </w:rPr>
            </w:pPr>
            <w:r>
              <w:rPr>
                <w:rFonts w:eastAsia="Calibri"/>
                <w:noProof/>
                <w:sz w:val="20"/>
              </w:rPr>
              <w:t>Year</w:t>
            </w:r>
            <w:r>
              <w:rPr>
                <w:rFonts w:eastAsia="Calibri"/>
                <w:noProof/>
                <w:sz w:val="22"/>
              </w:rPr>
              <w:br/>
            </w:r>
            <w:r>
              <w:rPr>
                <w:rFonts w:eastAsia="Calibri"/>
                <w:b/>
                <w:noProof/>
                <w:sz w:val="20"/>
              </w:rPr>
              <w:t>N+3</w:t>
            </w:r>
          </w:p>
        </w:tc>
        <w:tc>
          <w:tcPr>
            <w:tcW w:w="2604" w:type="dxa"/>
            <w:gridSpan w:val="3"/>
            <w:vAlign w:val="center"/>
          </w:tcPr>
          <w:p>
            <w:pPr>
              <w:jc w:val="center"/>
              <w:rPr>
                <w:rFonts w:eastAsia="Calibri"/>
                <w:b/>
                <w:noProof/>
                <w:sz w:val="18"/>
              </w:rPr>
            </w:pPr>
            <w:r>
              <w:rPr>
                <w:rFonts w:eastAsia="Calibri"/>
                <w:noProof/>
                <w:sz w:val="18"/>
              </w:rPr>
              <w:t xml:space="preserve">Enter as many years as necessary to show the duration of the impact (see point 1.6) </w:t>
            </w:r>
          </w:p>
        </w:tc>
        <w:tc>
          <w:tcPr>
            <w:tcW w:w="1777" w:type="dxa"/>
            <w:vAlign w:val="center"/>
          </w:tcPr>
          <w:p>
            <w:pPr>
              <w:jc w:val="center"/>
              <w:rPr>
                <w:rFonts w:eastAsia="Calibri"/>
                <w:b/>
                <w:noProof/>
                <w:sz w:val="20"/>
              </w:rPr>
            </w:pPr>
            <w:r>
              <w:rPr>
                <w:rFonts w:eastAsia="Calibri"/>
                <w:b/>
                <w:noProof/>
                <w:sz w:val="20"/>
              </w:rPr>
              <w:t>TOTAL</w:t>
            </w:r>
          </w:p>
        </w:tc>
      </w:tr>
      <w:tr>
        <w:trPr>
          <w:gridAfter w:val="10"/>
          <w:wAfter w:w="9947" w:type="dxa"/>
        </w:trPr>
        <w:tc>
          <w:tcPr>
            <w:tcW w:w="3960" w:type="dxa"/>
            <w:vAlign w:val="center"/>
          </w:tcPr>
          <w:p>
            <w:pPr>
              <w:spacing w:before="60" w:after="60"/>
              <w:jc w:val="center"/>
              <w:rPr>
                <w:rFonts w:eastAsia="Calibri"/>
                <w:noProof/>
              </w:rPr>
            </w:pPr>
            <w:r>
              <w:rPr>
                <w:rFonts w:eastAsia="Calibri"/>
                <w:noProof/>
                <w:sz w:val="22"/>
              </w:rPr>
              <w:t>DG: &lt;…….&gt;</w:t>
            </w:r>
          </w:p>
        </w:tc>
      </w:tr>
      <w:tr>
        <w:trPr>
          <w:trHeight w:val="313"/>
        </w:trPr>
        <w:tc>
          <w:tcPr>
            <w:tcW w:w="6054" w:type="dxa"/>
            <w:gridSpan w:val="3"/>
            <w:vAlign w:val="center"/>
          </w:tcPr>
          <w:p>
            <w:pPr>
              <w:spacing w:before="20" w:after="20"/>
              <w:rPr>
                <w:rFonts w:eastAsia="Calibri"/>
                <w:noProof/>
              </w:rPr>
            </w:pPr>
            <w:r>
              <w:rPr>
                <w:rFonts w:eastAsia="Calibri"/>
                <w:noProof/>
                <w:sz w:val="22"/>
              </w:rPr>
              <w:sym w:font="Wingdings" w:char="F09F"/>
            </w:r>
            <w:r>
              <w:rPr>
                <w:rFonts w:eastAsia="Calibri"/>
                <w:noProof/>
                <w:sz w:val="22"/>
              </w:rPr>
              <w:t xml:space="preserve"> Human resources </w:t>
            </w: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r>
        <w:trPr>
          <w:trHeight w:val="351"/>
        </w:trPr>
        <w:tc>
          <w:tcPr>
            <w:tcW w:w="6054" w:type="dxa"/>
            <w:gridSpan w:val="3"/>
            <w:vAlign w:val="center"/>
          </w:tcPr>
          <w:p>
            <w:pPr>
              <w:spacing w:before="20" w:after="20"/>
              <w:rPr>
                <w:rFonts w:eastAsia="Calibri"/>
                <w:noProof/>
              </w:rPr>
            </w:pPr>
            <w:r>
              <w:rPr>
                <w:rFonts w:eastAsia="Calibri"/>
                <w:noProof/>
                <w:sz w:val="22"/>
              </w:rPr>
              <w:sym w:font="Wingdings" w:char="F09F"/>
            </w:r>
            <w:r>
              <w:rPr>
                <w:rFonts w:eastAsia="Calibri"/>
                <w:noProof/>
                <w:sz w:val="22"/>
              </w:rPr>
              <w:t xml:space="preserve"> Other administrative expenditure </w:t>
            </w: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r>
        <w:tc>
          <w:tcPr>
            <w:tcW w:w="3960" w:type="dxa"/>
            <w:vAlign w:val="center"/>
          </w:tcPr>
          <w:p>
            <w:pPr>
              <w:jc w:val="center"/>
              <w:rPr>
                <w:rFonts w:eastAsia="Calibri"/>
                <w:b/>
                <w:noProof/>
              </w:rPr>
            </w:pPr>
            <w:r>
              <w:rPr>
                <w:rFonts w:eastAsia="Calibri"/>
                <w:b/>
                <w:noProof/>
                <w:sz w:val="22"/>
              </w:rPr>
              <w:t xml:space="preserve">TOTAL DG </w:t>
            </w:r>
            <w:r>
              <w:rPr>
                <w:rFonts w:eastAsia="Calibri"/>
                <w:noProof/>
                <w:sz w:val="22"/>
              </w:rPr>
              <w:t>&lt;…….&gt;</w:t>
            </w:r>
          </w:p>
        </w:tc>
        <w:tc>
          <w:tcPr>
            <w:tcW w:w="2094" w:type="dxa"/>
            <w:gridSpan w:val="2"/>
            <w:vAlign w:val="center"/>
          </w:tcPr>
          <w:p>
            <w:pPr>
              <w:rPr>
                <w:rFonts w:eastAsia="Calibri"/>
                <w:noProof/>
                <w:sz w:val="14"/>
              </w:rPr>
            </w:pPr>
            <w:r>
              <w:rPr>
                <w:rFonts w:eastAsia="Calibri"/>
                <w:noProof/>
                <w:sz w:val="18"/>
              </w:rPr>
              <w:t xml:space="preserve">Appropriations </w:t>
            </w:r>
          </w:p>
        </w:tc>
        <w:tc>
          <w:tcPr>
            <w:tcW w:w="868" w:type="dxa"/>
            <w:vAlign w:val="center"/>
          </w:tcPr>
          <w:p>
            <w:pPr>
              <w:spacing w:before="60" w:after="6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bl>
    <w:p>
      <w:pPr>
        <w:rPr>
          <w:rFonts w:eastAsia="Calibri"/>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rFonts w:eastAsia="Calibri"/>
                <w:b/>
                <w:noProof/>
              </w:rPr>
            </w:pPr>
            <w:r>
              <w:rPr>
                <w:rFonts w:eastAsia="Calibri"/>
                <w:b/>
                <w:noProof/>
                <w:sz w:val="22"/>
              </w:rPr>
              <w:t>TOTAL appropriations</w:t>
            </w:r>
            <w:r>
              <w:rPr>
                <w:rFonts w:eastAsia="Calibri"/>
                <w:noProof/>
                <w:sz w:val="22"/>
              </w:rPr>
              <w:br/>
            </w:r>
            <w:r>
              <w:rPr>
                <w:rFonts w:eastAsia="Calibri"/>
                <w:b/>
                <w:noProof/>
                <w:sz w:val="22"/>
              </w:rPr>
              <w:t>under HEADING 5</w:t>
            </w:r>
            <w:r>
              <w:rPr>
                <w:rFonts w:eastAsia="Calibri"/>
                <w:noProof/>
                <w:sz w:val="22"/>
              </w:rPr>
              <w:br/>
              <w:t>of the multiannual financial framework</w:t>
            </w:r>
            <w:r>
              <w:rPr>
                <w:rFonts w:eastAsia="Calibri"/>
                <w:b/>
                <w:noProof/>
                <w:sz w:val="22"/>
              </w:rPr>
              <w:t xml:space="preserve"> </w:t>
            </w:r>
          </w:p>
        </w:tc>
        <w:tc>
          <w:tcPr>
            <w:tcW w:w="2094" w:type="dxa"/>
            <w:vAlign w:val="center"/>
          </w:tcPr>
          <w:p>
            <w:pPr>
              <w:spacing w:before="40" w:after="40"/>
              <w:rPr>
                <w:rFonts w:eastAsia="Calibri"/>
                <w:noProof/>
              </w:rPr>
            </w:pPr>
            <w:r>
              <w:rPr>
                <w:rFonts w:eastAsia="Calibri"/>
                <w:noProof/>
                <w:sz w:val="18"/>
              </w:rPr>
              <w:t>(Total commitments = Total payments)</w:t>
            </w: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noProof/>
                <w:sz w:val="20"/>
              </w:rPr>
            </w:pPr>
          </w:p>
        </w:tc>
        <w:tc>
          <w:tcPr>
            <w:tcW w:w="868" w:type="dxa"/>
            <w:vAlign w:val="center"/>
          </w:tcPr>
          <w:p>
            <w:pPr>
              <w:spacing w:before="20" w:after="20"/>
              <w:jc w:val="right"/>
              <w:rPr>
                <w:rFonts w:eastAsia="Calibri"/>
                <w:b/>
                <w:noProof/>
                <w:sz w:val="20"/>
              </w:rPr>
            </w:pPr>
          </w:p>
        </w:tc>
        <w:tc>
          <w:tcPr>
            <w:tcW w:w="1777" w:type="dxa"/>
            <w:vAlign w:val="center"/>
          </w:tcPr>
          <w:p>
            <w:pPr>
              <w:spacing w:before="20" w:after="20"/>
              <w:jc w:val="right"/>
              <w:rPr>
                <w:rFonts w:eastAsia="Calibri"/>
                <w:b/>
                <w:noProof/>
                <w:sz w:val="20"/>
              </w:rPr>
            </w:pPr>
          </w:p>
        </w:tc>
      </w:tr>
    </w:tbl>
    <w:p>
      <w:pPr>
        <w:jc w:val="right"/>
        <w:rPr>
          <w:rFonts w:eastAsia="Calibri"/>
          <w:noProof/>
          <w:sz w:val="20"/>
        </w:rPr>
      </w:pPr>
      <w:r>
        <w:rPr>
          <w:rFonts w:eastAsia="Calibri"/>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rFonts w:eastAsia="Calibri"/>
                <w:noProof/>
              </w:rPr>
            </w:pPr>
          </w:p>
        </w:tc>
        <w:tc>
          <w:tcPr>
            <w:tcW w:w="1560" w:type="dxa"/>
            <w:tcBorders>
              <w:top w:val="nil"/>
              <w:left w:val="nil"/>
              <w:right w:val="nil"/>
            </w:tcBorders>
          </w:tcPr>
          <w:p>
            <w:pPr>
              <w:rPr>
                <w:rFonts w:eastAsia="Calibri"/>
                <w:noProof/>
                <w:sz w:val="20"/>
              </w:rPr>
            </w:pPr>
          </w:p>
        </w:tc>
        <w:tc>
          <w:tcPr>
            <w:tcW w:w="534" w:type="dxa"/>
            <w:tcBorders>
              <w:top w:val="nil"/>
              <w:left w:val="nil"/>
            </w:tcBorders>
          </w:tcPr>
          <w:p>
            <w:pPr>
              <w:jc w:val="center"/>
              <w:rPr>
                <w:rFonts w:eastAsia="Calibri"/>
                <w:noProof/>
                <w:sz w:val="20"/>
              </w:rPr>
            </w:pPr>
          </w:p>
        </w:tc>
        <w:tc>
          <w:tcPr>
            <w:tcW w:w="868" w:type="dxa"/>
            <w:vAlign w:val="center"/>
          </w:tcPr>
          <w:p>
            <w:pPr>
              <w:jc w:val="center"/>
              <w:rPr>
                <w:rFonts w:eastAsia="Calibri"/>
                <w:noProof/>
                <w:sz w:val="20"/>
              </w:rPr>
            </w:pPr>
            <w:r>
              <w:rPr>
                <w:rFonts w:eastAsia="Calibri"/>
                <w:noProof/>
                <w:sz w:val="20"/>
              </w:rPr>
              <w:t>Year</w:t>
            </w:r>
            <w:r>
              <w:rPr>
                <w:rFonts w:eastAsia="Calibri"/>
                <w:noProof/>
                <w:sz w:val="22"/>
              </w:rPr>
              <w:br/>
            </w:r>
            <w:r>
              <w:rPr>
                <w:rFonts w:eastAsia="Calibri"/>
                <w:b/>
                <w:noProof/>
                <w:sz w:val="20"/>
              </w:rPr>
              <w:t>N</w:t>
            </w:r>
            <w:r>
              <w:rPr>
                <w:rStyle w:val="FootnoteReference"/>
                <w:rFonts w:eastAsia="Calibri"/>
                <w:b/>
                <w:noProof/>
                <w:sz w:val="20"/>
              </w:rPr>
              <w:footnoteReference w:id="9"/>
            </w:r>
          </w:p>
        </w:tc>
        <w:tc>
          <w:tcPr>
            <w:tcW w:w="868" w:type="dxa"/>
            <w:vAlign w:val="center"/>
          </w:tcPr>
          <w:p>
            <w:pPr>
              <w:jc w:val="center"/>
              <w:rPr>
                <w:rFonts w:eastAsia="Calibri"/>
                <w:noProof/>
                <w:sz w:val="20"/>
              </w:rPr>
            </w:pPr>
            <w:r>
              <w:rPr>
                <w:rFonts w:eastAsia="Calibri"/>
                <w:noProof/>
                <w:sz w:val="20"/>
              </w:rPr>
              <w:t>Year</w:t>
            </w:r>
            <w:r>
              <w:rPr>
                <w:rFonts w:eastAsia="Calibri"/>
                <w:noProof/>
                <w:sz w:val="22"/>
              </w:rPr>
              <w:br/>
            </w:r>
            <w:r>
              <w:rPr>
                <w:rFonts w:eastAsia="Calibri"/>
                <w:b/>
                <w:noProof/>
                <w:sz w:val="20"/>
              </w:rPr>
              <w:t>N+1</w:t>
            </w:r>
          </w:p>
        </w:tc>
        <w:tc>
          <w:tcPr>
            <w:tcW w:w="868" w:type="dxa"/>
            <w:vAlign w:val="center"/>
          </w:tcPr>
          <w:p>
            <w:pPr>
              <w:jc w:val="center"/>
              <w:rPr>
                <w:rFonts w:eastAsia="Calibri"/>
                <w:noProof/>
                <w:sz w:val="20"/>
              </w:rPr>
            </w:pPr>
            <w:r>
              <w:rPr>
                <w:rFonts w:eastAsia="Calibri"/>
                <w:noProof/>
                <w:sz w:val="20"/>
              </w:rPr>
              <w:t>Year</w:t>
            </w:r>
            <w:r>
              <w:rPr>
                <w:rFonts w:eastAsia="Calibri"/>
                <w:noProof/>
                <w:sz w:val="22"/>
              </w:rPr>
              <w:br/>
            </w:r>
            <w:r>
              <w:rPr>
                <w:rFonts w:eastAsia="Calibri"/>
                <w:b/>
                <w:noProof/>
                <w:sz w:val="20"/>
              </w:rPr>
              <w:t>N+2</w:t>
            </w:r>
          </w:p>
        </w:tc>
        <w:tc>
          <w:tcPr>
            <w:tcW w:w="868" w:type="dxa"/>
            <w:vAlign w:val="center"/>
          </w:tcPr>
          <w:p>
            <w:pPr>
              <w:jc w:val="center"/>
              <w:rPr>
                <w:rFonts w:eastAsia="Calibri"/>
                <w:noProof/>
                <w:sz w:val="20"/>
              </w:rPr>
            </w:pPr>
            <w:r>
              <w:rPr>
                <w:rFonts w:eastAsia="Calibri"/>
                <w:noProof/>
                <w:sz w:val="20"/>
              </w:rPr>
              <w:t>Year</w:t>
            </w:r>
            <w:r>
              <w:rPr>
                <w:rFonts w:eastAsia="Calibri"/>
                <w:noProof/>
                <w:sz w:val="22"/>
              </w:rPr>
              <w:br/>
            </w:r>
            <w:r>
              <w:rPr>
                <w:rFonts w:eastAsia="Calibri"/>
                <w:b/>
                <w:noProof/>
                <w:sz w:val="20"/>
              </w:rPr>
              <w:t>N+3</w:t>
            </w:r>
          </w:p>
        </w:tc>
        <w:tc>
          <w:tcPr>
            <w:tcW w:w="2604" w:type="dxa"/>
            <w:gridSpan w:val="3"/>
            <w:vAlign w:val="center"/>
          </w:tcPr>
          <w:p>
            <w:pPr>
              <w:jc w:val="center"/>
              <w:rPr>
                <w:rFonts w:eastAsia="Calibri"/>
                <w:b/>
                <w:noProof/>
                <w:sz w:val="18"/>
              </w:rPr>
            </w:pPr>
            <w:r>
              <w:rPr>
                <w:rFonts w:eastAsia="Calibri"/>
                <w:noProof/>
                <w:sz w:val="18"/>
              </w:rPr>
              <w:t>Enter as many years as necessary to show the duration of the impact (see point 1.6)</w:t>
            </w:r>
          </w:p>
        </w:tc>
        <w:tc>
          <w:tcPr>
            <w:tcW w:w="1777" w:type="dxa"/>
            <w:vAlign w:val="center"/>
          </w:tcPr>
          <w:p>
            <w:pPr>
              <w:jc w:val="center"/>
              <w:rPr>
                <w:rFonts w:eastAsia="Calibri"/>
                <w:b/>
                <w:noProof/>
                <w:sz w:val="20"/>
              </w:rPr>
            </w:pPr>
            <w:r>
              <w:rPr>
                <w:rFonts w:eastAsia="Calibri"/>
                <w:b/>
                <w:noProof/>
                <w:sz w:val="20"/>
              </w:rPr>
              <w:t>TOTAL</w:t>
            </w:r>
          </w:p>
        </w:tc>
      </w:tr>
      <w:tr>
        <w:tc>
          <w:tcPr>
            <w:tcW w:w="3960" w:type="dxa"/>
            <w:vMerge w:val="restart"/>
            <w:shd w:val="clear" w:color="auto" w:fill="C0C0C0"/>
            <w:vAlign w:val="center"/>
          </w:tcPr>
          <w:p>
            <w:pPr>
              <w:jc w:val="center"/>
              <w:rPr>
                <w:rFonts w:eastAsia="Calibri"/>
                <w:b/>
                <w:noProof/>
                <w:sz w:val="22"/>
              </w:rPr>
            </w:pPr>
            <w:r>
              <w:rPr>
                <w:rFonts w:eastAsia="Calibri"/>
                <w:b/>
                <w:noProof/>
                <w:sz w:val="22"/>
              </w:rPr>
              <w:t xml:space="preserve">TOTAL appropriations </w:t>
            </w:r>
            <w:r>
              <w:rPr>
                <w:rFonts w:eastAsia="Calibri"/>
                <w:b/>
                <w:noProof/>
                <w:sz w:val="22"/>
              </w:rPr>
              <w:br/>
              <w:t>under HEADINGS 1 to 5</w:t>
            </w:r>
            <w:r>
              <w:rPr>
                <w:rFonts w:eastAsia="Calibri"/>
                <w:b/>
                <w:noProof/>
                <w:sz w:val="22"/>
              </w:rPr>
              <w:br/>
              <w:t xml:space="preserve">of the multiannual financial framework </w:t>
            </w:r>
          </w:p>
        </w:tc>
        <w:tc>
          <w:tcPr>
            <w:tcW w:w="2094" w:type="dxa"/>
            <w:gridSpan w:val="2"/>
            <w:vAlign w:val="center"/>
          </w:tcPr>
          <w:p>
            <w:pPr>
              <w:rPr>
                <w:rFonts w:eastAsia="Calibri"/>
                <w:noProof/>
                <w:sz w:val="14"/>
              </w:rPr>
            </w:pPr>
            <w:r>
              <w:rPr>
                <w:rFonts w:eastAsia="Calibri"/>
                <w:noProof/>
                <w:sz w:val="18"/>
              </w:rPr>
              <w:t>Commitments</w:t>
            </w: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b/>
                <w:noProof/>
                <w:sz w:val="20"/>
              </w:rPr>
            </w:pPr>
          </w:p>
        </w:tc>
        <w:tc>
          <w:tcPr>
            <w:tcW w:w="1777" w:type="dxa"/>
            <w:vAlign w:val="center"/>
          </w:tcPr>
          <w:p>
            <w:pPr>
              <w:spacing w:before="60" w:after="60"/>
              <w:jc w:val="right"/>
              <w:rPr>
                <w:rFonts w:eastAsia="Calibri"/>
                <w:b/>
                <w:noProof/>
                <w:sz w:val="20"/>
              </w:rPr>
            </w:pPr>
          </w:p>
        </w:tc>
      </w:tr>
      <w:tr>
        <w:tc>
          <w:tcPr>
            <w:tcW w:w="3960" w:type="dxa"/>
            <w:vMerge/>
            <w:shd w:val="clear" w:color="auto" w:fill="C0C0C0"/>
          </w:tcPr>
          <w:p>
            <w:pPr>
              <w:rPr>
                <w:rFonts w:eastAsia="Calibri"/>
                <w:noProof/>
                <w:sz w:val="20"/>
              </w:rPr>
            </w:pPr>
          </w:p>
        </w:tc>
        <w:tc>
          <w:tcPr>
            <w:tcW w:w="2094" w:type="dxa"/>
            <w:gridSpan w:val="2"/>
            <w:vAlign w:val="center"/>
          </w:tcPr>
          <w:p>
            <w:pPr>
              <w:rPr>
                <w:rFonts w:eastAsia="Calibri"/>
                <w:noProof/>
                <w:sz w:val="14"/>
              </w:rPr>
            </w:pPr>
            <w:r>
              <w:rPr>
                <w:rFonts w:eastAsia="Calibri"/>
                <w:noProof/>
                <w:sz w:val="18"/>
              </w:rPr>
              <w:t>Payments</w:t>
            </w: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noProof/>
                <w:sz w:val="20"/>
              </w:rPr>
            </w:pPr>
          </w:p>
        </w:tc>
        <w:tc>
          <w:tcPr>
            <w:tcW w:w="868" w:type="dxa"/>
            <w:vAlign w:val="center"/>
          </w:tcPr>
          <w:p>
            <w:pPr>
              <w:spacing w:before="60" w:after="60"/>
              <w:jc w:val="right"/>
              <w:rPr>
                <w:rFonts w:eastAsia="Calibri"/>
                <w:b/>
                <w:noProof/>
                <w:sz w:val="20"/>
              </w:rPr>
            </w:pPr>
          </w:p>
        </w:tc>
        <w:tc>
          <w:tcPr>
            <w:tcW w:w="1777" w:type="dxa"/>
            <w:vAlign w:val="center"/>
          </w:tcPr>
          <w:p>
            <w:pPr>
              <w:spacing w:before="60" w:after="60"/>
              <w:jc w:val="right"/>
              <w:rPr>
                <w:rFonts w:eastAsia="Calibri"/>
                <w:b/>
                <w:noProof/>
                <w:sz w:val="20"/>
              </w:rPr>
            </w:pPr>
          </w:p>
        </w:tc>
      </w:tr>
    </w:tbl>
    <w:p>
      <w:pPr>
        <w:rPr>
          <w:rFonts w:eastAsia="Calibri"/>
          <w:noProof/>
        </w:rPr>
      </w:pPr>
    </w:p>
    <w:p>
      <w:pPr>
        <w:keepNext/>
        <w:tabs>
          <w:tab w:val="left" w:pos="850"/>
        </w:tabs>
        <w:ind w:left="850" w:hanging="850"/>
        <w:outlineLvl w:val="2"/>
        <w:rPr>
          <w:rFonts w:eastAsia="Calibri"/>
          <w:bCs/>
          <w:i/>
          <w:noProof/>
          <w:szCs w:val="24"/>
        </w:rPr>
      </w:pPr>
      <w:bookmarkStart w:id="46" w:name="_Toc514938054"/>
      <w:bookmarkStart w:id="47" w:name="_Toc520485053"/>
      <w:r>
        <w:rPr>
          <w:rFonts w:eastAsia="Calibri"/>
          <w:i/>
          <w:noProof/>
        </w:rPr>
        <w:t>3.2.2.</w:t>
      </w:r>
      <w:r>
        <w:rPr>
          <w:rFonts w:eastAsia="Calibri"/>
          <w:i/>
          <w:noProof/>
        </w:rPr>
        <w:tab/>
        <w:t>Estimated output funded with operational appropriations</w:t>
      </w:r>
      <w:bookmarkEnd w:id="46"/>
      <w:bookmarkEnd w:id="47"/>
      <w:r>
        <w:rPr>
          <w:rFonts w:eastAsia="Calibri"/>
          <w:i/>
          <w:noProof/>
        </w:rPr>
        <w:t xml:space="preserve"> </w:t>
      </w:r>
    </w:p>
    <w:p>
      <w:pPr>
        <w:jc w:val="right"/>
        <w:rPr>
          <w:rFonts w:eastAsia="Calibri"/>
          <w:noProof/>
          <w:sz w:val="20"/>
        </w:rPr>
      </w:pPr>
      <w:r>
        <w:rPr>
          <w:rFonts w:eastAsia="Calibri"/>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rFonts w:eastAsia="Calibri"/>
                <w:b/>
                <w:noProof/>
                <w:sz w:val="18"/>
                <w:szCs w:val="18"/>
              </w:rPr>
            </w:pPr>
            <w:r>
              <w:rPr>
                <w:rFonts w:eastAsia="Calibri"/>
                <w:b/>
                <w:noProof/>
                <w:sz w:val="18"/>
              </w:rPr>
              <w:t xml:space="preserve">Indicate objectives and outputs </w:t>
            </w:r>
          </w:p>
          <w:p>
            <w:pPr>
              <w:ind w:right="-29"/>
              <w:jc w:val="center"/>
              <w:rPr>
                <w:rFonts w:eastAsia="Calibri"/>
                <w:b/>
                <w:noProof/>
                <w:sz w:val="18"/>
                <w:szCs w:val="18"/>
              </w:rPr>
            </w:pPr>
          </w:p>
          <w:p>
            <w:pPr>
              <w:ind w:right="-29"/>
              <w:jc w:val="center"/>
              <w:rPr>
                <w:rFonts w:eastAsia="Calibri"/>
                <w:noProof/>
                <w:sz w:val="18"/>
                <w:szCs w:val="18"/>
              </w:rPr>
            </w:pPr>
            <w:r>
              <w:rPr>
                <w:rFonts w:eastAsia="Calibri"/>
                <w:noProof/>
                <w:sz w:val="18"/>
              </w:rPr>
              <w:sym w:font="Wingdings" w:char="F0F2"/>
            </w:r>
          </w:p>
        </w:tc>
        <w:tc>
          <w:tcPr>
            <w:tcW w:w="720" w:type="dxa"/>
            <w:vAlign w:val="center"/>
          </w:tcPr>
          <w:p>
            <w:pPr>
              <w:ind w:right="-29"/>
              <w:jc w:val="center"/>
              <w:rPr>
                <w:rFonts w:eastAsia="Calibri"/>
                <w:noProof/>
                <w:sz w:val="18"/>
                <w:szCs w:val="18"/>
              </w:rPr>
            </w:pPr>
          </w:p>
        </w:tc>
        <w:tc>
          <w:tcPr>
            <w:tcW w:w="701" w:type="dxa"/>
            <w:vAlign w:val="center"/>
          </w:tcPr>
          <w:p>
            <w:pPr>
              <w:ind w:right="-29"/>
              <w:jc w:val="center"/>
              <w:rPr>
                <w:rFonts w:eastAsia="Calibri"/>
                <w:noProof/>
                <w:sz w:val="18"/>
                <w:szCs w:val="18"/>
              </w:rPr>
            </w:pPr>
          </w:p>
        </w:tc>
        <w:tc>
          <w:tcPr>
            <w:tcW w:w="1224" w:type="dxa"/>
            <w:gridSpan w:val="2"/>
            <w:tcBorders>
              <w:left w:val="nil"/>
            </w:tcBorders>
            <w:vAlign w:val="center"/>
          </w:tcPr>
          <w:p>
            <w:pPr>
              <w:ind w:right="-29"/>
              <w:jc w:val="center"/>
              <w:rPr>
                <w:rFonts w:eastAsia="Calibri"/>
                <w:noProof/>
                <w:sz w:val="18"/>
                <w:szCs w:val="18"/>
              </w:rPr>
            </w:pPr>
            <w:r>
              <w:rPr>
                <w:rFonts w:eastAsia="Calibri"/>
                <w:noProof/>
                <w:sz w:val="18"/>
              </w:rPr>
              <w:t>Year</w:t>
            </w:r>
            <w:r>
              <w:rPr>
                <w:rFonts w:eastAsia="Calibri"/>
                <w:noProof/>
                <w:sz w:val="22"/>
              </w:rPr>
              <w:br/>
            </w:r>
            <w:r>
              <w:rPr>
                <w:rFonts w:eastAsia="Calibri"/>
                <w:b/>
                <w:noProof/>
                <w:sz w:val="18"/>
              </w:rPr>
              <w:t>2020</w:t>
            </w:r>
          </w:p>
        </w:tc>
        <w:tc>
          <w:tcPr>
            <w:tcW w:w="1260" w:type="dxa"/>
            <w:gridSpan w:val="2"/>
            <w:vAlign w:val="center"/>
          </w:tcPr>
          <w:p>
            <w:pPr>
              <w:ind w:right="-29"/>
              <w:jc w:val="center"/>
              <w:rPr>
                <w:rFonts w:eastAsia="Calibri"/>
                <w:noProof/>
                <w:sz w:val="18"/>
                <w:szCs w:val="18"/>
              </w:rPr>
            </w:pPr>
          </w:p>
        </w:tc>
        <w:tc>
          <w:tcPr>
            <w:tcW w:w="1440" w:type="dxa"/>
            <w:gridSpan w:val="2"/>
            <w:vAlign w:val="center"/>
          </w:tcPr>
          <w:p>
            <w:pPr>
              <w:ind w:right="-29"/>
              <w:jc w:val="center"/>
              <w:rPr>
                <w:rFonts w:eastAsia="Calibri"/>
                <w:noProof/>
                <w:sz w:val="18"/>
                <w:szCs w:val="18"/>
              </w:rPr>
            </w:pPr>
            <w:r>
              <w:rPr>
                <w:rFonts w:eastAsia="Calibri"/>
                <w:noProof/>
                <w:sz w:val="18"/>
              </w:rPr>
              <w:t>Year</w:t>
            </w:r>
            <w:r>
              <w:rPr>
                <w:rFonts w:eastAsia="Calibri"/>
                <w:noProof/>
                <w:sz w:val="22"/>
              </w:rPr>
              <w:br/>
            </w:r>
          </w:p>
        </w:tc>
        <w:tc>
          <w:tcPr>
            <w:tcW w:w="1620" w:type="dxa"/>
            <w:gridSpan w:val="3"/>
            <w:vAlign w:val="center"/>
          </w:tcPr>
          <w:p>
            <w:pPr>
              <w:ind w:right="-29"/>
              <w:jc w:val="center"/>
              <w:rPr>
                <w:rFonts w:eastAsia="Calibri"/>
                <w:noProof/>
                <w:sz w:val="18"/>
                <w:szCs w:val="18"/>
              </w:rPr>
            </w:pPr>
            <w:r>
              <w:rPr>
                <w:rFonts w:eastAsia="Calibri"/>
                <w:noProof/>
                <w:sz w:val="18"/>
              </w:rPr>
              <w:t>Year</w:t>
            </w:r>
            <w:r>
              <w:rPr>
                <w:rFonts w:eastAsia="Calibri"/>
                <w:noProof/>
                <w:sz w:val="22"/>
              </w:rPr>
              <w:br/>
            </w:r>
          </w:p>
        </w:tc>
        <w:tc>
          <w:tcPr>
            <w:tcW w:w="3600" w:type="dxa"/>
            <w:gridSpan w:val="6"/>
            <w:vAlign w:val="center"/>
          </w:tcPr>
          <w:p>
            <w:pPr>
              <w:jc w:val="center"/>
              <w:rPr>
                <w:rFonts w:eastAsia="Calibri"/>
                <w:noProof/>
                <w:sz w:val="18"/>
                <w:szCs w:val="18"/>
              </w:rPr>
            </w:pPr>
            <w:r>
              <w:rPr>
                <w:rFonts w:eastAsia="Calibri"/>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rFonts w:eastAsia="Calibri"/>
                <w:noProof/>
                <w:sz w:val="18"/>
                <w:szCs w:val="18"/>
              </w:rPr>
            </w:pPr>
            <w:r>
              <w:rPr>
                <w:rFonts w:eastAsia="Calibri"/>
                <w:b/>
                <w:noProof/>
                <w:sz w:val="18"/>
              </w:rPr>
              <w:t>TOTAL</w:t>
            </w:r>
          </w:p>
        </w:tc>
      </w:tr>
      <w:tr>
        <w:trPr>
          <w:jc w:val="center"/>
        </w:trPr>
        <w:tc>
          <w:tcPr>
            <w:tcW w:w="1423" w:type="dxa"/>
            <w:vMerge/>
            <w:vAlign w:val="center"/>
          </w:tcPr>
          <w:p>
            <w:pPr>
              <w:ind w:right="-29"/>
              <w:jc w:val="center"/>
              <w:rPr>
                <w:rFonts w:eastAsia="Calibri"/>
                <w:noProof/>
                <w:sz w:val="18"/>
                <w:szCs w:val="18"/>
              </w:rPr>
            </w:pPr>
          </w:p>
        </w:tc>
        <w:tc>
          <w:tcPr>
            <w:tcW w:w="12185" w:type="dxa"/>
            <w:gridSpan w:val="19"/>
            <w:vAlign w:val="center"/>
          </w:tcPr>
          <w:p>
            <w:pPr>
              <w:spacing w:before="60" w:after="60"/>
              <w:ind w:right="-29"/>
              <w:jc w:val="center"/>
              <w:rPr>
                <w:rFonts w:eastAsia="Calibri"/>
                <w:noProof/>
                <w:sz w:val="18"/>
                <w:szCs w:val="18"/>
              </w:rPr>
            </w:pPr>
            <w:r>
              <w:rPr>
                <w:rFonts w:eastAsia="Calibri"/>
                <w:b/>
                <w:noProof/>
                <w:sz w:val="18"/>
              </w:rPr>
              <w:t>OUTPUTS</w:t>
            </w:r>
          </w:p>
        </w:tc>
      </w:tr>
      <w:tr>
        <w:trPr>
          <w:cantSplit/>
          <w:trHeight w:val="1134"/>
          <w:jc w:val="center"/>
        </w:trPr>
        <w:tc>
          <w:tcPr>
            <w:tcW w:w="1423" w:type="dxa"/>
            <w:vMerge/>
            <w:vAlign w:val="center"/>
          </w:tcPr>
          <w:p>
            <w:pPr>
              <w:rPr>
                <w:rFonts w:eastAsia="Calibri"/>
                <w:noProof/>
                <w:sz w:val="18"/>
                <w:szCs w:val="18"/>
              </w:rPr>
            </w:pPr>
          </w:p>
        </w:tc>
        <w:tc>
          <w:tcPr>
            <w:tcW w:w="720" w:type="dxa"/>
            <w:vAlign w:val="center"/>
          </w:tcPr>
          <w:p>
            <w:pPr>
              <w:jc w:val="center"/>
              <w:rPr>
                <w:rFonts w:eastAsia="Calibri"/>
                <w:noProof/>
                <w:sz w:val="18"/>
                <w:szCs w:val="18"/>
              </w:rPr>
            </w:pPr>
            <w:r>
              <w:rPr>
                <w:rFonts w:eastAsia="Calibri"/>
                <w:noProof/>
                <w:sz w:val="18"/>
              </w:rPr>
              <w:t>Type</w:t>
            </w:r>
            <w:r>
              <w:rPr>
                <w:rStyle w:val="FootnoteReference"/>
                <w:rFonts w:eastAsia="Calibri"/>
                <w:noProof/>
                <w:sz w:val="18"/>
              </w:rPr>
              <w:footnoteReference w:id="10"/>
            </w:r>
          </w:p>
          <w:p>
            <w:pPr>
              <w:spacing w:before="0" w:after="0"/>
              <w:jc w:val="center"/>
              <w:rPr>
                <w:rFonts w:eastAsia="Calibri"/>
                <w:noProof/>
                <w:sz w:val="18"/>
                <w:szCs w:val="18"/>
              </w:rPr>
            </w:pPr>
          </w:p>
        </w:tc>
        <w:tc>
          <w:tcPr>
            <w:tcW w:w="701" w:type="dxa"/>
            <w:vAlign w:val="center"/>
          </w:tcPr>
          <w:p>
            <w:pPr>
              <w:jc w:val="center"/>
              <w:rPr>
                <w:rFonts w:eastAsia="Calibri"/>
                <w:noProof/>
                <w:sz w:val="18"/>
                <w:szCs w:val="18"/>
              </w:rPr>
            </w:pPr>
            <w:r>
              <w:rPr>
                <w:rFonts w:eastAsia="Calibri"/>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rFonts w:eastAsia="Calibri"/>
                <w:noProof/>
                <w:sz w:val="18"/>
                <w:szCs w:val="18"/>
              </w:rPr>
            </w:pPr>
            <w:r>
              <w:rPr>
                <w:rFonts w:eastAsia="Calibri"/>
                <w:noProof/>
                <w:sz w:val="18"/>
              </w:rPr>
              <w:t>No</w:t>
            </w:r>
          </w:p>
        </w:tc>
        <w:tc>
          <w:tcPr>
            <w:tcW w:w="720" w:type="dxa"/>
            <w:tcBorders>
              <w:left w:val="dashSmallGap" w:sz="4" w:space="0" w:color="auto"/>
            </w:tcBorders>
            <w:shd w:val="pct10" w:color="auto" w:fill="auto"/>
            <w:vAlign w:val="center"/>
          </w:tcPr>
          <w:p>
            <w:pPr>
              <w:jc w:val="center"/>
              <w:rPr>
                <w:rFonts w:eastAsia="Calibri"/>
                <w:noProof/>
                <w:sz w:val="18"/>
                <w:szCs w:val="18"/>
              </w:rPr>
            </w:pPr>
            <w:r>
              <w:rPr>
                <w:rFonts w:eastAsia="Calibri"/>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rFonts w:eastAsia="Calibri"/>
                <w:noProof/>
                <w:sz w:val="18"/>
              </w:rPr>
              <w:t>No</w:t>
            </w:r>
          </w:p>
        </w:tc>
        <w:tc>
          <w:tcPr>
            <w:tcW w:w="720" w:type="dxa"/>
            <w:tcBorders>
              <w:left w:val="dashSmallGap" w:sz="4" w:space="0" w:color="auto"/>
            </w:tcBorders>
            <w:shd w:val="pct10" w:color="auto" w:fill="auto"/>
            <w:vAlign w:val="center"/>
          </w:tcPr>
          <w:p>
            <w:pPr>
              <w:jc w:val="center"/>
              <w:rPr>
                <w:rFonts w:eastAsia="Calibri"/>
                <w:noProof/>
                <w:sz w:val="18"/>
                <w:szCs w:val="18"/>
              </w:rPr>
            </w:pPr>
            <w:r>
              <w:rPr>
                <w:rFonts w:eastAsia="Calibri"/>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rFonts w:eastAsia="Calibri"/>
                <w:noProof/>
                <w:sz w:val="18"/>
              </w:rPr>
              <w:t>No</w:t>
            </w:r>
          </w:p>
        </w:tc>
        <w:tc>
          <w:tcPr>
            <w:tcW w:w="720" w:type="dxa"/>
            <w:tcBorders>
              <w:left w:val="dashSmallGap" w:sz="4" w:space="0" w:color="auto"/>
            </w:tcBorders>
            <w:shd w:val="pct10" w:color="auto" w:fill="auto"/>
            <w:vAlign w:val="center"/>
          </w:tcPr>
          <w:p>
            <w:pPr>
              <w:jc w:val="center"/>
              <w:rPr>
                <w:rFonts w:eastAsia="Calibri"/>
                <w:noProof/>
                <w:sz w:val="18"/>
                <w:szCs w:val="18"/>
              </w:rPr>
            </w:pPr>
            <w:r>
              <w:rPr>
                <w:rFonts w:eastAsia="Calibri"/>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rFonts w:eastAsia="Calibri"/>
                <w:noProof/>
                <w:sz w:val="18"/>
              </w:rPr>
              <w:t>No</w:t>
            </w:r>
          </w:p>
        </w:tc>
        <w:tc>
          <w:tcPr>
            <w:tcW w:w="720" w:type="dxa"/>
            <w:gridSpan w:val="2"/>
            <w:tcBorders>
              <w:left w:val="dashSmallGap" w:sz="4" w:space="0" w:color="auto"/>
            </w:tcBorders>
            <w:shd w:val="pct10" w:color="auto" w:fill="auto"/>
            <w:vAlign w:val="center"/>
          </w:tcPr>
          <w:p>
            <w:pPr>
              <w:jc w:val="center"/>
              <w:rPr>
                <w:rFonts w:eastAsia="Calibri"/>
                <w:noProof/>
                <w:sz w:val="18"/>
                <w:szCs w:val="18"/>
              </w:rPr>
            </w:pPr>
            <w:r>
              <w:rPr>
                <w:rFonts w:eastAsia="Calibri"/>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rFonts w:eastAsia="Calibri"/>
                <w:noProof/>
                <w:sz w:val="18"/>
              </w:rPr>
              <w:t>No</w:t>
            </w:r>
          </w:p>
        </w:tc>
        <w:tc>
          <w:tcPr>
            <w:tcW w:w="648" w:type="dxa"/>
            <w:tcBorders>
              <w:left w:val="dashSmallGap" w:sz="4" w:space="0" w:color="auto"/>
            </w:tcBorders>
            <w:shd w:val="pct10" w:color="auto" w:fill="auto"/>
            <w:vAlign w:val="center"/>
          </w:tcPr>
          <w:p>
            <w:pPr>
              <w:jc w:val="center"/>
              <w:rPr>
                <w:rFonts w:eastAsia="Calibri"/>
                <w:noProof/>
                <w:sz w:val="18"/>
                <w:szCs w:val="18"/>
              </w:rPr>
            </w:pPr>
            <w:r>
              <w:rPr>
                <w:rFonts w:eastAsia="Calibri"/>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rFonts w:eastAsia="Calibri"/>
                <w:noProof/>
                <w:sz w:val="18"/>
              </w:rPr>
              <w:t>No</w:t>
            </w:r>
          </w:p>
        </w:tc>
        <w:tc>
          <w:tcPr>
            <w:tcW w:w="720" w:type="dxa"/>
            <w:tcBorders>
              <w:left w:val="dashSmallGap" w:sz="4" w:space="0" w:color="auto"/>
            </w:tcBorders>
            <w:shd w:val="pct10" w:color="auto" w:fill="auto"/>
            <w:vAlign w:val="center"/>
          </w:tcPr>
          <w:p>
            <w:pPr>
              <w:jc w:val="center"/>
              <w:rPr>
                <w:rFonts w:eastAsia="Calibri"/>
                <w:noProof/>
                <w:sz w:val="18"/>
                <w:szCs w:val="18"/>
              </w:rPr>
            </w:pPr>
            <w:r>
              <w:rPr>
                <w:rFonts w:eastAsia="Calibri"/>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rFonts w:eastAsia="Calibri"/>
                <w:noProof/>
                <w:sz w:val="18"/>
                <w:szCs w:val="18"/>
              </w:rPr>
            </w:pPr>
            <w:r>
              <w:rPr>
                <w:rFonts w:eastAsia="Calibri"/>
                <w:noProof/>
                <w:sz w:val="18"/>
              </w:rPr>
              <w:t>No</w:t>
            </w:r>
          </w:p>
        </w:tc>
        <w:tc>
          <w:tcPr>
            <w:tcW w:w="720" w:type="dxa"/>
            <w:tcBorders>
              <w:left w:val="dashSmallGap" w:sz="4" w:space="0" w:color="auto"/>
            </w:tcBorders>
            <w:shd w:val="pct10" w:color="auto" w:fill="auto"/>
            <w:vAlign w:val="center"/>
          </w:tcPr>
          <w:p>
            <w:pPr>
              <w:jc w:val="center"/>
              <w:rPr>
                <w:rFonts w:eastAsia="Calibri"/>
                <w:noProof/>
                <w:sz w:val="18"/>
                <w:szCs w:val="18"/>
              </w:rPr>
            </w:pPr>
            <w:r>
              <w:rPr>
                <w:rFonts w:eastAsia="Calibri"/>
                <w:noProof/>
                <w:sz w:val="18"/>
              </w:rPr>
              <w:t>Cost</w:t>
            </w:r>
          </w:p>
        </w:tc>
        <w:tc>
          <w:tcPr>
            <w:tcW w:w="720" w:type="dxa"/>
            <w:tcBorders>
              <w:right w:val="dashSmallGap" w:sz="4" w:space="0" w:color="auto"/>
            </w:tcBorders>
            <w:shd w:val="pct10" w:color="auto" w:fill="auto"/>
            <w:vAlign w:val="center"/>
          </w:tcPr>
          <w:p>
            <w:pPr>
              <w:jc w:val="center"/>
              <w:rPr>
                <w:rFonts w:eastAsia="Calibri"/>
                <w:noProof/>
                <w:sz w:val="18"/>
                <w:szCs w:val="18"/>
              </w:rPr>
            </w:pPr>
            <w:r>
              <w:rPr>
                <w:rFonts w:eastAsia="Calibri"/>
                <w:noProof/>
                <w:sz w:val="18"/>
              </w:rPr>
              <w:t>Total No</w:t>
            </w:r>
          </w:p>
        </w:tc>
        <w:tc>
          <w:tcPr>
            <w:tcW w:w="900" w:type="dxa"/>
            <w:tcBorders>
              <w:left w:val="dashSmallGap" w:sz="4" w:space="0" w:color="auto"/>
            </w:tcBorders>
            <w:shd w:val="pct10" w:color="auto" w:fill="auto"/>
            <w:vAlign w:val="center"/>
          </w:tcPr>
          <w:p>
            <w:pPr>
              <w:jc w:val="center"/>
              <w:rPr>
                <w:rFonts w:eastAsia="Calibri"/>
                <w:noProof/>
                <w:sz w:val="18"/>
                <w:szCs w:val="18"/>
              </w:rPr>
            </w:pPr>
            <w:r>
              <w:rPr>
                <w:rFonts w:eastAsia="Calibri"/>
                <w:noProof/>
                <w:sz w:val="18"/>
              </w:rPr>
              <w:t>Total cost</w:t>
            </w:r>
          </w:p>
        </w:tc>
      </w:tr>
      <w:tr>
        <w:trPr>
          <w:jc w:val="center"/>
        </w:trPr>
        <w:tc>
          <w:tcPr>
            <w:tcW w:w="2844" w:type="dxa"/>
            <w:gridSpan w:val="3"/>
            <w:vAlign w:val="center"/>
          </w:tcPr>
          <w:p>
            <w:pPr>
              <w:spacing w:before="60" w:after="60"/>
              <w:ind w:right="-29"/>
              <w:jc w:val="center"/>
              <w:rPr>
                <w:rFonts w:eastAsia="Calibri"/>
                <w:noProof/>
                <w:sz w:val="18"/>
                <w:szCs w:val="18"/>
              </w:rPr>
            </w:pPr>
            <w:r>
              <w:rPr>
                <w:rFonts w:eastAsia="Calibri"/>
                <w:noProof/>
                <w:sz w:val="18"/>
              </w:rPr>
              <w:t>SPECIFIC OBJECTIVE No 1</w:t>
            </w:r>
            <w:r>
              <w:rPr>
                <w:rStyle w:val="FootnoteReference"/>
                <w:rFonts w:eastAsia="Calibri"/>
                <w:noProof/>
                <w:sz w:val="18"/>
              </w:rPr>
              <w:footnoteReference w:id="11"/>
            </w:r>
            <w:r>
              <w:rPr>
                <w:rFonts w:eastAsia="Calibri"/>
                <w:noProof/>
                <w:sz w:val="18"/>
              </w:rPr>
              <w:t>…</w:t>
            </w:r>
          </w:p>
        </w:tc>
        <w:tc>
          <w:tcPr>
            <w:tcW w:w="504"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c>
          <w:tcPr>
            <w:tcW w:w="720" w:type="dxa"/>
            <w:gridSpan w:val="2"/>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648" w:type="dxa"/>
            <w:tcBorders>
              <w:top w:val="nil"/>
              <w:left w:val="nil"/>
              <w:bottom w:val="nil"/>
              <w:right w:val="nil"/>
            </w:tcBorders>
          </w:tcPr>
          <w:p>
            <w:pPr>
              <w:spacing w:before="60" w:after="60"/>
              <w:ind w:right="-29"/>
              <w:jc w:val="center"/>
              <w:rPr>
                <w:rFonts w:eastAsia="Calibri"/>
                <w:noProof/>
                <w:sz w:val="18"/>
                <w:szCs w:val="18"/>
              </w:rPr>
            </w:pPr>
          </w:p>
        </w:tc>
        <w:tc>
          <w:tcPr>
            <w:tcW w:w="432"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rFonts w:eastAsia="Calibri"/>
                <w:noProof/>
                <w:sz w:val="18"/>
              </w:rPr>
              <w:t>- Output</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900" w:type="dxa"/>
            <w:tcBorders>
              <w:right w:val="dashSmallGap" w:sz="4" w:space="0" w:color="auto"/>
            </w:tcBorders>
          </w:tcPr>
          <w:p>
            <w:pPr>
              <w:ind w:right="-29"/>
              <w:jc w:val="center"/>
              <w:rPr>
                <w:rFonts w:eastAsia="Calibri"/>
                <w:noProof/>
                <w:sz w:val="18"/>
                <w:szCs w:val="18"/>
              </w:rPr>
            </w:pPr>
          </w:p>
        </w:tc>
        <w:tc>
          <w:tcPr>
            <w:tcW w:w="720" w:type="dxa"/>
            <w:gridSpan w:val="2"/>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648" w:type="dxa"/>
            <w:tcBorders>
              <w:left w:val="dashSmallGap" w:sz="4" w:space="0" w:color="auto"/>
            </w:tcBorders>
          </w:tcPr>
          <w:p>
            <w:pPr>
              <w:ind w:right="-29"/>
              <w:jc w:val="center"/>
              <w:rPr>
                <w:rFonts w:eastAsia="Calibri"/>
                <w:noProof/>
                <w:sz w:val="18"/>
                <w:szCs w:val="18"/>
              </w:rPr>
            </w:pPr>
          </w:p>
        </w:tc>
        <w:tc>
          <w:tcPr>
            <w:tcW w:w="432"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rFonts w:eastAsia="Calibri"/>
                <w:noProof/>
                <w:sz w:val="18"/>
              </w:rPr>
              <w:t>- Output</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900" w:type="dxa"/>
            <w:tcBorders>
              <w:right w:val="dashSmallGap" w:sz="4" w:space="0" w:color="auto"/>
            </w:tcBorders>
          </w:tcPr>
          <w:p>
            <w:pPr>
              <w:ind w:right="-29"/>
              <w:jc w:val="center"/>
              <w:rPr>
                <w:rFonts w:eastAsia="Calibri"/>
                <w:noProof/>
                <w:sz w:val="18"/>
                <w:szCs w:val="18"/>
              </w:rPr>
            </w:pPr>
          </w:p>
        </w:tc>
        <w:tc>
          <w:tcPr>
            <w:tcW w:w="720" w:type="dxa"/>
            <w:gridSpan w:val="2"/>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648" w:type="dxa"/>
            <w:tcBorders>
              <w:left w:val="dashSmallGap" w:sz="4" w:space="0" w:color="auto"/>
            </w:tcBorders>
          </w:tcPr>
          <w:p>
            <w:pPr>
              <w:ind w:right="-29"/>
              <w:jc w:val="center"/>
              <w:rPr>
                <w:rFonts w:eastAsia="Calibri"/>
                <w:noProof/>
                <w:sz w:val="18"/>
                <w:szCs w:val="18"/>
              </w:rPr>
            </w:pPr>
          </w:p>
        </w:tc>
        <w:tc>
          <w:tcPr>
            <w:tcW w:w="432"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540" w:type="dxa"/>
            <w:tcBorders>
              <w:right w:val="dashSmallGap" w:sz="4" w:space="0" w:color="auto"/>
            </w:tcBorders>
          </w:tcPr>
          <w:p>
            <w:pPr>
              <w:ind w:right="-29"/>
              <w:jc w:val="center"/>
              <w:rPr>
                <w:rFonts w:eastAsia="Calibri"/>
                <w:noProof/>
                <w:sz w:val="18"/>
                <w:szCs w:val="18"/>
              </w:rPr>
            </w:pPr>
          </w:p>
        </w:tc>
        <w:tc>
          <w:tcPr>
            <w:tcW w:w="720" w:type="dxa"/>
            <w:tcBorders>
              <w:left w:val="dashSmallGap" w:sz="4" w:space="0" w:color="auto"/>
            </w:tcBorders>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rFonts w:eastAsia="Calibri"/>
                <w:noProof/>
                <w:sz w:val="18"/>
              </w:rPr>
              <w:t>- Output</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c>
          <w:tcPr>
            <w:tcW w:w="720" w:type="dxa"/>
            <w:gridSpan w:val="2"/>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648" w:type="dxa"/>
          </w:tcPr>
          <w:p>
            <w:pPr>
              <w:ind w:right="-29"/>
              <w:jc w:val="center"/>
              <w:rPr>
                <w:rFonts w:eastAsia="Calibri"/>
                <w:noProof/>
                <w:sz w:val="18"/>
                <w:szCs w:val="18"/>
              </w:rPr>
            </w:pPr>
          </w:p>
        </w:tc>
        <w:tc>
          <w:tcPr>
            <w:tcW w:w="432"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rFonts w:eastAsia="Calibri"/>
                <w:noProof/>
                <w:sz w:val="18"/>
                <w:szCs w:val="18"/>
              </w:rPr>
            </w:pPr>
            <w:r>
              <w:rPr>
                <w:rFonts w:eastAsia="Calibri"/>
                <w:noProof/>
                <w:sz w:val="18"/>
              </w:rPr>
              <w:t>Subtotal for specific objective No 1</w:t>
            </w:r>
          </w:p>
        </w:tc>
        <w:tc>
          <w:tcPr>
            <w:tcW w:w="504"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00" w:type="dxa"/>
            <w:tcBorders>
              <w:bottom w:val="single" w:sz="12" w:space="0" w:color="auto"/>
            </w:tcBorders>
          </w:tcPr>
          <w:p>
            <w:pPr>
              <w:ind w:right="-29"/>
              <w:jc w:val="center"/>
              <w:rPr>
                <w:rFonts w:eastAsia="Calibri"/>
                <w:noProof/>
                <w:sz w:val="18"/>
                <w:szCs w:val="18"/>
              </w:rPr>
            </w:pPr>
          </w:p>
        </w:tc>
        <w:tc>
          <w:tcPr>
            <w:tcW w:w="720" w:type="dxa"/>
            <w:gridSpan w:val="2"/>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648" w:type="dxa"/>
            <w:tcBorders>
              <w:bottom w:val="single" w:sz="12" w:space="0" w:color="auto"/>
            </w:tcBorders>
          </w:tcPr>
          <w:p>
            <w:pPr>
              <w:ind w:right="-29"/>
              <w:jc w:val="center"/>
              <w:rPr>
                <w:rFonts w:eastAsia="Calibri"/>
                <w:noProof/>
                <w:sz w:val="18"/>
                <w:szCs w:val="18"/>
              </w:rPr>
            </w:pPr>
          </w:p>
        </w:tc>
        <w:tc>
          <w:tcPr>
            <w:tcW w:w="432"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00" w:type="dxa"/>
            <w:tcBorders>
              <w:bottom w:val="single" w:sz="12" w:space="0" w:color="auto"/>
            </w:tcBorders>
          </w:tcPr>
          <w:p>
            <w:pPr>
              <w:ind w:right="-29"/>
              <w:jc w:val="center"/>
              <w:rPr>
                <w:rFonts w:eastAsia="Calibri"/>
                <w:noProof/>
                <w:sz w:val="18"/>
                <w:szCs w:val="18"/>
              </w:rPr>
            </w:pPr>
          </w:p>
        </w:tc>
      </w:tr>
      <w:tr>
        <w:trPr>
          <w:jc w:val="center"/>
        </w:trPr>
        <w:tc>
          <w:tcPr>
            <w:tcW w:w="2844" w:type="dxa"/>
            <w:gridSpan w:val="3"/>
            <w:vAlign w:val="center"/>
          </w:tcPr>
          <w:p>
            <w:pPr>
              <w:spacing w:before="60" w:after="60"/>
              <w:ind w:right="-29"/>
              <w:jc w:val="center"/>
              <w:rPr>
                <w:rFonts w:eastAsia="Calibri"/>
                <w:noProof/>
                <w:sz w:val="18"/>
                <w:szCs w:val="18"/>
              </w:rPr>
            </w:pPr>
            <w:r>
              <w:rPr>
                <w:rFonts w:eastAsia="Calibri"/>
                <w:noProof/>
                <w:sz w:val="18"/>
              </w:rPr>
              <w:t>SPECIFIC OBJECTIVE No 2 ...</w:t>
            </w:r>
          </w:p>
        </w:tc>
        <w:tc>
          <w:tcPr>
            <w:tcW w:w="504"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c>
          <w:tcPr>
            <w:tcW w:w="720" w:type="dxa"/>
            <w:gridSpan w:val="2"/>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648" w:type="dxa"/>
            <w:tcBorders>
              <w:top w:val="nil"/>
              <w:left w:val="nil"/>
              <w:bottom w:val="nil"/>
              <w:right w:val="nil"/>
            </w:tcBorders>
          </w:tcPr>
          <w:p>
            <w:pPr>
              <w:spacing w:before="60" w:after="60"/>
              <w:ind w:right="-29"/>
              <w:jc w:val="center"/>
              <w:rPr>
                <w:rFonts w:eastAsia="Calibri"/>
                <w:noProof/>
                <w:sz w:val="18"/>
                <w:szCs w:val="18"/>
              </w:rPr>
            </w:pPr>
          </w:p>
        </w:tc>
        <w:tc>
          <w:tcPr>
            <w:tcW w:w="432"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54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720" w:type="dxa"/>
            <w:tcBorders>
              <w:top w:val="nil"/>
              <w:left w:val="nil"/>
              <w:bottom w:val="nil"/>
              <w:right w:val="nil"/>
            </w:tcBorders>
          </w:tcPr>
          <w:p>
            <w:pPr>
              <w:spacing w:before="60" w:after="60"/>
              <w:ind w:right="-29"/>
              <w:jc w:val="center"/>
              <w:rPr>
                <w:rFonts w:eastAsia="Calibri"/>
                <w:noProof/>
                <w:sz w:val="18"/>
                <w:szCs w:val="18"/>
              </w:rPr>
            </w:pPr>
          </w:p>
        </w:tc>
        <w:tc>
          <w:tcPr>
            <w:tcW w:w="900" w:type="dxa"/>
            <w:tcBorders>
              <w:top w:val="nil"/>
              <w:left w:val="nil"/>
              <w:bottom w:val="nil"/>
              <w:right w:val="nil"/>
            </w:tcBorders>
          </w:tcPr>
          <w:p>
            <w:pPr>
              <w:spacing w:before="60" w:after="60"/>
              <w:ind w:right="-29"/>
              <w:jc w:val="center"/>
              <w:rPr>
                <w:rFonts w:eastAsia="Calibri"/>
                <w:noProof/>
                <w:sz w:val="18"/>
                <w:szCs w:val="18"/>
              </w:rPr>
            </w:pPr>
          </w:p>
        </w:tc>
      </w:tr>
      <w:tr>
        <w:trPr>
          <w:trHeight w:hRule="exact" w:val="369"/>
          <w:jc w:val="center"/>
        </w:trPr>
        <w:tc>
          <w:tcPr>
            <w:tcW w:w="1423" w:type="dxa"/>
          </w:tcPr>
          <w:p>
            <w:pPr>
              <w:ind w:right="-29"/>
              <w:jc w:val="center"/>
              <w:rPr>
                <w:rFonts w:eastAsia="Calibri"/>
                <w:noProof/>
                <w:sz w:val="18"/>
                <w:szCs w:val="18"/>
              </w:rPr>
            </w:pPr>
            <w:r>
              <w:rPr>
                <w:rFonts w:eastAsia="Calibri"/>
                <w:noProof/>
                <w:sz w:val="18"/>
              </w:rPr>
              <w:t>- Output</w:t>
            </w:r>
          </w:p>
        </w:tc>
        <w:tc>
          <w:tcPr>
            <w:tcW w:w="720" w:type="dxa"/>
          </w:tcPr>
          <w:p>
            <w:pPr>
              <w:ind w:right="-29"/>
              <w:jc w:val="center"/>
              <w:rPr>
                <w:rFonts w:eastAsia="Calibri"/>
                <w:noProof/>
                <w:sz w:val="18"/>
                <w:szCs w:val="18"/>
              </w:rPr>
            </w:pPr>
          </w:p>
        </w:tc>
        <w:tc>
          <w:tcPr>
            <w:tcW w:w="701" w:type="dxa"/>
          </w:tcPr>
          <w:p>
            <w:pPr>
              <w:ind w:right="-29"/>
              <w:jc w:val="center"/>
              <w:rPr>
                <w:rFonts w:eastAsia="Calibri"/>
                <w:noProof/>
                <w:sz w:val="18"/>
                <w:szCs w:val="18"/>
              </w:rPr>
            </w:pPr>
          </w:p>
        </w:tc>
        <w:tc>
          <w:tcPr>
            <w:tcW w:w="504"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c>
          <w:tcPr>
            <w:tcW w:w="720" w:type="dxa"/>
            <w:gridSpan w:val="2"/>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648" w:type="dxa"/>
          </w:tcPr>
          <w:p>
            <w:pPr>
              <w:ind w:right="-29"/>
              <w:jc w:val="center"/>
              <w:rPr>
                <w:rFonts w:eastAsia="Calibri"/>
                <w:noProof/>
                <w:sz w:val="18"/>
                <w:szCs w:val="18"/>
              </w:rPr>
            </w:pPr>
          </w:p>
        </w:tc>
        <w:tc>
          <w:tcPr>
            <w:tcW w:w="432"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54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720" w:type="dxa"/>
          </w:tcPr>
          <w:p>
            <w:pPr>
              <w:ind w:right="-29"/>
              <w:jc w:val="center"/>
              <w:rPr>
                <w:rFonts w:eastAsia="Calibri"/>
                <w:noProof/>
                <w:sz w:val="18"/>
                <w:szCs w:val="18"/>
              </w:rPr>
            </w:pPr>
          </w:p>
        </w:tc>
        <w:tc>
          <w:tcPr>
            <w:tcW w:w="900" w:type="dxa"/>
          </w:tcPr>
          <w:p>
            <w:pPr>
              <w:ind w:right="-29"/>
              <w:jc w:val="center"/>
              <w:rPr>
                <w:rFonts w:eastAsia="Calibri"/>
                <w:noProof/>
                <w:sz w:val="18"/>
                <w:szCs w:val="18"/>
              </w:rPr>
            </w:pPr>
          </w:p>
        </w:tc>
      </w:tr>
      <w:tr>
        <w:trPr>
          <w:jc w:val="center"/>
        </w:trPr>
        <w:tc>
          <w:tcPr>
            <w:tcW w:w="2844" w:type="dxa"/>
            <w:gridSpan w:val="3"/>
            <w:tcBorders>
              <w:bottom w:val="single" w:sz="12" w:space="0" w:color="auto"/>
            </w:tcBorders>
            <w:vAlign w:val="center"/>
          </w:tcPr>
          <w:p>
            <w:pPr>
              <w:jc w:val="center"/>
              <w:rPr>
                <w:rFonts w:eastAsia="Calibri"/>
                <w:noProof/>
                <w:sz w:val="18"/>
                <w:szCs w:val="18"/>
              </w:rPr>
            </w:pPr>
            <w:r>
              <w:rPr>
                <w:rFonts w:eastAsia="Calibri"/>
                <w:noProof/>
                <w:sz w:val="18"/>
              </w:rPr>
              <w:t>Subtotal for specific objective No 2</w:t>
            </w:r>
          </w:p>
        </w:tc>
        <w:tc>
          <w:tcPr>
            <w:tcW w:w="504"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51" w:type="dxa"/>
            <w:gridSpan w:val="2"/>
            <w:tcBorders>
              <w:bottom w:val="single" w:sz="12" w:space="0" w:color="auto"/>
            </w:tcBorders>
          </w:tcPr>
          <w:p>
            <w:pPr>
              <w:ind w:right="-29"/>
              <w:jc w:val="center"/>
              <w:rPr>
                <w:rFonts w:eastAsia="Calibri"/>
                <w:noProof/>
                <w:sz w:val="18"/>
                <w:szCs w:val="18"/>
              </w:rPr>
            </w:pPr>
          </w:p>
        </w:tc>
        <w:tc>
          <w:tcPr>
            <w:tcW w:w="669"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648" w:type="dxa"/>
            <w:tcBorders>
              <w:bottom w:val="single" w:sz="12" w:space="0" w:color="auto"/>
            </w:tcBorders>
          </w:tcPr>
          <w:p>
            <w:pPr>
              <w:ind w:right="-29"/>
              <w:jc w:val="center"/>
              <w:rPr>
                <w:rFonts w:eastAsia="Calibri"/>
                <w:noProof/>
                <w:sz w:val="18"/>
                <w:szCs w:val="18"/>
              </w:rPr>
            </w:pPr>
          </w:p>
        </w:tc>
        <w:tc>
          <w:tcPr>
            <w:tcW w:w="432"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54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720" w:type="dxa"/>
            <w:tcBorders>
              <w:bottom w:val="single" w:sz="12" w:space="0" w:color="auto"/>
            </w:tcBorders>
          </w:tcPr>
          <w:p>
            <w:pPr>
              <w:ind w:right="-29"/>
              <w:jc w:val="center"/>
              <w:rPr>
                <w:rFonts w:eastAsia="Calibri"/>
                <w:noProof/>
                <w:sz w:val="18"/>
                <w:szCs w:val="18"/>
              </w:rPr>
            </w:pPr>
          </w:p>
        </w:tc>
        <w:tc>
          <w:tcPr>
            <w:tcW w:w="900" w:type="dxa"/>
            <w:tcBorders>
              <w:bottom w:val="single" w:sz="12" w:space="0" w:color="auto"/>
            </w:tcBorders>
          </w:tcPr>
          <w:p>
            <w:pPr>
              <w:ind w:right="-29"/>
              <w:jc w:val="center"/>
              <w:rPr>
                <w:rFonts w:eastAsia="Calibri"/>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rFonts w:eastAsia="Calibri"/>
                <w:noProof/>
                <w:sz w:val="18"/>
                <w:szCs w:val="18"/>
              </w:rPr>
            </w:pPr>
            <w:r>
              <w:rPr>
                <w:rFonts w:eastAsia="Calibri"/>
                <w:b/>
                <w:noProof/>
                <w:sz w:val="18"/>
              </w:rPr>
              <w:t>TOTALS</w:t>
            </w:r>
          </w:p>
        </w:tc>
        <w:tc>
          <w:tcPr>
            <w:tcW w:w="504"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90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rFonts w:eastAsia="Calibri"/>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648"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432"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54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720" w:type="dxa"/>
            <w:tcBorders>
              <w:top w:val="single" w:sz="12" w:space="0" w:color="auto"/>
              <w:bottom w:val="single" w:sz="12" w:space="0" w:color="auto"/>
            </w:tcBorders>
          </w:tcPr>
          <w:p>
            <w:pPr>
              <w:spacing w:before="180" w:after="180"/>
              <w:ind w:right="-29"/>
              <w:jc w:val="center"/>
              <w:rPr>
                <w:rFonts w:eastAsia="Calibri"/>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rFonts w:eastAsia="Calibri"/>
                <w:noProof/>
                <w:sz w:val="18"/>
                <w:szCs w:val="18"/>
              </w:rPr>
            </w:pPr>
          </w:p>
        </w:tc>
      </w:tr>
    </w:tbl>
    <w:p>
      <w:pPr>
        <w:rPr>
          <w:rFonts w:eastAsia="Calibri"/>
          <w:noProof/>
        </w:rPr>
        <w:sectPr>
          <w:headerReference w:type="default" r:id="rId14"/>
          <w:footerReference w:type="default" r:id="rId15"/>
          <w:headerReference w:type="first" r:id="rId16"/>
          <w:footerReference w:type="first" r:id="rId17"/>
          <w:pgSz w:w="16840" w:h="11907" w:orient="landscape" w:code="9"/>
          <w:pgMar w:top="1134" w:right="1418" w:bottom="567" w:left="1418" w:header="709" w:footer="709" w:gutter="0"/>
          <w:cols w:space="708"/>
          <w:docGrid w:linePitch="360"/>
        </w:sectPr>
      </w:pPr>
    </w:p>
    <w:p>
      <w:pPr>
        <w:keepNext/>
        <w:tabs>
          <w:tab w:val="left" w:pos="850"/>
        </w:tabs>
        <w:ind w:left="850" w:hanging="850"/>
        <w:outlineLvl w:val="2"/>
        <w:rPr>
          <w:rFonts w:eastAsia="Calibri"/>
          <w:bCs/>
          <w:i/>
          <w:noProof/>
          <w:szCs w:val="24"/>
        </w:rPr>
      </w:pPr>
      <w:bookmarkStart w:id="48" w:name="_Toc514938055"/>
      <w:bookmarkStart w:id="49" w:name="_Toc520485054"/>
      <w:r>
        <w:rPr>
          <w:rFonts w:eastAsia="Calibri"/>
          <w:i/>
          <w:noProof/>
        </w:rPr>
        <w:t>3.2.3.</w:t>
      </w:r>
      <w:r>
        <w:rPr>
          <w:rFonts w:eastAsia="Calibri"/>
          <w:i/>
          <w:noProof/>
        </w:rPr>
        <w:tab/>
        <w:t>Summary of estimated impact on administrative appropriations</w:t>
      </w:r>
      <w:bookmarkEnd w:id="48"/>
      <w:bookmarkEnd w:id="49"/>
      <w:r>
        <w:rPr>
          <w:rFonts w:eastAsia="Calibri"/>
          <w:i/>
          <w:noProof/>
        </w:rPr>
        <w:t xml:space="preserve"> </w:t>
      </w:r>
    </w:p>
    <w:p>
      <w:pPr>
        <w:pStyle w:val="Text1"/>
        <w:rPr>
          <w:noProof/>
          <w:lang w:eastAsia="en-GB"/>
        </w:rPr>
      </w:pPr>
      <w:r>
        <w:rPr>
          <w:noProof/>
          <w:lang w:eastAsia="en-GB"/>
        </w:rPr>
        <w:t xml:space="preserve">- </w:t>
      </w:r>
      <w:r>
        <w:rPr>
          <w:noProof/>
          <w:lang w:eastAsia="en-GB"/>
        </w:rPr>
        <w:sym w:font="Wingdings" w:char="F078"/>
      </w:r>
      <w:r>
        <w:rPr>
          <w:noProof/>
          <w:lang w:eastAsia="en-GB"/>
        </w:rPr>
        <w:tab/>
        <w:t xml:space="preserve">The proposal does not require the use of appropriations of an administrative nature </w:t>
      </w:r>
    </w:p>
    <w:p>
      <w:pPr>
        <w:pStyle w:val="Text1"/>
        <w:rPr>
          <w:noProof/>
          <w:lang w:eastAsia="en-GB"/>
        </w:rPr>
      </w:pPr>
      <w:r>
        <w:rPr>
          <w:noProof/>
          <w:lang w:eastAsia="en-GB"/>
        </w:rPr>
        <w:t>- 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Text1"/>
        <w:rPr>
          <w:noProof/>
          <w:lang w:eastAsia="en-GB"/>
        </w:rPr>
      </w:pPr>
      <w:r>
        <w:rPr>
          <w:noProof/>
          <w:lang w:eastAsia="en-GB"/>
        </w:rPr>
        <w:t xml:space="preserve">- </w:t>
      </w:r>
      <w:r>
        <w:rPr>
          <w:noProof/>
          <w:lang w:eastAsia="en-GB"/>
        </w:rPr>
        <w:sym w:font="Wingdings" w:char="F0A8"/>
      </w:r>
      <w:r>
        <w:rPr>
          <w:noProof/>
          <w:lang w:eastAsia="en-GB"/>
        </w:rPr>
        <w:tab/>
        <w:t>The proposal/initiative requires the use of appropriations of an administrative nature, as explained below:</w:t>
      </w:r>
    </w:p>
    <w:p>
      <w:pPr>
        <w:jc w:val="right"/>
        <w:rPr>
          <w:rFonts w:eastAsia="Calibri"/>
          <w:noProof/>
          <w:sz w:val="20"/>
        </w:rPr>
      </w:pPr>
      <w:r>
        <w:rPr>
          <w:rFonts w:eastAsia="Calibri"/>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rFonts w:eastAsia="Calibri"/>
                <w:noProof/>
                <w:sz w:val="16"/>
                <w:szCs w:val="16"/>
              </w:rPr>
            </w:pPr>
          </w:p>
        </w:tc>
        <w:tc>
          <w:tcPr>
            <w:tcW w:w="1080" w:type="dxa"/>
            <w:vAlign w:val="center"/>
          </w:tcPr>
          <w:p>
            <w:pPr>
              <w:spacing w:before="60" w:after="60" w:line="200" w:lineRule="exact"/>
              <w:jc w:val="center"/>
              <w:rPr>
                <w:rFonts w:eastAsia="Calibri"/>
                <w:noProof/>
                <w:sz w:val="16"/>
                <w:szCs w:val="16"/>
              </w:rPr>
            </w:pPr>
            <w:r>
              <w:rPr>
                <w:rFonts w:eastAsia="Calibri"/>
                <w:noProof/>
                <w:sz w:val="16"/>
              </w:rPr>
              <w:t>Year</w:t>
            </w:r>
            <w:r>
              <w:rPr>
                <w:rFonts w:eastAsia="Calibri"/>
                <w:noProof/>
                <w:sz w:val="22"/>
              </w:rPr>
              <w:br/>
            </w:r>
            <w:r>
              <w:rPr>
                <w:rFonts w:eastAsia="Calibri"/>
                <w:b/>
                <w:noProof/>
                <w:sz w:val="16"/>
              </w:rPr>
              <w:t xml:space="preserve">N </w:t>
            </w:r>
            <w:r>
              <w:rPr>
                <w:rStyle w:val="FootnoteReference"/>
                <w:rFonts w:eastAsia="Calibri"/>
                <w:b/>
                <w:noProof/>
                <w:sz w:val="16"/>
              </w:rPr>
              <w:footnoteReference w:id="12"/>
            </w:r>
          </w:p>
        </w:tc>
        <w:tc>
          <w:tcPr>
            <w:tcW w:w="1080" w:type="dxa"/>
            <w:vAlign w:val="center"/>
          </w:tcPr>
          <w:p>
            <w:pPr>
              <w:spacing w:before="60" w:after="60" w:line="200" w:lineRule="exact"/>
              <w:jc w:val="center"/>
              <w:rPr>
                <w:rFonts w:eastAsia="Calibri"/>
                <w:noProof/>
                <w:sz w:val="16"/>
                <w:szCs w:val="16"/>
              </w:rPr>
            </w:pPr>
            <w:r>
              <w:rPr>
                <w:rFonts w:eastAsia="Calibri"/>
                <w:noProof/>
                <w:sz w:val="16"/>
              </w:rPr>
              <w:t>Year</w:t>
            </w:r>
            <w:r>
              <w:rPr>
                <w:rFonts w:eastAsia="Calibri"/>
                <w:noProof/>
                <w:sz w:val="22"/>
              </w:rPr>
              <w:br/>
            </w:r>
            <w:r>
              <w:rPr>
                <w:rFonts w:eastAsia="Calibri"/>
                <w:b/>
                <w:noProof/>
                <w:sz w:val="16"/>
              </w:rPr>
              <w:t>N+1</w:t>
            </w:r>
          </w:p>
        </w:tc>
        <w:tc>
          <w:tcPr>
            <w:tcW w:w="1080" w:type="dxa"/>
            <w:vAlign w:val="center"/>
          </w:tcPr>
          <w:p>
            <w:pPr>
              <w:spacing w:before="60" w:after="60" w:line="200" w:lineRule="exact"/>
              <w:jc w:val="center"/>
              <w:rPr>
                <w:rFonts w:eastAsia="Calibri"/>
                <w:noProof/>
                <w:sz w:val="16"/>
                <w:szCs w:val="16"/>
              </w:rPr>
            </w:pPr>
            <w:r>
              <w:rPr>
                <w:rFonts w:eastAsia="Calibri"/>
                <w:noProof/>
                <w:sz w:val="16"/>
              </w:rPr>
              <w:t>Year</w:t>
            </w:r>
            <w:r>
              <w:rPr>
                <w:rFonts w:eastAsia="Calibri"/>
                <w:noProof/>
                <w:sz w:val="22"/>
              </w:rPr>
              <w:br/>
            </w:r>
            <w:r>
              <w:rPr>
                <w:rFonts w:eastAsia="Calibri"/>
                <w:b/>
                <w:noProof/>
                <w:sz w:val="16"/>
              </w:rPr>
              <w:t>N+2</w:t>
            </w:r>
          </w:p>
        </w:tc>
        <w:tc>
          <w:tcPr>
            <w:tcW w:w="1080" w:type="dxa"/>
            <w:vAlign w:val="center"/>
          </w:tcPr>
          <w:p>
            <w:pPr>
              <w:spacing w:before="60" w:after="60" w:line="200" w:lineRule="exact"/>
              <w:jc w:val="center"/>
              <w:rPr>
                <w:rFonts w:eastAsia="Calibri"/>
                <w:noProof/>
                <w:sz w:val="16"/>
                <w:szCs w:val="16"/>
              </w:rPr>
            </w:pPr>
            <w:r>
              <w:rPr>
                <w:rFonts w:eastAsia="Calibri"/>
                <w:noProof/>
                <w:sz w:val="16"/>
              </w:rPr>
              <w:t>Year</w:t>
            </w:r>
            <w:r>
              <w:rPr>
                <w:rFonts w:eastAsia="Calibri"/>
                <w:noProof/>
                <w:sz w:val="22"/>
              </w:rPr>
              <w:br/>
            </w:r>
            <w:r>
              <w:rPr>
                <w:rFonts w:eastAsia="Calibri"/>
                <w:b/>
                <w:noProof/>
                <w:sz w:val="16"/>
              </w:rPr>
              <w:t>N+3</w:t>
            </w:r>
          </w:p>
        </w:tc>
        <w:tc>
          <w:tcPr>
            <w:tcW w:w="3240" w:type="dxa"/>
            <w:vAlign w:val="center"/>
          </w:tcPr>
          <w:p>
            <w:pPr>
              <w:spacing w:line="200" w:lineRule="exact"/>
              <w:jc w:val="center"/>
              <w:rPr>
                <w:rFonts w:eastAsia="Calibri"/>
                <w:b/>
                <w:noProof/>
                <w:sz w:val="16"/>
                <w:szCs w:val="16"/>
              </w:rPr>
            </w:pPr>
            <w:r>
              <w:rPr>
                <w:rFonts w:eastAsia="Calibri"/>
                <w:noProof/>
                <w:sz w:val="16"/>
              </w:rPr>
              <w:t>Enter as many years as necessary to show the duration of the impact (see point 1.6)</w:t>
            </w:r>
          </w:p>
        </w:tc>
        <w:tc>
          <w:tcPr>
            <w:tcW w:w="1080" w:type="dxa"/>
            <w:vAlign w:val="center"/>
          </w:tcPr>
          <w:p>
            <w:pPr>
              <w:spacing w:before="60" w:after="60" w:line="200" w:lineRule="exact"/>
              <w:jc w:val="center"/>
              <w:rPr>
                <w:rFonts w:eastAsia="Calibri"/>
                <w:b/>
                <w:noProof/>
                <w:sz w:val="16"/>
                <w:szCs w:val="16"/>
              </w:rPr>
            </w:pPr>
            <w:r>
              <w:rPr>
                <w:rFonts w:eastAsia="Calibri"/>
                <w:b/>
                <w:noProof/>
                <w:sz w:val="16"/>
              </w:rPr>
              <w:t>TOTAL</w:t>
            </w: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rFonts w:eastAsia="Calibri"/>
                <w:b/>
                <w:noProof/>
                <w:sz w:val="16"/>
              </w:rPr>
              <w:t>HEADING 5</w:t>
            </w:r>
            <w:r>
              <w:rPr>
                <w:rFonts w:eastAsia="Calibri"/>
                <w:noProof/>
                <w:sz w:val="22"/>
              </w:rPr>
              <w:br/>
            </w:r>
            <w:r>
              <w:rPr>
                <w:rFonts w:eastAsia="Calibri"/>
                <w:b/>
                <w:noProof/>
                <w:sz w:val="16"/>
              </w:rPr>
              <w:t>of the multiannual financial framework</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rFonts w:eastAsia="Calibri"/>
                <w:noProof/>
                <w:sz w:val="16"/>
              </w:rPr>
              <w:t xml:space="preserve">Human resources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rFonts w:eastAsia="Calibri"/>
                <w:noProof/>
                <w:sz w:val="16"/>
              </w:rPr>
              <w:t xml:space="preserve">Other administrative expenditure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rFonts w:eastAsia="Calibri"/>
                <w:b/>
                <w:noProof/>
                <w:sz w:val="16"/>
              </w:rPr>
              <w:t>Subtotal HEADING 5</w:t>
            </w:r>
            <w:r>
              <w:rPr>
                <w:rFonts w:eastAsia="Calibri"/>
                <w:noProof/>
                <w:sz w:val="22"/>
              </w:rPr>
              <w:br/>
            </w:r>
            <w:r>
              <w:rPr>
                <w:rFonts w:eastAsia="Calibri"/>
                <w:b/>
                <w:noProof/>
                <w:sz w:val="16"/>
              </w:rPr>
              <w:t xml:space="preserve">of the multiannual financial framework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bl>
    <w:p>
      <w:pPr>
        <w:spacing w:line="200" w:lineRule="exact"/>
        <w:rPr>
          <w:rFonts w:eastAsia="Calibri"/>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Calibri"/>
                <w:noProof/>
                <w:sz w:val="16"/>
                <w:szCs w:val="16"/>
              </w:rPr>
            </w:pPr>
            <w:r>
              <w:rPr>
                <w:rFonts w:eastAsia="Calibri"/>
                <w:b/>
                <w:noProof/>
                <w:sz w:val="16"/>
              </w:rPr>
              <w:t>Outside HEADING 5</w:t>
            </w:r>
            <w:r>
              <w:rPr>
                <w:rStyle w:val="FootnoteReference"/>
                <w:rFonts w:eastAsia="Calibri"/>
                <w:b/>
                <w:noProof/>
                <w:sz w:val="16"/>
              </w:rPr>
              <w:footnoteReference w:id="13"/>
            </w:r>
            <w:r>
              <w:rPr>
                <w:rFonts w:eastAsia="Calibri"/>
                <w:noProof/>
                <w:sz w:val="22"/>
              </w:rPr>
              <w:br/>
            </w:r>
            <w:r>
              <w:rPr>
                <w:rFonts w:eastAsia="Calibri"/>
                <w:b/>
                <w:noProof/>
                <w:sz w:val="16"/>
              </w:rPr>
              <w:t xml:space="preserve">of the multiannual financial framework </w:t>
            </w:r>
          </w:p>
          <w:p>
            <w:pPr>
              <w:spacing w:before="0" w:after="0" w:line="200" w:lineRule="exact"/>
              <w:jc w:val="center"/>
              <w:rPr>
                <w:rFonts w:eastAsia="Calibri"/>
                <w:b/>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rFonts w:eastAsia="Calibri"/>
                <w:noProof/>
                <w:sz w:val="16"/>
              </w:rPr>
              <w:t xml:space="preserve">Human resources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vAlign w:val="center"/>
          </w:tcPr>
          <w:p>
            <w:pPr>
              <w:spacing w:before="60" w:after="60" w:line="200" w:lineRule="exact"/>
              <w:ind w:left="72"/>
              <w:jc w:val="left"/>
              <w:rPr>
                <w:rFonts w:eastAsia="Calibri"/>
                <w:noProof/>
                <w:sz w:val="16"/>
                <w:szCs w:val="16"/>
              </w:rPr>
            </w:pPr>
            <w:r>
              <w:rPr>
                <w:rFonts w:eastAsia="Calibri"/>
                <w:noProof/>
                <w:sz w:val="16"/>
              </w:rPr>
              <w:t xml:space="preserve">Other expenditure </w:t>
            </w:r>
            <w:r>
              <w:rPr>
                <w:rFonts w:eastAsia="Calibri"/>
                <w:noProof/>
                <w:sz w:val="22"/>
              </w:rPr>
              <w:br/>
            </w:r>
            <w:r>
              <w:rPr>
                <w:rFonts w:eastAsia="Calibri"/>
                <w:noProof/>
                <w:sz w:val="16"/>
              </w:rPr>
              <w:t>of an administrative nature</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Calibri"/>
                <w:b/>
                <w:noProof/>
                <w:sz w:val="16"/>
                <w:szCs w:val="16"/>
              </w:rPr>
            </w:pPr>
            <w:r>
              <w:rPr>
                <w:rFonts w:eastAsia="Calibri"/>
                <w:b/>
                <w:noProof/>
                <w:sz w:val="16"/>
              </w:rPr>
              <w:t xml:space="preserve">Subtotal </w:t>
            </w:r>
            <w:r>
              <w:rPr>
                <w:rFonts w:eastAsia="Calibri"/>
                <w:noProof/>
                <w:sz w:val="22"/>
              </w:rPr>
              <w:br/>
            </w:r>
            <w:r>
              <w:rPr>
                <w:rFonts w:eastAsia="Calibri"/>
                <w:b/>
                <w:noProof/>
                <w:sz w:val="16"/>
              </w:rPr>
              <w:t>outside HEADING 5</w:t>
            </w:r>
            <w:r>
              <w:rPr>
                <w:rFonts w:eastAsia="Calibri"/>
                <w:noProof/>
                <w:sz w:val="22"/>
              </w:rPr>
              <w:br/>
            </w:r>
            <w:r>
              <w:rPr>
                <w:rFonts w:eastAsia="Calibri"/>
                <w:b/>
                <w:noProof/>
                <w:sz w:val="16"/>
              </w:rPr>
              <w:t xml:space="preserve">of the multiannual financial framework </w:t>
            </w: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noProof/>
                <w:sz w:val="16"/>
                <w:szCs w:val="16"/>
              </w:rPr>
            </w:pPr>
          </w:p>
        </w:tc>
        <w:tc>
          <w:tcPr>
            <w:tcW w:w="1080" w:type="dxa"/>
            <w:vAlign w:val="center"/>
          </w:tcPr>
          <w:p>
            <w:pPr>
              <w:spacing w:before="60" w:after="60" w:line="200" w:lineRule="exact"/>
              <w:jc w:val="right"/>
              <w:rPr>
                <w:rFonts w:eastAsia="Calibri"/>
                <w:b/>
                <w:noProof/>
                <w:sz w:val="16"/>
                <w:szCs w:val="16"/>
              </w:rPr>
            </w:pPr>
          </w:p>
        </w:tc>
        <w:tc>
          <w:tcPr>
            <w:tcW w:w="1080" w:type="dxa"/>
            <w:vAlign w:val="center"/>
          </w:tcPr>
          <w:p>
            <w:pPr>
              <w:spacing w:before="60" w:after="60" w:line="200" w:lineRule="exact"/>
              <w:jc w:val="right"/>
              <w:rPr>
                <w:rFonts w:eastAsia="Calibri"/>
                <w:b/>
                <w:noProof/>
                <w:sz w:val="16"/>
                <w:szCs w:val="16"/>
              </w:rPr>
            </w:pPr>
          </w:p>
        </w:tc>
      </w:tr>
    </w:tbl>
    <w:p>
      <w:pPr>
        <w:spacing w:line="200" w:lineRule="exact"/>
        <w:rPr>
          <w:rFonts w:eastAsia="Calibri"/>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Calibri"/>
                <w:noProof/>
                <w:sz w:val="16"/>
                <w:szCs w:val="16"/>
              </w:rPr>
            </w:pPr>
            <w:r>
              <w:rPr>
                <w:rFonts w:eastAsia="Calibri"/>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Calibri"/>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eastAsia="Calibri"/>
                <w:b/>
                <w:noProof/>
                <w:sz w:val="16"/>
                <w:szCs w:val="16"/>
              </w:rPr>
            </w:pPr>
          </w:p>
        </w:tc>
      </w:tr>
    </w:tbl>
    <w:p>
      <w:pPr>
        <w:rPr>
          <w:rFonts w:eastAsia="Calibri"/>
          <w:noProof/>
          <w:sz w:val="18"/>
        </w:rPr>
      </w:pPr>
    </w:p>
    <w:p>
      <w:pPr>
        <w:rPr>
          <w:rFonts w:eastAsia="Calibri"/>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p>
    <w:p>
      <w:pPr>
        <w:keepNext/>
        <w:tabs>
          <w:tab w:val="left" w:pos="850"/>
        </w:tabs>
        <w:ind w:left="850" w:hanging="850"/>
        <w:outlineLvl w:val="3"/>
        <w:rPr>
          <w:rFonts w:eastAsia="Calibri"/>
          <w:bCs/>
          <w:noProof/>
          <w:szCs w:val="24"/>
        </w:rPr>
      </w:pPr>
      <w:r>
        <w:rPr>
          <w:rFonts w:eastAsia="Calibri"/>
          <w:noProof/>
        </w:rPr>
        <w:t>3.2.3.1.</w:t>
      </w:r>
      <w:r>
        <w:rPr>
          <w:rFonts w:eastAsia="Calibri"/>
          <w:noProof/>
        </w:rPr>
        <w:tab/>
        <w:t xml:space="preserve">Estimated requirements of human resources </w:t>
      </w:r>
    </w:p>
    <w:p>
      <w:pPr>
        <w:pStyle w:val="Text1"/>
        <w:rPr>
          <w:noProof/>
          <w:lang w:eastAsia="en-GB"/>
        </w:rPr>
      </w:pPr>
      <w:r>
        <w:rPr>
          <w:noProof/>
          <w:lang w:eastAsia="en-GB"/>
        </w:rPr>
        <w:t xml:space="preserve">- </w:t>
      </w:r>
      <w:r>
        <w:rPr>
          <w:noProof/>
          <w:lang w:eastAsia="en-GB"/>
        </w:rPr>
        <w:sym w:font="Wingdings" w:char="F078"/>
      </w:r>
      <w:r>
        <w:rPr>
          <w:noProof/>
          <w:lang w:eastAsia="en-GB"/>
        </w:rPr>
        <w:tab/>
        <w:t xml:space="preserve">The proposal does not require the use of human resources. </w:t>
      </w:r>
    </w:p>
    <w:p>
      <w:pPr>
        <w:pStyle w:val="Text1"/>
        <w:rPr>
          <w:noProof/>
          <w:lang w:eastAsia="en-GB"/>
        </w:rPr>
      </w:pPr>
      <w:r>
        <w:rPr>
          <w:noProof/>
          <w:lang w:eastAsia="en-GB"/>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Text1"/>
        <w:rPr>
          <w:noProof/>
          <w:lang w:eastAsia="en-GB"/>
        </w:rPr>
      </w:pPr>
      <w:r>
        <w:rPr>
          <w:noProof/>
          <w:lang w:eastAsia="en-GB"/>
        </w:rPr>
        <w:t xml:space="preserve">- </w:t>
      </w:r>
      <w:r>
        <w:rPr>
          <w:noProof/>
          <w:lang w:eastAsia="en-GB"/>
        </w:rPr>
        <w:sym w:font="Wingdings" w:char="F0A8"/>
      </w:r>
      <w:r>
        <w:rPr>
          <w:noProof/>
          <w:lang w:eastAsia="en-GB"/>
        </w:rPr>
        <w:tab/>
        <w:t>The proposal/initiative requires the use of human resources, as explained below:</w:t>
      </w:r>
    </w:p>
    <w:p>
      <w:pPr>
        <w:spacing w:after="60"/>
        <w:jc w:val="right"/>
        <w:rPr>
          <w:rFonts w:eastAsia="Calibri"/>
          <w:i/>
          <w:noProof/>
          <w:sz w:val="20"/>
        </w:rPr>
      </w:pPr>
      <w:r>
        <w:rPr>
          <w:rFonts w:eastAsia="Calibri"/>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spacing w:before="40" w:after="40"/>
              <w:jc w:val="center"/>
              <w:rPr>
                <w:rFonts w:eastAsia="Calibri"/>
                <w:i/>
                <w:noProof/>
                <w:sz w:val="16"/>
                <w:szCs w:val="16"/>
              </w:rPr>
            </w:pPr>
          </w:p>
        </w:tc>
        <w:tc>
          <w:tcPr>
            <w:tcW w:w="600" w:type="dxa"/>
            <w:shd w:val="clear" w:color="auto" w:fill="auto"/>
            <w:vAlign w:val="center"/>
          </w:tcPr>
          <w:p>
            <w:pPr>
              <w:spacing w:before="20" w:after="20"/>
              <w:jc w:val="center"/>
              <w:rPr>
                <w:rFonts w:eastAsia="Calibri"/>
                <w:noProof/>
                <w:sz w:val="16"/>
                <w:szCs w:val="16"/>
              </w:rPr>
            </w:pPr>
            <w:r>
              <w:rPr>
                <w:rFonts w:eastAsia="Calibri"/>
                <w:noProof/>
                <w:sz w:val="16"/>
              </w:rPr>
              <w:t>Year</w:t>
            </w:r>
            <w:r>
              <w:rPr>
                <w:rFonts w:eastAsia="Calibri"/>
                <w:noProof/>
                <w:sz w:val="22"/>
              </w:rPr>
              <w:br/>
            </w:r>
            <w:r>
              <w:rPr>
                <w:rFonts w:eastAsia="Calibri"/>
                <w:b/>
                <w:noProof/>
                <w:sz w:val="16"/>
              </w:rPr>
              <w:t>N</w:t>
            </w:r>
          </w:p>
        </w:tc>
        <w:tc>
          <w:tcPr>
            <w:tcW w:w="600" w:type="dxa"/>
            <w:shd w:val="clear" w:color="auto" w:fill="auto"/>
            <w:vAlign w:val="center"/>
          </w:tcPr>
          <w:p>
            <w:pPr>
              <w:spacing w:before="20" w:after="20"/>
              <w:jc w:val="center"/>
              <w:rPr>
                <w:rFonts w:eastAsia="Calibri"/>
                <w:noProof/>
                <w:sz w:val="16"/>
                <w:szCs w:val="16"/>
              </w:rPr>
            </w:pPr>
            <w:r>
              <w:rPr>
                <w:rFonts w:eastAsia="Calibri"/>
                <w:noProof/>
                <w:sz w:val="16"/>
              </w:rPr>
              <w:t>Year</w:t>
            </w:r>
            <w:r>
              <w:rPr>
                <w:rFonts w:eastAsia="Calibri"/>
                <w:noProof/>
                <w:sz w:val="22"/>
              </w:rPr>
              <w:br/>
            </w:r>
            <w:r>
              <w:rPr>
                <w:rFonts w:eastAsia="Calibri"/>
                <w:b/>
                <w:noProof/>
                <w:sz w:val="16"/>
              </w:rPr>
              <w:t>N+1</w:t>
            </w:r>
          </w:p>
        </w:tc>
        <w:tc>
          <w:tcPr>
            <w:tcW w:w="600" w:type="dxa"/>
            <w:shd w:val="clear" w:color="auto" w:fill="auto"/>
            <w:vAlign w:val="center"/>
          </w:tcPr>
          <w:p>
            <w:pPr>
              <w:spacing w:before="20" w:after="20"/>
              <w:jc w:val="center"/>
              <w:rPr>
                <w:rFonts w:eastAsia="Calibri"/>
                <w:noProof/>
                <w:sz w:val="16"/>
                <w:szCs w:val="16"/>
              </w:rPr>
            </w:pPr>
            <w:r>
              <w:rPr>
                <w:rFonts w:eastAsia="Calibri"/>
                <w:noProof/>
                <w:sz w:val="16"/>
                <w:szCs w:val="16"/>
              </w:rPr>
              <w:t xml:space="preserve">Year </w:t>
            </w:r>
            <w:r>
              <w:rPr>
                <w:rFonts w:eastAsia="Calibri"/>
                <w:b/>
                <w:noProof/>
                <w:sz w:val="16"/>
                <w:szCs w:val="16"/>
              </w:rPr>
              <w:t>N+2</w:t>
            </w:r>
          </w:p>
        </w:tc>
        <w:tc>
          <w:tcPr>
            <w:tcW w:w="600" w:type="dxa"/>
            <w:shd w:val="clear" w:color="auto" w:fill="auto"/>
            <w:vAlign w:val="center"/>
          </w:tcPr>
          <w:p>
            <w:pPr>
              <w:spacing w:before="20" w:after="20"/>
              <w:jc w:val="center"/>
              <w:rPr>
                <w:rFonts w:eastAsia="Calibri"/>
                <w:noProof/>
                <w:sz w:val="16"/>
                <w:szCs w:val="16"/>
              </w:rPr>
            </w:pPr>
            <w:r>
              <w:rPr>
                <w:rFonts w:eastAsia="Calibri"/>
                <w:noProof/>
                <w:sz w:val="16"/>
                <w:szCs w:val="16"/>
              </w:rPr>
              <w:t xml:space="preserve">Year </w:t>
            </w:r>
            <w:r>
              <w:rPr>
                <w:rFonts w:eastAsia="Calibri"/>
                <w:b/>
                <w:noProof/>
                <w:sz w:val="16"/>
                <w:szCs w:val="16"/>
              </w:rPr>
              <w:t>N+3</w:t>
            </w:r>
          </w:p>
        </w:tc>
        <w:tc>
          <w:tcPr>
            <w:tcW w:w="600" w:type="dxa"/>
            <w:gridSpan w:val="3"/>
            <w:shd w:val="clear" w:color="auto" w:fill="auto"/>
            <w:vAlign w:val="center"/>
          </w:tcPr>
          <w:p>
            <w:pPr>
              <w:jc w:val="center"/>
              <w:rPr>
                <w:rFonts w:eastAsia="Calibri"/>
                <w:b/>
                <w:noProof/>
                <w:sz w:val="16"/>
                <w:szCs w:val="16"/>
              </w:rPr>
            </w:pPr>
            <w:r>
              <w:rPr>
                <w:rFonts w:eastAsia="Calibri"/>
                <w:noProof/>
                <w:sz w:val="16"/>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jc w:val="left"/>
              <w:rPr>
                <w:rFonts w:eastAsia="Calibri"/>
                <w:noProof/>
                <w:sz w:val="16"/>
                <w:szCs w:val="16"/>
              </w:rPr>
            </w:pPr>
            <w:r>
              <w:rPr>
                <w:rFonts w:eastAsia="Calibri"/>
                <w:b/>
                <w:noProof/>
                <w:sz w:val="16"/>
              </w:rPr>
              <w:sym w:font="Wingdings" w:char="F09F"/>
            </w:r>
            <w:r>
              <w:rPr>
                <w:rFonts w:eastAsia="Calibri"/>
                <w:b/>
                <w:noProof/>
                <w:sz w:val="16"/>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b/>
                <w:noProof/>
                <w:sz w:val="16"/>
                <w:szCs w:val="16"/>
              </w:rPr>
            </w:pPr>
            <w:r>
              <w:rPr>
                <w:rFonts w:eastAsia="Calibri"/>
                <w:noProof/>
                <w:sz w:val="16"/>
              </w:rPr>
              <w:t>XX 01 01 01 (Headquarters and Commission’s Representation Offices)</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noProof/>
                <w:sz w:val="16"/>
                <w:szCs w:val="16"/>
              </w:rPr>
            </w:pPr>
            <w:r>
              <w:rPr>
                <w:rFonts w:eastAsia="Calibri"/>
                <w:noProof/>
                <w:sz w:val="16"/>
              </w:rPr>
              <w:t>XX 01 01 02 (Delegations)</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noProof/>
                <w:sz w:val="16"/>
                <w:szCs w:val="16"/>
              </w:rPr>
            </w:pPr>
            <w:r>
              <w:rPr>
                <w:rFonts w:eastAsia="Calibri"/>
                <w:noProof/>
                <w:sz w:val="16"/>
              </w:rPr>
              <w:t>XX 01 05 01/11/21 (Indirect research)</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4"/>
              <w:jc w:val="left"/>
              <w:rPr>
                <w:rFonts w:eastAsia="Calibri"/>
                <w:noProof/>
                <w:sz w:val="16"/>
                <w:szCs w:val="16"/>
              </w:rPr>
            </w:pPr>
            <w:r>
              <w:rPr>
                <w:rFonts w:eastAsia="Calibri"/>
                <w:noProof/>
                <w:sz w:val="16"/>
              </w:rPr>
              <w:t>10 01 05 01/11 (Direct research)</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trHeight w:val="248"/>
          <w:jc w:val="center"/>
        </w:trPr>
        <w:tc>
          <w:tcPr>
            <w:tcW w:w="600" w:type="dxa"/>
            <w:gridSpan w:val="10"/>
            <w:shd w:val="clear" w:color="auto" w:fill="auto"/>
            <w:vAlign w:val="center"/>
          </w:tcPr>
          <w:p>
            <w:pPr>
              <w:spacing w:before="60" w:after="60"/>
              <w:jc w:val="left"/>
              <w:rPr>
                <w:rFonts w:eastAsia="Calibri"/>
                <w:b/>
                <w:noProof/>
                <w:sz w:val="16"/>
                <w:szCs w:val="16"/>
              </w:rPr>
            </w:pPr>
            <w:r>
              <w:rPr>
                <w:rFonts w:eastAsia="Calibri"/>
                <w:b/>
                <w:noProof/>
                <w:sz w:val="16"/>
              </w:rPr>
              <w:sym w:font="Wingdings" w:char="F09F"/>
            </w:r>
            <w:r>
              <w:rPr>
                <w:rFonts w:eastAsia="Calibri"/>
                <w:b/>
                <w:noProof/>
                <w:sz w:val="16"/>
              </w:rPr>
              <w:t xml:space="preserve"> External staff (in Full Time Equivalent unit: FTE)</w:t>
            </w:r>
            <w:r>
              <w:rPr>
                <w:rStyle w:val="FootnoteReference"/>
                <w:rFonts w:eastAsia="Calibri"/>
                <w:b/>
                <w:noProof/>
                <w:sz w:val="16"/>
              </w:rPr>
              <w:footnoteReference w:id="14"/>
            </w:r>
            <w:r>
              <w:rPr>
                <w:rStyle w:val="CommentReference"/>
                <w:noProof/>
              </w:rPr>
              <w:t xml:space="preserve"> </w:t>
            </w:r>
          </w:p>
          <w:p>
            <w:pPr>
              <w:spacing w:before="0" w:after="0"/>
              <w:jc w:val="left"/>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b/>
                <w:noProof/>
                <w:sz w:val="16"/>
                <w:szCs w:val="16"/>
              </w:rPr>
            </w:pPr>
            <w:r>
              <w:rPr>
                <w:rFonts w:eastAsia="Calibri"/>
                <w:noProof/>
                <w:sz w:val="16"/>
              </w:rPr>
              <w:t>XX 01 02 01 (AC, END, INT from the ‘global envelope’)</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noProof/>
                <w:sz w:val="16"/>
                <w:szCs w:val="16"/>
              </w:rPr>
            </w:pPr>
            <w:r>
              <w:rPr>
                <w:rFonts w:eastAsia="Calibri"/>
                <w:noProof/>
                <w:sz w:val="16"/>
              </w:rPr>
              <w:t>XX 01 02 02 (AC, AL, END, INT and JPD in the delegations)</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1952" w:type="dxa"/>
            <w:vMerge w:val="restart"/>
            <w:shd w:val="clear" w:color="auto" w:fill="auto"/>
            <w:vAlign w:val="center"/>
          </w:tcPr>
          <w:p>
            <w:pPr>
              <w:spacing w:beforeLines="20" w:before="48" w:afterLines="20" w:after="48"/>
              <w:ind w:left="136"/>
              <w:jc w:val="left"/>
              <w:rPr>
                <w:rFonts w:eastAsia="Calibri"/>
                <w:b/>
                <w:noProof/>
                <w:sz w:val="16"/>
                <w:szCs w:val="16"/>
              </w:rPr>
            </w:pPr>
            <w:r>
              <w:rPr>
                <w:rFonts w:eastAsia="Calibri"/>
                <w:b/>
                <w:noProof/>
                <w:sz w:val="16"/>
                <w:szCs w:val="16"/>
              </w:rPr>
              <w:t>XX</w:t>
            </w:r>
            <w:r>
              <w:rPr>
                <w:rFonts w:eastAsia="Calibri"/>
                <w:noProof/>
                <w:sz w:val="16"/>
                <w:szCs w:val="16"/>
              </w:rPr>
              <w:t xml:space="preserve"> 01 04 </w:t>
            </w:r>
            <w:r>
              <w:rPr>
                <w:rFonts w:eastAsia="Calibri"/>
                <w:b/>
                <w:noProof/>
                <w:sz w:val="16"/>
                <w:szCs w:val="16"/>
              </w:rPr>
              <w:t>yy</w:t>
            </w:r>
            <w:r>
              <w:rPr>
                <w:rFonts w:eastAsia="Calibri"/>
                <w:b/>
                <w:i/>
                <w:noProof/>
                <w:sz w:val="16"/>
              </w:rPr>
              <w:t xml:space="preserve"> </w:t>
            </w:r>
            <w:r>
              <w:rPr>
                <w:rStyle w:val="FootnoteReference"/>
                <w:rFonts w:eastAsia="Calibri"/>
                <w:b/>
                <w:i/>
                <w:noProof/>
                <w:sz w:val="16"/>
              </w:rPr>
              <w:footnoteReference w:id="15"/>
            </w:r>
          </w:p>
          <w:p>
            <w:pPr>
              <w:spacing w:beforeLines="20" w:before="48" w:afterLines="20" w:after="48"/>
              <w:ind w:left="136"/>
              <w:jc w:val="left"/>
              <w:rPr>
                <w:rFonts w:eastAsia="Calibri"/>
                <w:b/>
                <w:noProof/>
                <w:sz w:val="16"/>
                <w:szCs w:val="16"/>
              </w:rPr>
            </w:pPr>
          </w:p>
        </w:tc>
        <w:tc>
          <w:tcPr>
            <w:tcW w:w="1954" w:type="dxa"/>
            <w:shd w:val="clear" w:color="auto" w:fill="auto"/>
            <w:vAlign w:val="center"/>
          </w:tcPr>
          <w:p>
            <w:pPr>
              <w:spacing w:beforeLines="20" w:before="48" w:afterLines="20" w:after="48"/>
              <w:ind w:left="136"/>
              <w:jc w:val="left"/>
              <w:rPr>
                <w:rFonts w:eastAsia="Calibri"/>
                <w:b/>
                <w:noProof/>
                <w:sz w:val="16"/>
                <w:szCs w:val="16"/>
              </w:rPr>
            </w:pPr>
            <w:r>
              <w:rPr>
                <w:rFonts w:eastAsia="Calibri"/>
                <w:noProof/>
                <w:sz w:val="16"/>
              </w:rPr>
              <w:t>- at Headquarters</w:t>
            </w:r>
          </w:p>
          <w:p>
            <w:pPr>
              <w:spacing w:beforeLines="20" w:before="48" w:afterLines="20" w:after="48"/>
              <w:ind w:left="136"/>
              <w:jc w:val="left"/>
              <w:rPr>
                <w:rFonts w:eastAsia="Calibri"/>
                <w:b/>
                <w:noProof/>
                <w:sz w:val="16"/>
                <w:szCs w:val="16"/>
              </w:rPr>
            </w:pPr>
          </w:p>
        </w:tc>
        <w:tc>
          <w:tcPr>
            <w:tcW w:w="600" w:type="dxa"/>
            <w:shd w:val="clear" w:color="auto" w:fill="auto"/>
            <w:vAlign w:val="center"/>
          </w:tcPr>
          <w:p>
            <w:pPr>
              <w:spacing w:beforeLines="20" w:before="48" w:afterLines="20" w:after="48"/>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1952" w:type="dxa"/>
            <w:vMerge/>
            <w:shd w:val="clear" w:color="auto" w:fill="auto"/>
            <w:vAlign w:val="center"/>
          </w:tcPr>
          <w:p>
            <w:pPr>
              <w:spacing w:beforeLines="20" w:before="48" w:afterLines="20" w:after="48"/>
              <w:ind w:left="136"/>
              <w:jc w:val="left"/>
              <w:rPr>
                <w:rFonts w:eastAsia="Calibri"/>
                <w:b/>
                <w:noProof/>
                <w:sz w:val="16"/>
                <w:szCs w:val="16"/>
              </w:rPr>
            </w:pPr>
          </w:p>
        </w:tc>
        <w:tc>
          <w:tcPr>
            <w:tcW w:w="1954" w:type="dxa"/>
            <w:shd w:val="clear" w:color="auto" w:fill="auto"/>
            <w:vAlign w:val="center"/>
          </w:tcPr>
          <w:p>
            <w:pPr>
              <w:spacing w:beforeLines="20" w:before="48" w:afterLines="20" w:after="48"/>
              <w:ind w:left="136"/>
              <w:jc w:val="left"/>
              <w:rPr>
                <w:rFonts w:eastAsia="Calibri"/>
                <w:b/>
                <w:noProof/>
                <w:sz w:val="16"/>
                <w:szCs w:val="16"/>
              </w:rPr>
            </w:pPr>
            <w:r>
              <w:rPr>
                <w:rFonts w:eastAsia="Calibri"/>
                <w:noProof/>
                <w:sz w:val="16"/>
              </w:rPr>
              <w:t xml:space="preserve">- in Delegations </w:t>
            </w:r>
          </w:p>
        </w:tc>
        <w:tc>
          <w:tcPr>
            <w:tcW w:w="600" w:type="dxa"/>
            <w:shd w:val="clear" w:color="auto" w:fill="auto"/>
            <w:vAlign w:val="center"/>
          </w:tcPr>
          <w:p>
            <w:pPr>
              <w:spacing w:beforeLines="20" w:before="48" w:afterLines="20" w:after="48"/>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noProof/>
                <w:sz w:val="16"/>
                <w:szCs w:val="16"/>
              </w:rPr>
            </w:pPr>
            <w:r>
              <w:rPr>
                <w:rFonts w:eastAsia="Calibri"/>
                <w:b/>
                <w:noProof/>
                <w:sz w:val="16"/>
                <w:szCs w:val="16"/>
              </w:rPr>
              <w:t>XX</w:t>
            </w:r>
            <w:r>
              <w:rPr>
                <w:rFonts w:eastAsia="Calibri"/>
                <w:noProof/>
                <w:sz w:val="16"/>
                <w:szCs w:val="16"/>
              </w:rPr>
              <w:t xml:space="preserve"> 01 05 02/12/22 (AC, END, INT - Indirect research)</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shd w:val="clear" w:color="auto" w:fill="auto"/>
            <w:vAlign w:val="center"/>
          </w:tcPr>
          <w:p>
            <w:pPr>
              <w:spacing w:beforeLines="20" w:before="48" w:afterLines="20" w:after="48"/>
              <w:ind w:left="136"/>
              <w:jc w:val="left"/>
              <w:rPr>
                <w:rFonts w:eastAsia="Calibri"/>
                <w:noProof/>
                <w:sz w:val="16"/>
                <w:szCs w:val="16"/>
              </w:rPr>
            </w:pPr>
            <w:r>
              <w:rPr>
                <w:rFonts w:eastAsia="Calibri"/>
                <w:noProof/>
                <w:sz w:val="16"/>
              </w:rPr>
              <w:t>10 01 05 02/12 (AC, END, INT - Direct research)</w:t>
            </w: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c>
          <w:tcPr>
            <w:tcW w:w="600" w:type="dxa"/>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spacing w:beforeLines="20" w:before="48" w:afterLines="20" w:after="48"/>
              <w:ind w:left="134"/>
              <w:jc w:val="left"/>
              <w:rPr>
                <w:rFonts w:eastAsia="Calibri"/>
                <w:noProof/>
                <w:sz w:val="16"/>
                <w:szCs w:val="16"/>
              </w:rPr>
            </w:pPr>
            <w:r>
              <w:rPr>
                <w:rFonts w:eastAsia="Calibri"/>
                <w:noProof/>
                <w:sz w:val="16"/>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rFonts w:eastAsia="Calibri"/>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spacing w:beforeLines="20" w:before="48" w:afterLines="20" w:after="48"/>
              <w:ind w:left="136"/>
              <w:jc w:val="left"/>
              <w:rPr>
                <w:rFonts w:eastAsia="Calibri"/>
                <w:noProof/>
                <w:sz w:val="16"/>
                <w:szCs w:val="16"/>
              </w:rPr>
            </w:pPr>
            <w:r>
              <w:rPr>
                <w:rFonts w:eastAsia="Calibri"/>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rFonts w:eastAsia="Calibri"/>
                <w:b/>
                <w:noProof/>
                <w:sz w:val="16"/>
                <w:szCs w:val="16"/>
              </w:rPr>
            </w:pPr>
          </w:p>
        </w:tc>
      </w:tr>
    </w:tbl>
    <w:p>
      <w:pPr>
        <w:spacing w:before="60" w:after="60"/>
        <w:ind w:left="851"/>
        <w:rPr>
          <w:rFonts w:eastAsia="Calibri"/>
          <w:noProof/>
          <w:sz w:val="18"/>
          <w:szCs w:val="18"/>
        </w:rPr>
      </w:pPr>
      <w:r>
        <w:rPr>
          <w:rFonts w:eastAsia="Calibri"/>
          <w:b/>
          <w:noProof/>
          <w:sz w:val="18"/>
          <w:szCs w:val="18"/>
        </w:rPr>
        <w:t>XX</w:t>
      </w:r>
      <w:r>
        <w:rPr>
          <w:rFonts w:eastAsia="Calibri"/>
          <w:noProof/>
          <w:sz w:val="18"/>
          <w:szCs w:val="18"/>
        </w:rPr>
        <w:t xml:space="preserve"> is the policy area or budget title concerned.</w:t>
      </w:r>
    </w:p>
    <w:p>
      <w:pPr>
        <w:shd w:val="clear" w:color="auto" w:fill="FFFF00"/>
        <w:ind w:left="850"/>
        <w:rPr>
          <w:rFonts w:eastAsia="Calibri"/>
          <w:noProof/>
          <w:sz w:val="18"/>
          <w:szCs w:val="18"/>
        </w:rPr>
      </w:pPr>
      <w:r>
        <w:rPr>
          <w:rFonts w:eastAsia="Calibri"/>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rFonts w:eastAsia="Calibri"/>
          <w:noProof/>
          <w:sz w:val="20"/>
        </w:rPr>
      </w:pPr>
      <w:r>
        <w:rPr>
          <w:rFonts w:eastAsia="Calibri"/>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rFonts w:eastAsia="Calibri"/>
                <w:noProof/>
                <w:sz w:val="20"/>
              </w:rPr>
            </w:pPr>
            <w:r>
              <w:rPr>
                <w:rFonts w:eastAsia="Calibri"/>
                <w:noProof/>
                <w:sz w:val="20"/>
              </w:rPr>
              <w:t>Officials and temporary staff</w:t>
            </w:r>
          </w:p>
        </w:tc>
        <w:tc>
          <w:tcPr>
            <w:tcW w:w="7200" w:type="dxa"/>
          </w:tcPr>
          <w:p>
            <w:pPr>
              <w:rPr>
                <w:rFonts w:eastAsia="Calibri"/>
                <w:noProof/>
                <w:sz w:val="20"/>
              </w:rPr>
            </w:pPr>
          </w:p>
        </w:tc>
      </w:tr>
      <w:tr>
        <w:tc>
          <w:tcPr>
            <w:tcW w:w="3240" w:type="dxa"/>
          </w:tcPr>
          <w:p>
            <w:pPr>
              <w:spacing w:before="60" w:after="60"/>
              <w:rPr>
                <w:rFonts w:eastAsia="Calibri"/>
                <w:noProof/>
                <w:sz w:val="20"/>
              </w:rPr>
            </w:pPr>
            <w:r>
              <w:rPr>
                <w:rFonts w:eastAsia="Calibri"/>
                <w:noProof/>
                <w:sz w:val="20"/>
              </w:rPr>
              <w:t>External staff</w:t>
            </w:r>
          </w:p>
        </w:tc>
        <w:tc>
          <w:tcPr>
            <w:tcW w:w="7200" w:type="dxa"/>
          </w:tcPr>
          <w:p>
            <w:pPr>
              <w:rPr>
                <w:rFonts w:eastAsia="Calibri"/>
                <w:noProof/>
                <w:sz w:val="20"/>
              </w:rPr>
            </w:pPr>
          </w:p>
        </w:tc>
      </w:tr>
    </w:tbl>
    <w:p>
      <w:pPr>
        <w:rPr>
          <w:rFonts w:eastAsia="Calibri"/>
          <w:noProof/>
        </w:rPr>
        <w:sectPr>
          <w:pgSz w:w="11907" w:h="16840"/>
          <w:pgMar w:top="1134" w:right="1418" w:bottom="1134" w:left="1418" w:header="709" w:footer="709" w:gutter="0"/>
          <w:cols w:space="708"/>
          <w:docGrid w:linePitch="360"/>
        </w:sectPr>
      </w:pPr>
    </w:p>
    <w:p>
      <w:pPr>
        <w:keepNext/>
        <w:tabs>
          <w:tab w:val="left" w:pos="850"/>
        </w:tabs>
        <w:ind w:left="850" w:hanging="850"/>
        <w:outlineLvl w:val="2"/>
        <w:rPr>
          <w:rFonts w:eastAsia="Calibri"/>
          <w:i/>
          <w:noProof/>
        </w:rPr>
      </w:pPr>
      <w:bookmarkStart w:id="50" w:name="_Toc514938056"/>
      <w:bookmarkStart w:id="51" w:name="_Toc520485055"/>
      <w:r>
        <w:rPr>
          <w:rFonts w:eastAsia="Calibri"/>
          <w:i/>
          <w:noProof/>
        </w:rPr>
        <w:t>3.2.4.</w:t>
      </w:r>
      <w:r>
        <w:rPr>
          <w:rFonts w:eastAsia="Calibri"/>
          <w:i/>
          <w:noProof/>
        </w:rPr>
        <w:tab/>
        <w:t>Compatibility with the current multiannual financial framework</w:t>
      </w:r>
      <w:bookmarkEnd w:id="50"/>
      <w:bookmarkEnd w:id="51"/>
      <w:r>
        <w:rPr>
          <w:rFonts w:eastAsia="Calibri"/>
          <w:i/>
          <w:noProof/>
        </w:rPr>
        <w:t xml:space="preserve"> </w:t>
      </w:r>
    </w:p>
    <w:p>
      <w:pPr>
        <w:ind w:left="850"/>
        <w:rPr>
          <w:rFonts w:eastAsia="Calibri"/>
          <w:noProof/>
        </w:rPr>
      </w:pPr>
      <w:r>
        <w:rPr>
          <w:rFonts w:eastAsia="Calibri"/>
          <w:noProof/>
        </w:rPr>
        <w:t>The proposal/initiative:</w:t>
      </w:r>
    </w:p>
    <w:p>
      <w:pPr>
        <w:pStyle w:val="Text1"/>
        <w:rPr>
          <w:noProof/>
          <w:lang w:eastAsia="en-GB"/>
        </w:rPr>
      </w:pPr>
      <w:r>
        <w:rPr>
          <w:noProof/>
          <w:lang w:eastAsia="en-GB"/>
        </w:rPr>
        <w:sym w:font="Wingdings" w:char="F078"/>
      </w:r>
      <w:r>
        <w:rPr>
          <w:noProof/>
          <w:lang w:eastAsia="en-GB"/>
        </w:rPr>
        <w:tab/>
        <w:t>can be fully financed within the relevant heading of the Multiannual Financial Framework (MFF).</w:t>
      </w:r>
    </w:p>
    <w:p>
      <w:pPr>
        <w:pStyle w:val="Text1"/>
        <w:rPr>
          <w:noProof/>
          <w:lang w:eastAsia="en-GB"/>
        </w:rPr>
      </w:pPr>
      <w:r>
        <w:rPr>
          <w:noProof/>
          <w:lang w:eastAsia="en-GB"/>
        </w:rPr>
        <w:sym w:font="Wingdings" w:char="F020"/>
      </w:r>
      <w:r>
        <w:rPr>
          <w:noProof/>
          <w:lang w:eastAsia="en-GB"/>
        </w:rPr>
        <w:tab/>
        <w:t>requires use of the unallocated margin under the relevant heading of the MFF and/or use of the special instruments as defined in the MFF Regulation.</w:t>
      </w:r>
    </w:p>
    <w:p>
      <w:pPr>
        <w:pBdr>
          <w:top w:val="single" w:sz="4" w:space="1" w:color="auto"/>
          <w:left w:val="single" w:sz="4" w:space="4" w:color="auto"/>
          <w:bottom w:val="single" w:sz="4" w:space="1" w:color="auto"/>
          <w:right w:val="single" w:sz="4" w:space="4" w:color="auto"/>
        </w:pBdr>
        <w:ind w:left="850"/>
        <w:rPr>
          <w:rFonts w:eastAsia="Calibri"/>
          <w:noProof/>
          <w:sz w:val="20"/>
        </w:rPr>
      </w:pPr>
      <w:r>
        <w:rPr>
          <w:rFonts w:eastAsia="Calibri"/>
          <w:noProof/>
          <w:sz w:val="20"/>
        </w:rPr>
        <w:t>Explain what is required, specifying the headings and budget lines concerned, the corresponding amounts, and the instruments proposed to be used.</w:t>
      </w:r>
    </w:p>
    <w:p>
      <w:pPr>
        <w:pBdr>
          <w:top w:val="single" w:sz="4" w:space="1" w:color="auto"/>
          <w:left w:val="single" w:sz="4" w:space="4" w:color="auto"/>
          <w:bottom w:val="single" w:sz="4" w:space="1" w:color="auto"/>
          <w:right w:val="single" w:sz="4" w:space="4" w:color="auto"/>
        </w:pBdr>
        <w:ind w:left="850"/>
        <w:rPr>
          <w:rFonts w:eastAsia="Calibri"/>
          <w:noProof/>
          <w:sz w:val="20"/>
        </w:rPr>
      </w:pPr>
    </w:p>
    <w:p>
      <w:pPr>
        <w:pStyle w:val="Text1"/>
        <w:rPr>
          <w:noProof/>
          <w:lang w:eastAsia="en-GB"/>
        </w:rPr>
      </w:pPr>
      <w:r>
        <w:rPr>
          <w:noProof/>
          <w:lang w:eastAsia="en-GB"/>
        </w:rPr>
        <w:sym w:font="Wingdings" w:char="F0A8"/>
      </w:r>
      <w:r>
        <w:rPr>
          <w:noProof/>
          <w:lang w:eastAsia="en-GB"/>
        </w:rPr>
        <w:tab/>
        <w:t>requires a revision of the MFF.</w:t>
      </w:r>
    </w:p>
    <w:p>
      <w:pPr>
        <w:pBdr>
          <w:top w:val="single" w:sz="4" w:space="1" w:color="auto"/>
          <w:left w:val="single" w:sz="4" w:space="4" w:color="auto"/>
          <w:bottom w:val="single" w:sz="4" w:space="3" w:color="auto"/>
          <w:right w:val="single" w:sz="4" w:space="4" w:color="auto"/>
        </w:pBdr>
        <w:ind w:left="850"/>
        <w:rPr>
          <w:rFonts w:eastAsia="Calibri"/>
          <w:noProof/>
          <w:sz w:val="20"/>
        </w:rPr>
      </w:pPr>
      <w:r>
        <w:rPr>
          <w:rFonts w:eastAsia="Calibri"/>
          <w:noProof/>
          <w:sz w:val="20"/>
        </w:rPr>
        <w:t>Explain what is required, specifying the headings and budget lines concerned and the corresponding amounts.</w:t>
      </w:r>
    </w:p>
    <w:p>
      <w:pPr>
        <w:keepNext/>
        <w:tabs>
          <w:tab w:val="left" w:pos="850"/>
        </w:tabs>
        <w:ind w:left="850" w:hanging="850"/>
        <w:outlineLvl w:val="2"/>
        <w:rPr>
          <w:rFonts w:eastAsia="Calibri"/>
          <w:bCs/>
          <w:i/>
          <w:noProof/>
          <w:szCs w:val="24"/>
        </w:rPr>
      </w:pPr>
      <w:bookmarkStart w:id="52" w:name="_Toc514938058"/>
      <w:bookmarkStart w:id="53" w:name="_Toc520485056"/>
      <w:r>
        <w:rPr>
          <w:rFonts w:eastAsia="Calibri"/>
          <w:i/>
          <w:noProof/>
        </w:rPr>
        <w:t>3.2.5.</w:t>
      </w:r>
      <w:r>
        <w:rPr>
          <w:rFonts w:eastAsia="Calibri"/>
          <w:i/>
          <w:noProof/>
        </w:rPr>
        <w:tab/>
        <w:t>Third-party contributions</w:t>
      </w:r>
      <w:bookmarkEnd w:id="52"/>
      <w:bookmarkEnd w:id="53"/>
      <w:r>
        <w:rPr>
          <w:rFonts w:eastAsia="Calibri"/>
          <w:i/>
          <w:noProof/>
        </w:rPr>
        <w:t xml:space="preserve"> </w:t>
      </w:r>
    </w:p>
    <w:p>
      <w:pPr>
        <w:ind w:left="850"/>
        <w:rPr>
          <w:rFonts w:eastAsia="Calibri"/>
          <w:noProof/>
        </w:rPr>
      </w:pPr>
      <w:r>
        <w:rPr>
          <w:rFonts w:eastAsia="Calibri"/>
          <w:noProof/>
        </w:rPr>
        <w:t>The proposal/initiative:</w:t>
      </w:r>
    </w:p>
    <w:p>
      <w:pPr>
        <w:pStyle w:val="Text1"/>
        <w:rPr>
          <w:noProof/>
          <w:lang w:eastAsia="en-GB"/>
        </w:rPr>
      </w:pPr>
      <w:r>
        <w:rPr>
          <w:b/>
          <w:noProof/>
          <w:lang w:eastAsia="en-GB"/>
        </w:rPr>
        <w:t xml:space="preserve">X </w:t>
      </w:r>
      <w:r>
        <w:rPr>
          <w:noProof/>
          <w:lang w:eastAsia="en-GB"/>
        </w:rPr>
        <w:t>does not provide for co-financing by third parties</w:t>
      </w:r>
    </w:p>
    <w:p>
      <w:pPr>
        <w:pStyle w:val="Text1"/>
        <w:rPr>
          <w:noProof/>
          <w:lang w:eastAsia="en-GB"/>
        </w:rPr>
      </w:pPr>
      <w:r>
        <w:rPr>
          <w:noProof/>
          <w:lang w:eastAsia="en-GB"/>
        </w:rPr>
        <w:sym w:font="Wingdings" w:char="F0A8"/>
      </w:r>
      <w:r>
        <w:rPr>
          <w:noProof/>
          <w:lang w:eastAsia="en-GB"/>
        </w:rPr>
        <w:tab/>
        <w:t>provides for the co-financing by third parties estimated below:</w:t>
      </w:r>
    </w:p>
    <w:p>
      <w:pPr>
        <w:jc w:val="right"/>
        <w:rPr>
          <w:rFonts w:eastAsia="Calibri"/>
          <w:noProof/>
          <w:sz w:val="20"/>
        </w:rPr>
      </w:pPr>
      <w:r>
        <w:rPr>
          <w:rFonts w:eastAsia="Calibri"/>
          <w:noProof/>
          <w:sz w:val="20"/>
        </w:rPr>
        <w:t xml:space="preserve">Appropriations in EUR </w:t>
      </w:r>
    </w:p>
    <w:p>
      <w:pPr>
        <w:jc w:val="right"/>
        <w:rPr>
          <w:rFonts w:eastAsia="Calibri"/>
          <w:noProof/>
          <w:sz w:val="20"/>
        </w:rPr>
      </w:pPr>
    </w:p>
    <w:p>
      <w:pPr>
        <w:rPr>
          <w:rFonts w:eastAsia="Calibri"/>
          <w:noProof/>
        </w:rPr>
      </w:pPr>
      <w:r>
        <w:rPr>
          <w:rFonts w:eastAsia="Calibri"/>
          <w:noProof/>
        </w:rPr>
        <w:br/>
      </w:r>
    </w:p>
    <w:p>
      <w:pPr>
        <w:keepNext/>
        <w:tabs>
          <w:tab w:val="left" w:pos="850"/>
        </w:tabs>
        <w:ind w:left="850" w:hanging="850"/>
        <w:outlineLvl w:val="1"/>
        <w:rPr>
          <w:rFonts w:eastAsia="Calibri"/>
          <w:b/>
          <w:bCs/>
          <w:noProof/>
          <w:szCs w:val="24"/>
        </w:rPr>
      </w:pPr>
      <w:r>
        <w:rPr>
          <w:rFonts w:eastAsia="Calibri"/>
          <w:b/>
          <w:noProof/>
        </w:rPr>
        <w:br w:type="page"/>
      </w:r>
      <w:bookmarkStart w:id="54" w:name="_Toc514938059"/>
      <w:bookmarkStart w:id="55" w:name="_Toc520485057"/>
      <w:r>
        <w:rPr>
          <w:rFonts w:eastAsia="Calibri"/>
          <w:b/>
          <w:noProof/>
        </w:rPr>
        <w:t>3.3.</w:t>
      </w:r>
      <w:r>
        <w:rPr>
          <w:rFonts w:eastAsia="Calibri"/>
          <w:b/>
          <w:noProof/>
        </w:rPr>
        <w:tab/>
        <w:t>Estimated impact on revenue</w:t>
      </w:r>
      <w:bookmarkEnd w:id="54"/>
      <w:bookmarkEnd w:id="55"/>
      <w:r>
        <w:rPr>
          <w:rFonts w:eastAsia="Calibri"/>
          <w:b/>
          <w:noProof/>
        </w:rPr>
        <w:t xml:space="preserve"> </w:t>
      </w:r>
    </w:p>
    <w:p>
      <w:pPr>
        <w:pStyle w:val="Text1"/>
        <w:rPr>
          <w:noProof/>
          <w:lang w:eastAsia="en-GB"/>
        </w:rPr>
      </w:pPr>
      <w:r>
        <w:rPr>
          <w:b/>
          <w:noProof/>
          <w:lang w:eastAsia="en-GB"/>
        </w:rPr>
        <w:t>X</w:t>
      </w:r>
      <w:r>
        <w:rPr>
          <w:noProof/>
          <w:lang w:eastAsia="en-GB"/>
        </w:rPr>
        <w:tab/>
        <w:t xml:space="preserve">The proposal has no financial impact on revenue. </w:t>
      </w:r>
    </w:p>
    <w:p>
      <w:pPr>
        <w:pStyle w:val="Text1"/>
        <w:rPr>
          <w:noProof/>
          <w:lang w:eastAsia="en-GB"/>
        </w:rPr>
      </w:pPr>
      <w:r>
        <w:rPr>
          <w:noProof/>
          <w:lang w:eastAsia="en-GB"/>
        </w:rPr>
        <w:tab/>
        <w:t>The proposal/initiative has the following financial impact:</w:t>
      </w:r>
    </w:p>
    <w:p>
      <w:pPr>
        <w:ind w:left="1984"/>
        <w:rPr>
          <w:rFonts w:eastAsia="Calibri"/>
          <w:noProof/>
        </w:rPr>
      </w:pPr>
      <w:r>
        <w:rPr>
          <w:rFonts w:eastAsia="Calibri"/>
          <w:noProof/>
        </w:rPr>
        <w:sym w:font="Wingdings" w:char="F0A8"/>
      </w:r>
      <w:r>
        <w:rPr>
          <w:rFonts w:eastAsia="Calibri"/>
          <w:noProof/>
        </w:rPr>
        <w:tab/>
        <w:t xml:space="preserve">on own resources </w:t>
      </w:r>
    </w:p>
    <w:p>
      <w:pPr>
        <w:tabs>
          <w:tab w:val="num" w:pos="1984"/>
        </w:tabs>
        <w:ind w:left="1984" w:hanging="567"/>
        <w:rPr>
          <w:rFonts w:eastAsia="Calibri"/>
          <w:noProof/>
        </w:rPr>
      </w:pPr>
      <w:r>
        <w:rPr>
          <w:rFonts w:eastAsia="Calibri"/>
          <w:noProof/>
        </w:rPr>
        <w:sym w:font="Wingdings" w:char="F0A8"/>
      </w:r>
      <w:r>
        <w:rPr>
          <w:rFonts w:eastAsia="Calibri"/>
          <w:noProof/>
        </w:rPr>
        <w:tab/>
        <w:t>on other revenue</w:t>
      </w:r>
    </w:p>
    <w:p>
      <w:pPr>
        <w:tabs>
          <w:tab w:val="num" w:pos="1984"/>
        </w:tabs>
        <w:ind w:left="1984" w:hanging="567"/>
        <w:rPr>
          <w:rFonts w:eastAsia="Calibri"/>
          <w:noProof/>
          <w:lang w:eastAsia="en-GB"/>
        </w:rPr>
      </w:pPr>
      <w:r>
        <w:rPr>
          <w:rFonts w:eastAsia="Calibri"/>
          <w:noProof/>
        </w:rPr>
        <w:t>please indicate, if the revenue is assigned to expenditure lines X</w:t>
      </w:r>
      <w:r>
        <w:rPr>
          <w:rFonts w:eastAsia="Calibri"/>
          <w:noProof/>
        </w:rPr>
        <w:tab/>
      </w:r>
    </w:p>
    <w:p>
      <w:pPr>
        <w:ind w:left="4320"/>
        <w:rPr>
          <w:rFonts w:eastAsia="Calibri"/>
          <w:i/>
          <w:noProof/>
          <w:sz w:val="20"/>
        </w:rPr>
      </w:pPr>
      <w:r>
        <w:rPr>
          <w:rFonts w:eastAsia="Calibri"/>
          <w:noProof/>
        </w:rPr>
        <w:t xml:space="preserve">     EUR </w:t>
      </w:r>
    </w:p>
    <w:p>
      <w:pPr>
        <w:ind w:left="850"/>
        <w:rPr>
          <w:rFonts w:eastAsia="Calibri"/>
          <w:noProof/>
          <w:sz w:val="20"/>
        </w:rPr>
      </w:pPr>
      <w:r>
        <w:rPr>
          <w:rFonts w:eastAsia="Calibri"/>
          <w:noProof/>
          <w:sz w:val="20"/>
        </w:rPr>
        <w:br w:type="textWrapping" w:clear="all"/>
      </w:r>
    </w:p>
    <w:p>
      <w:pPr>
        <w:ind w:left="850"/>
        <w:rPr>
          <w:rFonts w:eastAsia="Calibri"/>
          <w:noProof/>
          <w:sz w:val="20"/>
        </w:rPr>
      </w:pPr>
      <w:r>
        <w:rPr>
          <w:rFonts w:eastAsia="Calibri"/>
          <w:noProof/>
          <w:sz w:val="20"/>
        </w:rPr>
        <w:t>For assigned revenue, specify the budget expenditure line(s) affected.</w:t>
      </w:r>
    </w:p>
    <w:p>
      <w:pPr>
        <w:pBdr>
          <w:top w:val="single" w:sz="4" w:space="1" w:color="auto"/>
          <w:left w:val="single" w:sz="4" w:space="4" w:color="auto"/>
          <w:bottom w:val="single" w:sz="4" w:space="1" w:color="auto"/>
          <w:right w:val="single" w:sz="4" w:space="4" w:color="auto"/>
        </w:pBdr>
        <w:ind w:left="850"/>
        <w:rPr>
          <w:rFonts w:eastAsia="Calibri"/>
          <w:noProof/>
        </w:rPr>
      </w:pPr>
      <w:r>
        <w:rPr>
          <w:rFonts w:eastAsia="Calibri"/>
          <w:noProof/>
        </w:rPr>
        <w:t>N/A</w:t>
      </w:r>
    </w:p>
    <w:p>
      <w:pPr>
        <w:rPr>
          <w:i/>
          <w:noProof/>
        </w:rPr>
      </w:pPr>
      <w:r>
        <w:rPr>
          <w:i/>
          <w:noProof/>
        </w:rPr>
        <w:t>Other remarks (e.g. method/formula used for calculating the impact on revenue or any other information).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C , , p. .</w:t>
      </w:r>
    </w:p>
  </w:footnote>
  <w:footnote w:id="2">
    <w:p>
      <w:pPr>
        <w:pStyle w:val="FootnoteText"/>
      </w:pPr>
      <w:r>
        <w:rPr>
          <w:rStyle w:val="FootnoteReference"/>
        </w:rPr>
        <w:footnoteRef/>
      </w:r>
      <w:r>
        <w:tab/>
        <w:t>OJ C , , p. .</w:t>
      </w:r>
    </w:p>
  </w:footnote>
  <w:footnote w:id="3">
    <w:p>
      <w:pPr>
        <w:pStyle w:val="FootnoteText"/>
      </w:pPr>
      <w:r>
        <w:rPr>
          <w:rStyle w:val="FootnoteReference"/>
        </w:rPr>
        <w:footnoteRef/>
      </w:r>
      <w:r>
        <w:tab/>
        <w:t>OJ L 311, 14.11.2002, p. 3.</w:t>
      </w:r>
    </w:p>
  </w:footnote>
  <w:footnote w:id="4">
    <w:p>
      <w:pPr>
        <w:pStyle w:val="FootnoteText"/>
        <w:rPr>
          <w:lang w:val="en-IE"/>
        </w:rPr>
      </w:pPr>
      <w:r>
        <w:rPr>
          <w:rStyle w:val="FootnoteReference"/>
        </w:rPr>
        <w:footnoteRef/>
      </w:r>
      <w:r>
        <w:rPr>
          <w:lang w:val="en-IE"/>
        </w:rPr>
        <w:tab/>
      </w:r>
      <w:r>
        <w:t>SWD(2019) 187.</w:t>
      </w:r>
    </w:p>
  </w:footnote>
  <w:footnote w:id="5">
    <w:p>
      <w:pPr>
        <w:pStyle w:val="FootnoteText"/>
        <w:rPr>
          <w:lang w:val="en-IE"/>
        </w:rPr>
      </w:pPr>
      <w:r>
        <w:rPr>
          <w:rStyle w:val="FootnoteReference"/>
        </w:rPr>
        <w:footnoteRef/>
      </w:r>
      <w:r>
        <w:rPr>
          <w:lang w:val="en-IE"/>
        </w:rPr>
        <w:tab/>
      </w:r>
      <w:r>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p>
  </w:footnote>
  <w:footnote w:id="6">
    <w:p>
      <w:pPr>
        <w:pStyle w:val="FootnoteText"/>
        <w:rPr>
          <w:lang w:val="en-IE"/>
        </w:rPr>
      </w:pPr>
      <w:r>
        <w:rPr>
          <w:rStyle w:val="FootnoteReference"/>
        </w:rPr>
        <w:footnoteRef/>
      </w:r>
      <w:r>
        <w:rPr>
          <w:lang w:val="en-IE"/>
        </w:rPr>
        <w:tab/>
      </w:r>
      <w:r>
        <w:t>Diff. = Differentiated appropriations / Non-diff. = Non-differentiated appropriations.</w:t>
      </w:r>
    </w:p>
  </w:footnote>
  <w:footnote w:id="7">
    <w:p>
      <w:pPr>
        <w:pStyle w:val="FootnoteText"/>
        <w:rPr>
          <w:lang w:val="en-IE"/>
        </w:rPr>
      </w:pPr>
      <w:r>
        <w:rPr>
          <w:rStyle w:val="FootnoteReference"/>
        </w:rPr>
        <w:footnoteRef/>
      </w:r>
      <w:r>
        <w:rPr>
          <w:lang w:val="en-IE"/>
        </w:rPr>
        <w:tab/>
      </w:r>
      <w:r>
        <w:t>EFTA: European Free Trade Association.</w:t>
      </w:r>
    </w:p>
  </w:footnote>
  <w:footnote w:id="8">
    <w:p>
      <w:pPr>
        <w:pStyle w:val="FootnoteText"/>
        <w:rPr>
          <w:lang w:val="en-IE"/>
        </w:rPr>
      </w:pPr>
      <w:r>
        <w:rPr>
          <w:rStyle w:val="FootnoteReference"/>
        </w:rPr>
        <w:footnoteRef/>
      </w:r>
      <w:r>
        <w:rPr>
          <w:lang w:val="en-IE"/>
        </w:rPr>
        <w:tab/>
      </w:r>
      <w:r>
        <w:t>Candidate countries and, where applicable, potential candidates from the Western Balkans.</w:t>
      </w:r>
    </w:p>
  </w:footnote>
  <w:footnote w:id="9">
    <w:p>
      <w:pPr>
        <w:pStyle w:val="FootnoteText"/>
        <w:rPr>
          <w:lang w:val="en-IE"/>
        </w:rPr>
      </w:pPr>
      <w:r>
        <w:rPr>
          <w:rStyle w:val="FootnoteReference"/>
        </w:rPr>
        <w:footnoteRef/>
      </w:r>
      <w:r>
        <w:rPr>
          <w:lang w:val="en-IE"/>
        </w:rPr>
        <w:tab/>
      </w:r>
      <w:r>
        <w:rPr>
          <w:sz w:val="18"/>
          <w:szCs w:val="18"/>
        </w:rPr>
        <w:t>Year N is the year in which implementation of the proposal/initiative starts. Please replace "N" by the expected first year of implementation (for instance: 2021). The same for the following years.</w:t>
      </w:r>
    </w:p>
  </w:footnote>
  <w:footnote w:id="10">
    <w:p>
      <w:pPr>
        <w:pStyle w:val="FootnoteText"/>
        <w:rPr>
          <w:lang w:val="en-IE"/>
        </w:rPr>
      </w:pPr>
      <w:r>
        <w:rPr>
          <w:rStyle w:val="FootnoteReference"/>
        </w:rPr>
        <w:footnoteRef/>
      </w:r>
      <w:r>
        <w:rPr>
          <w:lang w:val="en-IE"/>
        </w:rPr>
        <w:tab/>
      </w:r>
      <w:r>
        <w:t>Outputs are products and services to be supplied (e.g.: number of student exchanges financed, number of km of roads built, etc.).</w:t>
      </w:r>
    </w:p>
  </w:footnote>
  <w:footnote w:id="11">
    <w:p>
      <w:pPr>
        <w:pStyle w:val="FootnoteText"/>
        <w:rPr>
          <w:lang w:val="en-IE"/>
        </w:rPr>
      </w:pPr>
      <w:r>
        <w:rPr>
          <w:rStyle w:val="FootnoteReference"/>
        </w:rPr>
        <w:footnoteRef/>
      </w:r>
      <w:r>
        <w:rPr>
          <w:lang w:val="en-IE"/>
        </w:rPr>
        <w:tab/>
      </w:r>
      <w:r>
        <w:t>As described in point 1.4.2. ‘Specific objective(s).</w:t>
      </w:r>
    </w:p>
  </w:footnote>
  <w:footnote w:id="12">
    <w:p>
      <w:pPr>
        <w:pStyle w:val="FootnoteText"/>
        <w:rPr>
          <w:lang w:val="en-IE"/>
        </w:rPr>
      </w:pPr>
      <w:r>
        <w:rPr>
          <w:rStyle w:val="FootnoteReference"/>
        </w:rPr>
        <w:footnoteRef/>
      </w:r>
      <w:r>
        <w:rPr>
          <w:lang w:val="en-IE"/>
        </w:rPr>
        <w:tab/>
      </w:r>
      <w:r>
        <w:rPr>
          <w:sz w:val="18"/>
          <w:szCs w:val="18"/>
        </w:rPr>
        <w:t>Year N is the year in which implementation of the proposal/initiative starts. Please replace "N" by the expected first year of implementation (for instance: 2021). The same for the following years.</w:t>
      </w:r>
    </w:p>
  </w:footnote>
  <w:footnote w:id="13">
    <w:p>
      <w:pPr>
        <w:pStyle w:val="FootnoteText"/>
        <w:rPr>
          <w:lang w:val="en-IE"/>
        </w:rPr>
      </w:pPr>
      <w:r>
        <w:rPr>
          <w:rStyle w:val="FootnoteReference"/>
        </w:rPr>
        <w:footnoteRef/>
      </w:r>
      <w:r>
        <w:rPr>
          <w:lang w:val="en-IE"/>
        </w:rPr>
        <w:tab/>
      </w:r>
      <w:r>
        <w:rPr>
          <w:sz w:val="18"/>
          <w:szCs w:val="18"/>
        </w:rPr>
        <w:t>Technical and/or administrative assistance and expenditure in support of the implementation of EU programmes and/or actions (former ‘BA’ lines), indirect research, direct research.</w:t>
      </w:r>
    </w:p>
  </w:footnote>
  <w:footnote w:id="14">
    <w:p>
      <w:pPr>
        <w:pStyle w:val="FootnoteText"/>
        <w:rPr>
          <w:lang w:val="en-IE"/>
        </w:rPr>
      </w:pPr>
      <w:r>
        <w:rPr>
          <w:rStyle w:val="FootnoteReference"/>
        </w:rPr>
        <w:footnoteRef/>
      </w:r>
      <w:r>
        <w:rPr>
          <w:lang w:val="en-IE"/>
        </w:rPr>
        <w:tab/>
      </w:r>
      <w:r>
        <w:t>AC= Contract Staff; AL = Local Staff; END= Seconded National Expert; INT = agency staff; JPD= Junior Professionals in Delegations.</w:t>
      </w:r>
    </w:p>
  </w:footnote>
  <w:footnote w:id="15">
    <w:p>
      <w:pPr>
        <w:pStyle w:val="FootnoteText"/>
        <w:rPr>
          <w:lang w:val="en-IE"/>
        </w:rPr>
      </w:pPr>
      <w:r>
        <w:rPr>
          <w:rStyle w:val="FootnoteReference"/>
        </w:rPr>
        <w:footnoteRef/>
      </w:r>
      <w:r>
        <w:rPr>
          <w:lang w:val="en-IE"/>
        </w:rPr>
        <w:tab/>
      </w:r>
      <w:r>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1C21F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B6F2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1835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6C9F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366F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84C8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983F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C2464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44D6F2F"/>
    <w:multiLevelType w:val="singleLevel"/>
    <w:tmpl w:val="F94A0F7A"/>
    <w:lvl w:ilvl="0">
      <w:start w:val="1"/>
      <w:numFmt w:val="bullet"/>
      <w:lvlRestart w:val="0"/>
      <w:pStyle w:val="ListBullet1"/>
      <w:lvlText w:val=""/>
      <w:lvlJc w:val="left"/>
      <w:pPr>
        <w:tabs>
          <w:tab w:val="num" w:pos="1134"/>
        </w:tabs>
        <w:ind w:left="1134" w:hanging="283"/>
      </w:pPr>
      <w:rPr>
        <w:rFonts w:ascii="Symbol" w:hAnsi="Symbol"/>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3-13 10:45:3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48C888-D971-4182-848B-8ED906069592"/>
    <w:docVar w:name="LW_COVERPAGE_TYPE" w:val="1"/>
    <w:docVar w:name="LW_CROSSREFERENCE" w:val="&lt;UNUSED&gt;"/>
    <w:docVar w:name="LW_DocType" w:val="COM"/>
    <w:docVar w:name="LW_EMISSION" w:val="13.3.2020"/>
    <w:docVar w:name="LW_EMISSION_ISODATE" w:val="2020-03-1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44"/>
    <w:docVar w:name="LW_REF.II.NEW.CP_YEAR" w:val="2020"/>
    <w:docVar w:name="LW_REF.INST.NEW" w:val="COM"/>
    <w:docVar w:name="LW_REF.INST.NEW_ADOPTED" w:val="final"/>
    <w:docVar w:name="LW_REF.INST.NEW_TEXT" w:val="(2020)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Council Regulation (EC) No 2012/2002 in order to provide financial assistance to Member States and countries negotiating their accession to the Union seriously affected by a major public health emergency"/>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pPr>
    <w:rPr>
      <w:rFonts w:eastAsia="Times New Roman"/>
      <w:szCs w:val="20"/>
      <w:lang w:eastAsia="zh-CN"/>
    </w:rPr>
  </w:style>
  <w:style w:type="character" w:styleId="Hyperlink">
    <w:name w:val="Hyperlink"/>
    <w:basedOn w:val="DefaultParagraphFont"/>
    <w:rPr>
      <w:rFonts w:cs="Times New Roman"/>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pPr>
    <w:rPr>
      <w:rFonts w:eastAsia="Times New Roman"/>
      <w:szCs w:val="20"/>
      <w:lang w:eastAsia="zh-CN"/>
    </w:rPr>
  </w:style>
  <w:style w:type="character" w:styleId="Hyperlink">
    <w:name w:val="Hyperlink"/>
    <w:basedOn w:val="DefaultParagraphFont"/>
    <w:rPr>
      <w:rFonts w:cs="Times New Roman"/>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intracomm.ec.europa.eu/budgweb/EN/leg/internal/Documents/2016-5-legislative-financial-statement-ann-en.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8E638-A04C-44B7-91DF-821DFB51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20</Pages>
  <Words>5731</Words>
  <Characters>30951</Characters>
  <Application>Microsoft Office Word</Application>
  <DocSecurity>0</DocSecurity>
  <Lines>1238</Lines>
  <Paragraphs>431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2020-03-13T07:27:00Z</dcterms:created>
  <dcterms:modified xsi:type="dcterms:W3CDTF">2020-03-13T09:45:00Z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