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D6E1044-8BB9-4564-889A-B93D799CB0CC" style="width:450.5pt;height:40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Реакторът с висока плътност на неутронния поток (наричан по-долу за краткост „HFR“) е изследователска инсталация в Петен (Нидерландия), която в съответствие със споразумението, сключено с Кралство Нидерландия през 1961 г., е предоставена на разположение на Европейската общност за атомна енергия (Евратом), представлявана от Комисията, за срок от 99 години. По силата на това споразумение Комисията, от името на Общността, е поела задължението да изгради необходимите съоръжения и да осигури допълнително оборудване с цел „оптимално използване“ на тези съоръжения (включително HFR). От 1967 г. Съвместният изследователски център (JRC) на Комисията е поверил експлоатацията на реактора на нидерландския оператор Nuclear Research and Сonsultancy Group (NRG) съгласно договор за сътрудничество, който се основава на посоченото споразумение от 1961 г.</w:t>
      </w:r>
    </w:p>
    <w:p>
      <w:pPr>
        <w:pBdr>
          <w:top w:val="nil"/>
          <w:left w:val="nil"/>
          <w:bottom w:val="nil"/>
          <w:right w:val="nil"/>
          <w:between w:val="nil"/>
          <w:bar w:val="nil"/>
        </w:pBdr>
        <w:spacing w:before="0" w:after="240"/>
        <w:rPr>
          <w:noProof/>
        </w:rPr>
      </w:pPr>
      <w:r>
        <w:rPr>
          <w:noProof/>
        </w:rPr>
        <w:t>До 1971 г. HFR беше експлоатиран в рамките на програма на Общността; тогава на основание на член 7 от Договора за Евратом тя беше преобразувана в допълнителна програма, която обединява програми на Общността, финансирани от бюджета на Общността. Оттогава HFR се експлоатира в рамките на последователни допълнителни програми с участието на различни държави членки.</w:t>
      </w:r>
    </w:p>
    <w:p>
      <w:pPr>
        <w:pBdr>
          <w:top w:val="nil"/>
          <w:left w:val="nil"/>
          <w:bottom w:val="nil"/>
          <w:right w:val="nil"/>
          <w:between w:val="nil"/>
          <w:bar w:val="nil"/>
        </w:pBdr>
        <w:spacing w:before="0" w:after="240"/>
        <w:rPr>
          <w:noProof/>
        </w:rPr>
      </w:pPr>
      <w:r>
        <w:rPr>
          <w:noProof/>
        </w:rPr>
        <w:t xml:space="preserve">Чрез допълнителната изследователска програма, финансирана от две или повече държави членки, HFR осигурява постоянен и надежден неутронен поток за експериментални цели. В рамките на допълнителните програми се проучват следните области: наука за ядрените материали и горива — с цел да се подобри безопасността на ядрените реактори (както за ядрено делене, така и за ядрен синтез), проучвания по стареенето на реакторите и управлението на жизнения им цикъл, изследвания в областта на авангардните горивни цикли и управлението на отпадъците. HFR действа също така като съоръжение за обучение на докторанти и стипендианти с докторска степен, които извършват изследователската си дейност по национални или европейски програми. </w:t>
      </w:r>
    </w:p>
    <w:p>
      <w:pPr>
        <w:pBdr>
          <w:top w:val="nil"/>
          <w:left w:val="nil"/>
          <w:bottom w:val="nil"/>
          <w:right w:val="nil"/>
          <w:between w:val="nil"/>
          <w:bar w:val="nil"/>
        </w:pBdr>
        <w:spacing w:before="0" w:after="240"/>
        <w:rPr>
          <w:noProof/>
        </w:rPr>
      </w:pPr>
      <w:r>
        <w:rPr>
          <w:noProof/>
        </w:rPr>
        <w:t xml:space="preserve">Текущата допълнителна програма беше приета на 29 май 2017 г. за период от четири години (2016—2019 г.) (Решение 2017/956/Евратом на Съвета, ОВ L 144, 7.6.2017 г., стр. 23). Програмата се изпълнява от Съвместния изследователски център (JRC) за Европейската общност за атомна енергия. Вноските за допълнителната изследователска програма за периода 2016—2019 г. бяха направени от две участващи държави членки (Нидерландия и Франция) и възлязоха на обща стойност 30,2 млн. евро. Тази сума включваше провизиите за годишните вноски за фонда за извеждане на реактора от експлоатация. Текущата допълнителна изследователска програма изтича на 31 декември 2019 г. </w:t>
      </w:r>
    </w:p>
    <w:p>
      <w:pPr>
        <w:pBdr>
          <w:top w:val="nil"/>
          <w:left w:val="nil"/>
          <w:bottom w:val="nil"/>
          <w:right w:val="nil"/>
          <w:between w:val="nil"/>
          <w:bar w:val="nil"/>
        </w:pBdr>
        <w:spacing w:before="0" w:after="240"/>
        <w:rPr>
          <w:noProof/>
        </w:rPr>
      </w:pPr>
      <w:r>
        <w:rPr>
          <w:noProof/>
        </w:rPr>
        <w:t>Реакторът се използва също така и за търговско производство на радиоизотопи (под отговорността на оператора), което покрива над 60 % от 10-те милиона медицински диагностики, извършвани всяка година в Европа. Той е незаменим доставчик за европейските радиофармацевтични дружества в тази област. Освен това, поради местонахождението на реактора, неговата продукция бързо се отправя до европейските медицински центрове. Това е от основно значение за най-често използваните краткоживеещи изотопи.</w:t>
      </w:r>
    </w:p>
    <w:p>
      <w:pPr>
        <w:pBdr>
          <w:top w:val="nil"/>
          <w:left w:val="nil"/>
          <w:bottom w:val="nil"/>
          <w:right w:val="nil"/>
          <w:between w:val="nil"/>
          <w:bar w:val="nil"/>
        </w:pBdr>
        <w:spacing w:before="0" w:after="240"/>
        <w:rPr>
          <w:rFonts w:eastAsia="Arial Unicode MS"/>
          <w:noProof/>
        </w:rPr>
      </w:pPr>
      <w:r>
        <w:rPr>
          <w:noProof/>
        </w:rPr>
        <w:lastRenderedPageBreak/>
        <w:t>Настоящото предложение за решение на Съвета се отнася за нова четиригодишна програма за експлоатацията на HFR (2020—2023 г.), основана на изследователските дейности на Nuclear Research and Сonsultancy Group — NRG (от името на Нидерландия) и Commissariat à l’énergie atomique et aux énergies alternatives — CEA (от името на Франция). Вноските за допълнителната изследователска програма за 2020—2023 г. ще бъдат в размер на 27,854 млн. евро през четиригодишния период, при условие че HFR продължи да бъде в редовна експлоатация и поддръжка. Тази сума ще включва провизиите за годишните вноски за фонда за извеждане на реактора от експлоатация. Ако през периода 2020—2023 г., преди обявяването на консервация в безопасно състояние, операторът NRG издаде до националните органи по безопасността официално уведомление за окончателно спиране, плащанията, които остава да бъдат извършени, както и поканите от страна на Комисията за внасяне на средства, ще бъдат преустановени.</w:t>
      </w:r>
    </w:p>
    <w:p>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На своето заседание от 27 юни 1996 г. Съветът заяви, че на основата на адекватно финансиране HFR може да допринесе за изпълнението на програми на Общността, независимо дали те се реализират в контекста на рамковите програми, или не.</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7 от Договора за Евратом.</w:t>
      </w:r>
      <w:r>
        <w:rPr>
          <w:rStyle w:val="FootnoteReference"/>
          <w:noProof/>
        </w:rPr>
        <w:t xml:space="preserve">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rFonts w:eastAsia="Times New Roman"/>
          <w:noProof/>
          <w:szCs w:val="24"/>
        </w:rPr>
      </w:pPr>
      <w:r>
        <w:rPr>
          <w:noProof/>
        </w:rPr>
        <w:t>Сред държавите членки, с които бяха проведени консултации с оглед на техните изследователски дейности в ядрената област, две държави членки (Нидерландия и Франция) се съгласиха да допринесат за финансирането на HFR.</w:t>
      </w:r>
    </w:p>
    <w:p>
      <w:pPr>
        <w:pStyle w:val="ManualHeading2"/>
        <w:rPr>
          <w:rFonts w:eastAsia="Arial Unicode MS"/>
          <w:noProof/>
          <w:u w:color="000000"/>
          <w:bdr w:val="nil"/>
        </w:rPr>
      </w:pPr>
      <w:r>
        <w:rPr>
          <w:noProof/>
          <w:u w:color="000000"/>
          <w:bdr w:val="nil"/>
        </w:rPr>
        <w:lastRenderedPageBreak/>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ВУРХУ БЮДЖЕТА</w:t>
      </w:r>
    </w:p>
    <w:p>
      <w:pPr>
        <w:rPr>
          <w:rFonts w:eastAsia="Times New Roman"/>
          <w:noProof/>
          <w:szCs w:val="24"/>
        </w:rPr>
      </w:pPr>
      <w:r>
        <w:rPr>
          <w:noProof/>
        </w:rPr>
        <w:t>Във финансовия отчет за тази нова допълнителна програма са посочени вноските, които ще бъдат осигурени от две участващи държави членки, а именно Нидерландия и Франция. Вноските от тези две държави членки за периода 2020—2023 г. възлизат на 27,854 млн. евро. Тази сума, плюс очаквания търговски приход, осигурява достатъчен оперативен бюджет, за да се балансират прогнозните разходи за реактора за периода 2020—2023 г. Следва да се отбележи, че бюджетът включва провизии за извеждането от експлоатация на реактора, както и разходи, свързани с общото подпомагане на HFR, помощни съоръжения, застраховки и управление на отработеното гориво.</w:t>
      </w:r>
    </w:p>
    <w:p>
      <w:pPr>
        <w:rPr>
          <w:rFonts w:eastAsia="Times New Roman"/>
          <w:noProof/>
          <w:szCs w:val="24"/>
        </w:rPr>
      </w:pPr>
      <w:r>
        <w:rPr>
          <w:noProof/>
        </w:rPr>
        <w:t>Комисията потвърждава декларацията, вписана в протокола от заседанието на Съвета от 27 юни 1996 г., в която се заявява, че „на основата на адекватно финансиране HFR може да допринесе за изпълнението на програми на Общността, независимо дали те се реализират в контекста на рамковите програми, или не. Това участие може да се осъществи или на конкурентен принцип, или чрез услуги за облъчване, които се предоставят на институти на JRC при провеждането на съответните им дейности“. Това означава, че Комисията няма да допринася към експлоатационните разходи на HFR с финансови средства от своя институционален бюджет, включително всякакви разходи по поддръжката или ремонта на реактора.</w:t>
      </w:r>
    </w:p>
    <w:p>
      <w:pPr>
        <w:pBdr>
          <w:top w:val="nil"/>
          <w:left w:val="nil"/>
          <w:bottom w:val="nil"/>
          <w:right w:val="nil"/>
          <w:between w:val="nil"/>
          <w:bar w:val="nil"/>
        </w:pBdr>
        <w:spacing w:before="0" w:after="240"/>
        <w:rPr>
          <w:rFonts w:eastAsia="Arial Unicode MS"/>
          <w:noProof/>
        </w:rPr>
      </w:pPr>
      <w:r>
        <w:rPr>
          <w:rStyle w:val="FootnoteReference"/>
          <w:noProof/>
        </w:rPr>
        <w:t xml:space="preserve"> </w:t>
      </w:r>
    </w:p>
    <w:p>
      <w:pPr>
        <w:pBdr>
          <w:top w:val="nil"/>
          <w:left w:val="nil"/>
          <w:bottom w:val="nil"/>
          <w:right w:val="nil"/>
          <w:between w:val="nil"/>
          <w:bar w:val="nil"/>
        </w:pBdr>
        <w:spacing w:before="0" w:after="240"/>
        <w:rPr>
          <w:b/>
          <w:noProof/>
        </w:rPr>
      </w:pPr>
      <w:r>
        <w:rPr>
          <w:b/>
          <w:noProof/>
        </w:rPr>
        <w:t>5.</w:t>
      </w:r>
      <w:r>
        <w:rPr>
          <w:b/>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Управителният съвет на Съвместния изследователски център трябва да бъде информиран редовно за изпълнението на програмата. Комисията представя на Европейския парламент и на Съвета окончателен доклад за изпълнението на настоящото решение. </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Не е приложимо.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приемане на допълнителната изследователска програма за реактора с висока плътност на неутронния поток в Петен за периода 2020—2023 година, която Съвместният изследователски център ще изпълнява за Европейската общност за атомна енергия</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създаване на Европейската общност за атомна енергия, и по-специално член 7 от него,</w:t>
      </w:r>
    </w:p>
    <w:p>
      <w:pPr>
        <w:rPr>
          <w:noProof/>
        </w:rPr>
      </w:pPr>
      <w:r>
        <w:rPr>
          <w:noProof/>
        </w:rPr>
        <w:t>като взе предвид предложението на Европейската комисия,</w:t>
      </w:r>
    </w:p>
    <w:p>
      <w:pPr>
        <w:rPr>
          <w:noProof/>
        </w:rPr>
      </w:pPr>
      <w:r>
        <w:rPr>
          <w:noProof/>
        </w:rPr>
        <w:t>след консултация с Научния и технически комитет</w:t>
      </w:r>
      <w:r>
        <w:rPr>
          <w:rStyle w:val="FootnoteReference"/>
          <w:noProof/>
        </w:rPr>
        <w:footnoteReference w:id="1"/>
      </w:r>
      <w:r>
        <w:rPr>
          <w:noProof/>
        </w:rPr>
        <w:t>,</w:t>
      </w:r>
    </w:p>
    <w:p>
      <w:pPr>
        <w:rPr>
          <w:noProof/>
        </w:rPr>
      </w:pPr>
    </w:p>
    <w:p>
      <w:pPr>
        <w:rPr>
          <w:noProof/>
        </w:rPr>
      </w:pPr>
      <w:r>
        <w:rPr>
          <w:noProof/>
        </w:rPr>
        <w:t>като има предвид, че:</w:t>
      </w:r>
    </w:p>
    <w:p>
      <w:pPr>
        <w:pStyle w:val="ManualConsidrant"/>
        <w:rPr>
          <w:noProof/>
        </w:rPr>
      </w:pPr>
      <w:r>
        <w:t>(1)</w:t>
      </w:r>
      <w:r>
        <w:tab/>
      </w:r>
      <w:r>
        <w:rPr>
          <w:noProof/>
        </w:rPr>
        <w:t>Реакторът с висока плътност на неутронния поток (</w:t>
      </w:r>
      <w:r>
        <w:rPr>
          <w:i/>
          <w:noProof/>
        </w:rPr>
        <w:t>High Flux Reactor</w:t>
      </w:r>
      <w:r>
        <w:rPr>
          <w:noProof/>
        </w:rPr>
        <w:t xml:space="preserve"> — „HFR“) в Петен е важен ресурс, с който Общността разполага за изследвания в областите на материалознанието, изпитването на материали, ядрената медицина и безопасността на ядрените реактори.</w:t>
      </w:r>
    </w:p>
    <w:p>
      <w:pPr>
        <w:pStyle w:val="ManualConsidrant"/>
        <w:rPr>
          <w:noProof/>
        </w:rPr>
      </w:pPr>
      <w:r>
        <w:t>(2)</w:t>
      </w:r>
      <w:r>
        <w:tab/>
      </w:r>
      <w:r>
        <w:rPr>
          <w:noProof/>
        </w:rPr>
        <w:t>Експлоатацията на HFR беше подпомагана от поредица допълнителни изследователски програми. Последната допълнителна изследователска програма беше създадена с Решение (Евратом) 2017/956 на Съвета</w:t>
      </w:r>
      <w:r>
        <w:rPr>
          <w:rStyle w:val="FootnoteReference"/>
          <w:noProof/>
        </w:rPr>
        <w:footnoteReference w:id="2"/>
      </w:r>
      <w:r>
        <w:rPr>
          <w:noProof/>
        </w:rPr>
        <w:t xml:space="preserve"> за период от четири години и изтича на 31 декември 2019 г.</w:t>
      </w:r>
    </w:p>
    <w:p>
      <w:pPr>
        <w:pStyle w:val="ManualConsidrant"/>
        <w:rPr>
          <w:noProof/>
        </w:rPr>
      </w:pPr>
      <w:r>
        <w:t>(3)</w:t>
      </w:r>
      <w:r>
        <w:tab/>
      </w:r>
      <w:r>
        <w:rPr>
          <w:noProof/>
        </w:rPr>
        <w:t>Като се има предвид значението на HFR, който продължава да е незаменима инфраструктура за изследванията на Общността в областите на подобряването на безопасността на ядрените реактори, здравеопазването (включително разработването на медицински изотопи за медицински изследвания), ядрения синтез, фундаменталните изследвания, обучението, управлението на отпадъците, включително възможността за изучаване на поведението на ядрените горива по отношение на безопасността на реакторните системи, представляващи интерес за Европа, HFR следва да продължи да бъде подпомаган по допълнителна изследователска програма до края на 2023 г.</w:t>
      </w:r>
    </w:p>
    <w:p>
      <w:pPr>
        <w:pStyle w:val="ManualConsidrant"/>
        <w:rPr>
          <w:noProof/>
        </w:rPr>
      </w:pPr>
      <w:r>
        <w:t>(4)</w:t>
      </w:r>
      <w:r>
        <w:tab/>
      </w:r>
      <w:r>
        <w:rPr>
          <w:noProof/>
        </w:rPr>
        <w:t>Поради специалния си интерес към способността на HFR за облъчване, NRG (</w:t>
      </w:r>
      <w:r>
        <w:rPr>
          <w:i/>
          <w:noProof/>
        </w:rPr>
        <w:t>Nuclear Research and Сonsultancy Group V.O.F</w:t>
      </w:r>
      <w:r>
        <w:rPr>
          <w:noProof/>
        </w:rPr>
        <w:t xml:space="preserve"> ) и CEA (</w:t>
      </w:r>
      <w:r>
        <w:rPr>
          <w:i/>
          <w:noProof/>
        </w:rPr>
        <w:t xml:space="preserve">Commissariat à l'énergie </w:t>
      </w:r>
      <w:r>
        <w:rPr>
          <w:i/>
          <w:noProof/>
        </w:rPr>
        <w:lastRenderedPageBreak/>
        <w:t>atomique et aux énergies alternatives</w:t>
      </w:r>
      <w:r>
        <w:rPr>
          <w:noProof/>
        </w:rPr>
        <w:t xml:space="preserve">), в качеството си на изпълнители съответно за Франция и Нидерландия, се съгласиха да финансират цялата допълнителна изследователска програма за HFR за периода 2020—2023 г. чрез вноски в общия бюджет на Съюза под формата на целеви приходи. </w:t>
      </w:r>
    </w:p>
    <w:p>
      <w:pPr>
        <w:pStyle w:val="ManualConsidrant"/>
        <w:rPr>
          <w:noProof/>
        </w:rPr>
      </w:pPr>
      <w:r>
        <w:t>(5)</w:t>
      </w:r>
      <w:r>
        <w:tab/>
      </w:r>
      <w:r>
        <w:rPr>
          <w:noProof/>
        </w:rPr>
        <w:t>С тези вноски следва да се финансира експлоатацията на HFR, за да се подпомагат изследователската програма и редовната експлоатация и поддръжка на HFR. В случай че операторът NRG направи официално уведомление за окончателно спиране до нидерландския национален регулаторен орган, преди обявяването на консервацията в безопасно състояние, плащанията, които остава да бъдат извършени, както и поканите от страна на Комисията за внасяне на средства, следва да се преустановят.</w:t>
      </w:r>
    </w:p>
    <w:p>
      <w:pPr>
        <w:pStyle w:val="ManualConsidrant"/>
        <w:rPr>
          <w:noProof/>
        </w:rPr>
      </w:pPr>
      <w:r>
        <w:t>(6)</w:t>
      </w:r>
      <w:r>
        <w:tab/>
      </w:r>
      <w:r>
        <w:rPr>
          <w:noProof/>
        </w:rPr>
        <w:t>В интерес на приемствеността между допълнителните изследователски програми и на гладкото функциониране на допълнителната изследователска програма за HFR за периода 2020—2023 г., настоящото решение следва да се прилага от 1 януари 2020 г.</w:t>
      </w:r>
    </w:p>
    <w:p>
      <w:pPr>
        <w:pStyle w:val="ManualConsidrant"/>
        <w:rPr>
          <w:noProof/>
        </w:rPr>
      </w:pPr>
      <w:r>
        <w:t>(7)</w:t>
      </w:r>
      <w:r>
        <w:tab/>
      </w:r>
      <w:r>
        <w:rPr>
          <w:noProof/>
        </w:rPr>
        <w:t>Управителният съвет на Съвместния изследователски център представи предварителното си становище</w:t>
      </w:r>
      <w:r>
        <w:rPr>
          <w:rStyle w:val="FootnoteReference"/>
          <w:noProof/>
        </w:rPr>
        <w:footnoteReference w:id="3"/>
      </w:r>
      <w:r>
        <w:rPr>
          <w:noProof/>
        </w:rPr>
        <w:t xml:space="preserve"> съгласно член 4 от Решение 96/282/Евратом на Комисията</w:t>
      </w:r>
      <w:r>
        <w:rPr>
          <w:rStyle w:val="FootnoteReference"/>
          <w:noProof/>
        </w:rPr>
        <w:footnoteReference w:id="4"/>
      </w:r>
      <w:r>
        <w:rPr>
          <w:noProof/>
        </w:rPr>
        <w:t>,</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Допълнителната изследователска програма за експлоатация на реактора с висока плътност на неутронния поток в Петен („HFR“) („програмата“), чиито цели са определени в приложение I, се приема за период от четири години, считано от 1 януари 2020 г.</w:t>
      </w:r>
    </w:p>
    <w:p>
      <w:pPr>
        <w:rPr>
          <w:noProof/>
        </w:rPr>
      </w:pPr>
    </w:p>
    <w:p>
      <w:pPr>
        <w:jc w:val="center"/>
        <w:rPr>
          <w:noProof/>
        </w:rPr>
      </w:pPr>
      <w:r>
        <w:rPr>
          <w:i/>
          <w:noProof/>
        </w:rPr>
        <w:t>Член 2</w:t>
      </w:r>
    </w:p>
    <w:p>
      <w:pPr>
        <w:rPr>
          <w:noProof/>
        </w:rPr>
      </w:pPr>
      <w:r>
        <w:rPr>
          <w:noProof/>
        </w:rPr>
        <w:t>Разходите по изпълнението на програмата, размерът на които се оценява на 27 854 000 EUR, се финансират изцяло от вноски от Франция и Нидерландия съответно чрез CEA и NRG. Разпределението на тази сума е посочено в приложение II. Тези вноски се считат за целеви приход в съответствие с член 21, параграф 2 от Регламент (ЕС, Евратом) 2018/1046 на Европейския парламент и на Съвета</w:t>
      </w:r>
      <w:r>
        <w:rPr>
          <w:rStyle w:val="FootnoteReference"/>
          <w:noProof/>
        </w:rPr>
        <w:footnoteReference w:id="5"/>
      </w:r>
      <w:r>
        <w:rPr>
          <w:noProof/>
        </w:rPr>
        <w:t>.</w:t>
      </w:r>
    </w:p>
    <w:p>
      <w:pPr>
        <w:rPr>
          <w:noProof/>
        </w:rPr>
      </w:pPr>
    </w:p>
    <w:p>
      <w:pPr>
        <w:jc w:val="center"/>
        <w:rPr>
          <w:noProof/>
        </w:rPr>
      </w:pPr>
      <w:r>
        <w:rPr>
          <w:i/>
          <w:noProof/>
        </w:rPr>
        <w:t>Член 3</w:t>
      </w:r>
    </w:p>
    <w:p>
      <w:pPr>
        <w:pStyle w:val="ManualNumPar1"/>
        <w:rPr>
          <w:noProof/>
        </w:rPr>
      </w:pPr>
      <w:r>
        <w:t>1.</w:t>
      </w:r>
      <w:r>
        <w:tab/>
      </w:r>
      <w:r>
        <w:rPr>
          <w:noProof/>
        </w:rPr>
        <w:t>За управлението на програмата отговаря Комисията. За тази цел тя използва услугите на Съвместния изследователски център.</w:t>
      </w:r>
    </w:p>
    <w:p>
      <w:pPr>
        <w:pStyle w:val="ManualNumPar1"/>
        <w:rPr>
          <w:noProof/>
        </w:rPr>
      </w:pPr>
      <w:r>
        <w:lastRenderedPageBreak/>
        <w:t>2.</w:t>
      </w:r>
      <w:r>
        <w:tab/>
      </w:r>
      <w:r>
        <w:rPr>
          <w:noProof/>
        </w:rPr>
        <w:t>Комисията информира управителния съвет на Съвместния изследователски център за изпълнението на програмата.</w:t>
      </w:r>
    </w:p>
    <w:p>
      <w:pPr>
        <w:pStyle w:val="Titrearticle"/>
        <w:rPr>
          <w:noProof/>
        </w:rPr>
      </w:pPr>
      <w:r>
        <w:rPr>
          <w:noProof/>
        </w:rPr>
        <w:t>Член 4</w:t>
      </w:r>
    </w:p>
    <w:p>
      <w:pPr>
        <w:rPr>
          <w:noProof/>
          <w:szCs w:val="24"/>
        </w:rPr>
      </w:pPr>
      <w:r>
        <w:rPr>
          <w:noProof/>
        </w:rPr>
        <w:t>В случай че NRG направи официално уведомление за окончателно спиране на HFR до нидерландския регулаторен орган (преди обявяването на консервацията в безопасно състояние), задълженията на Франция и на Нидерландия, съответно чрез CEA и NRG, да правят по-нататъшни плащания, както и поканите от страна на Комисията за внасяне на средства съгласно настоящото решение, се преустановяват.</w:t>
      </w:r>
    </w:p>
    <w:p>
      <w:pPr>
        <w:pStyle w:val="Titrearticle"/>
        <w:rPr>
          <w:noProof/>
        </w:rPr>
      </w:pPr>
      <w:r>
        <w:rPr>
          <w:noProof/>
        </w:rPr>
        <w:t>Член 5</w:t>
      </w:r>
    </w:p>
    <w:p>
      <w:pPr>
        <w:rPr>
          <w:noProof/>
          <w:sz w:val="22"/>
        </w:rPr>
      </w:pPr>
    </w:p>
    <w:p>
      <w:pPr>
        <w:rPr>
          <w:noProof/>
        </w:rPr>
      </w:pPr>
      <w:r>
        <w:rPr>
          <w:noProof/>
        </w:rPr>
        <w:t>След завършването на допълнителната изследователска програма за HFR за периода 2020—2023 г., Комисията представя на Европейския парламент и на Съвета окончателен доклад за изпълнението на настоящото решение.</w:t>
      </w:r>
    </w:p>
    <w:p>
      <w:pPr>
        <w:pStyle w:val="Titrearticle"/>
        <w:keepNext w:val="0"/>
        <w:rPr>
          <w:noProof/>
        </w:rPr>
      </w:pPr>
      <w:r>
        <w:rPr>
          <w:noProof/>
        </w:rPr>
        <w:t>Член 6</w:t>
      </w:r>
    </w:p>
    <w:p>
      <w:pPr>
        <w:pStyle w:val="ListParagraph"/>
        <w:keepLines/>
        <w:ind w:left="360"/>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ListParagraph"/>
        <w:keepLines/>
        <w:ind w:left="360"/>
        <w:rPr>
          <w:noProof/>
        </w:rPr>
      </w:pPr>
    </w:p>
    <w:p>
      <w:pPr>
        <w:keepLines/>
        <w:ind w:left="360"/>
        <w:rPr>
          <w:noProof/>
        </w:rPr>
      </w:pPr>
      <w:r>
        <w:rPr>
          <w:noProof/>
        </w:rPr>
        <w:t>То се прилага се от 1 януари 2020 г.</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pStyle w:val="Fichefinanciretitre"/>
        <w:rPr>
          <w:noProof/>
        </w:rPr>
      </w:pPr>
      <w:r>
        <w:rPr>
          <w:noProof/>
        </w:rPr>
        <w:br w:type="page"/>
      </w:r>
      <w:r>
        <w:rPr>
          <w:noProof/>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Допълнителна изследователска програма за реактора с висока плътност на неутронния поток за периода 2020—2023 г., която Съвместният изследователски център ще изпълнява за Европейската общност за атомна енергия</w:t>
      </w:r>
    </w:p>
    <w:p>
      <w:pPr>
        <w:pStyle w:val="ManualHeading2"/>
        <w:rPr>
          <w:i/>
          <w:noProof/>
        </w:rPr>
      </w:pPr>
      <w:r>
        <w:t>1.2.</w:t>
      </w:r>
      <w:r>
        <w:tab/>
      </w:r>
      <w:r>
        <w:rPr>
          <w:noProof/>
        </w:rPr>
        <w:t>Съответни области на политиката</w:t>
      </w:r>
      <w:r>
        <w:rPr>
          <w:i/>
          <w:noProof/>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Дял 10:</w:t>
      </w:r>
      <w:r>
        <w:rPr>
          <w:noProof/>
        </w:rPr>
        <w:tab/>
      </w:r>
      <w:r>
        <w:rPr>
          <w:noProof/>
        </w:rPr>
        <w:tab/>
        <w:t>Пряка изследователска дейност</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Глава 10 04:</w:t>
      </w:r>
      <w:r>
        <w:rPr>
          <w:noProof/>
        </w:rPr>
        <w:tab/>
        <w:t>Други дейности на Съвместния изследователски център (JRC)</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Статия 10 04 04:</w:t>
      </w:r>
      <w:r>
        <w:rPr>
          <w:noProof/>
        </w:rPr>
        <w:tab/>
        <w:t>Експлоатация на реактора с висока плътност на потока (HFR)</w:t>
      </w:r>
    </w:p>
    <w:p>
      <w:pPr>
        <w:pStyle w:val="ManualHeading2"/>
        <w:rPr>
          <w:noProof/>
          <w:szCs w:val="24"/>
        </w:rPr>
      </w:pPr>
      <w:r>
        <w:t>1.3.</w:t>
      </w:r>
      <w:r>
        <w:tab/>
      </w:r>
      <w:r>
        <w:rPr>
          <w:noProof/>
        </w:rPr>
        <w:t xml:space="preserve">Предложението/инициативата е във връзка с: </w:t>
      </w:r>
    </w:p>
    <w:p>
      <w:pPr>
        <w:pStyle w:val="Text1"/>
        <w:rPr>
          <w:noProof/>
        </w:rPr>
      </w:pPr>
      <w:r>
        <w:rPr>
          <w:noProof/>
        </w:rPr>
        <w:sym w:font="Wingdings" w:char="F0A8"/>
      </w:r>
      <w:r>
        <w:rPr>
          <w:i/>
          <w:noProof/>
        </w:rPr>
        <w:t xml:space="preserve"> </w:t>
      </w:r>
      <w:r>
        <w:rPr>
          <w:noProof/>
        </w:rPr>
        <w:t xml:space="preserve">ново действие </w:t>
      </w:r>
    </w:p>
    <w:p>
      <w:pPr>
        <w:pStyle w:val="Text1"/>
        <w:rPr>
          <w:noProof/>
        </w:rPr>
      </w:pPr>
      <w:r>
        <w:rPr>
          <w:noProof/>
        </w:rPr>
        <w:sym w:font="Wingdings" w:char="F0A8"/>
      </w:r>
      <w:r>
        <w:rPr>
          <w:i/>
          <w:noProof/>
        </w:rPr>
        <w:t xml:space="preserve"> </w:t>
      </w:r>
      <w:r>
        <w:rPr>
          <w:noProof/>
        </w:rPr>
        <w:t>ново действие след пилотен проект/подготвително действие</w:t>
      </w:r>
      <w:r>
        <w:rPr>
          <w:rStyle w:val="FootnoteReference"/>
          <w:noProof/>
        </w:rPr>
        <w:footnoteReference w:id="6"/>
      </w:r>
      <w:r>
        <w:rPr>
          <w:noProof/>
        </w:rPr>
        <w:t xml:space="preserve"> </w:t>
      </w:r>
    </w:p>
    <w:p>
      <w:pPr>
        <w:pStyle w:val="Text1"/>
        <w:rPr>
          <w:noProof/>
        </w:rPr>
      </w:pPr>
      <w:r>
        <w:rPr>
          <w:noProof/>
        </w:rPr>
        <w:sym w:font="Wingdings" w:char="F078"/>
      </w:r>
      <w:r>
        <w:rPr>
          <w:i/>
          <w:noProof/>
        </w:rPr>
        <w:t xml:space="preserve"> </w:t>
      </w:r>
      <w:r>
        <w:rPr>
          <w:noProof/>
        </w:rPr>
        <w:t xml:space="preserve">продължаване на съществуващо действие </w:t>
      </w:r>
    </w:p>
    <w:p>
      <w:pPr>
        <w:pStyle w:val="Text1"/>
        <w:rPr>
          <w:noProof/>
        </w:rPr>
      </w:pPr>
      <w:r>
        <w:rPr>
          <w:noProof/>
        </w:rPr>
        <w:sym w:font="Wingdings" w:char="F0A8"/>
      </w:r>
      <w:r>
        <w:rPr>
          <w:i/>
          <w:noProof/>
        </w:rPr>
        <w:t xml:space="preserve"> </w:t>
      </w:r>
      <w:r>
        <w:rPr>
          <w:noProof/>
        </w:rPr>
        <w:t xml:space="preserve">сливане или пренасочване на едно или няколко действия към друго/ново действие </w:t>
      </w:r>
    </w:p>
    <w:p>
      <w:pPr>
        <w:pStyle w:val="ManualHeading2"/>
        <w:rPr>
          <w:noProof/>
          <w:szCs w:val="24"/>
        </w:rPr>
      </w:pPr>
      <w:r>
        <w:t>1.4.</w:t>
      </w:r>
      <w:r>
        <w:tab/>
      </w:r>
      <w:r>
        <w:rPr>
          <w:noProof/>
        </w:rPr>
        <w:t>Цели</w:t>
      </w:r>
    </w:p>
    <w:p>
      <w:pPr>
        <w:pStyle w:val="ManualHeading3"/>
        <w:rPr>
          <w:noProof/>
        </w:rPr>
      </w:pPr>
      <w:r>
        <w:t>1.4.1.</w:t>
      </w:r>
      <w:r>
        <w:tab/>
      </w:r>
      <w:r>
        <w:rPr>
          <w:noProof/>
        </w:rPr>
        <w:t>Общи цели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Реакторът с висока плътност на неутронния поток (HFR) играе важна роля в Европейския съюз в подкрепа на производството на медицински радиоизотопи, областите на изследване, свързани с безопасността на стареенето и продължаването на живота на ядрените инсталации, подобряването на безопасността на горивата, безопасното управление на ядрените отпадъци, както и обучението.</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Освен това за фундаменталните изследвания се използват неутронни снопове за изучаване на строежа на материалите. Тази дейност се развива постоянно и допринася за разбирането на механизмите на влошаването на характеристиките и начините за тяхното смекчаване във връзка с безопасността на съществуващите инсталации. В рамката на термоядрения синтез се изпълняват няколко проекта с цел да се изпитат конструктивни и възпроизвеждащи материали за бъдещи реактори за ядрен синтез.</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p>
    <w:p>
      <w:pPr>
        <w:pStyle w:val="ManualHeading3"/>
        <w:rPr>
          <w:noProof/>
          <w:szCs w:val="24"/>
        </w:rPr>
      </w:pPr>
      <w:r>
        <w:t>1.4.2.</w:t>
      </w:r>
      <w:r>
        <w:tab/>
      </w:r>
      <w:r>
        <w:rPr>
          <w:noProof/>
        </w:rPr>
        <w:t>Конкретни цели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Главната цел на допълнителната програма за HFR е безопасната и надеждна експлоатация на HFR. Тази дейност включва нормалното използване на инсталацията за максималния период на експлоатация и осигуряването на неутронен поток за провеждане на опити и за производство на изотопи.</w:t>
      </w:r>
    </w:p>
    <w:p>
      <w:pPr>
        <w:rPr>
          <w:rFonts w:eastAsiaTheme="majorEastAsia"/>
          <w:bCs/>
          <w:i/>
          <w:noProof/>
        </w:rPr>
      </w:pPr>
      <w:r>
        <w:rPr>
          <w:noProof/>
        </w:rPr>
        <w:br w:type="page"/>
      </w:r>
    </w:p>
    <w:p>
      <w:pPr>
        <w:pStyle w:val="ManualHeading3"/>
        <w:rPr>
          <w:noProof/>
        </w:rPr>
      </w:pPr>
      <w:r>
        <w:t>1.4.3.</w:t>
      </w:r>
      <w:r>
        <w:tab/>
      </w:r>
      <w:r>
        <w:rPr>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Данни за облъчване и резултати от експерименти в широк спектър от дисциплини като: безопасността на ядрените реактори, разработването и производството на радиоизотопи за медицинска употреба и изследвания, изследването на материали за реактори за ядрен синтез, фундаменталните ядрени изследвания и обучението, въпросите на управлението на отпадъците, както и ядрените горива за ново по-безопасно поколение реакторни системи.</w:t>
      </w:r>
    </w:p>
    <w:p>
      <w:pPr>
        <w:pStyle w:val="ManualHeading3"/>
        <w:rPr>
          <w:noProof/>
          <w:szCs w:val="24"/>
        </w:rPr>
      </w:pPr>
      <w:r>
        <w:t>1.4.4.</w:t>
      </w:r>
      <w:r>
        <w:tab/>
      </w:r>
      <w:r>
        <w:rPr>
          <w:noProof/>
        </w:rPr>
        <w:t>Показатели за изпълнението</w:t>
      </w:r>
    </w:p>
    <w:p>
      <w:pPr>
        <w:ind w:left="850"/>
        <w:rPr>
          <w:i/>
          <w:noProof/>
          <w:sz w:val="20"/>
        </w:rPr>
      </w:pPr>
      <w:r>
        <w:rPr>
          <w:i/>
          <w:noProof/>
          <w:sz w:val="20"/>
        </w:rPr>
        <w:t>Да се посочат показателите за проследяване на напредъка и постиженията.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Задълженията на Комисията се състоят в управление на допълнителната изследователска програма и впоследствие — в докладване за техническото състояние на експлоатацията на реактора, неговото използване за научни цели и бюджетното му състояние. JRC ще изготви окончателен доклад, който ще обхваща следните точки: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техническо докладване, предоставящо експлоатационните данни за HFR,</w:t>
      </w:r>
    </w:p>
    <w:p>
      <w:pPr>
        <w:numPr>
          <w:ilvl w:val="2"/>
          <w:numId w:val="0"/>
        </w:numPr>
        <w:pBdr>
          <w:top w:val="single" w:sz="4" w:space="1" w:color="auto"/>
          <w:left w:val="single" w:sz="4" w:space="4" w:color="auto"/>
          <w:bottom w:val="single" w:sz="4" w:space="1" w:color="auto"/>
          <w:right w:val="single" w:sz="4" w:space="4" w:color="auto"/>
        </w:pBdr>
        <w:tabs>
          <w:tab w:val="num" w:pos="1417"/>
        </w:tabs>
        <w:ind w:left="1417" w:hanging="567"/>
        <w:rPr>
          <w:rFonts w:eastAsia="Times New Roman"/>
          <w:noProof/>
          <w:szCs w:val="24"/>
        </w:rPr>
      </w:pPr>
      <w:r>
        <w:rPr>
          <w:noProof/>
        </w:rPr>
        <w:t>— обобщено описание на главните научни постижения,</w:t>
      </w:r>
    </w:p>
    <w:p>
      <w:pPr>
        <w:numPr>
          <w:ilvl w:val="2"/>
          <w:numId w:val="0"/>
        </w:numPr>
        <w:pBdr>
          <w:top w:val="single" w:sz="4" w:space="1" w:color="auto"/>
          <w:left w:val="single" w:sz="4" w:space="4" w:color="auto"/>
          <w:bottom w:val="single" w:sz="4" w:space="1" w:color="auto"/>
          <w:right w:val="single" w:sz="4" w:space="4" w:color="auto"/>
        </w:pBdr>
        <w:tabs>
          <w:tab w:val="num" w:pos="1417"/>
        </w:tabs>
        <w:ind w:left="1417" w:hanging="567"/>
        <w:rPr>
          <w:rFonts w:eastAsia="Times New Roman"/>
          <w:noProof/>
          <w:szCs w:val="24"/>
        </w:rPr>
      </w:pPr>
      <w:r>
        <w:rPr>
          <w:noProof/>
        </w:rPr>
        <w:t>— състояние на дейностите по поддръжка и ремонт,</w:t>
      </w:r>
    </w:p>
    <w:p>
      <w:pPr>
        <w:numPr>
          <w:ilvl w:val="2"/>
          <w:numId w:val="0"/>
        </w:numPr>
        <w:pBdr>
          <w:top w:val="single" w:sz="4" w:space="1" w:color="auto"/>
          <w:left w:val="single" w:sz="4" w:space="4" w:color="auto"/>
          <w:bottom w:val="single" w:sz="4" w:space="1" w:color="auto"/>
          <w:right w:val="single" w:sz="4" w:space="4" w:color="auto"/>
        </w:pBdr>
        <w:tabs>
          <w:tab w:val="num" w:pos="1134"/>
        </w:tabs>
        <w:ind w:left="993" w:hanging="143"/>
        <w:rPr>
          <w:rFonts w:eastAsia="Times New Roman"/>
          <w:noProof/>
          <w:szCs w:val="24"/>
        </w:rPr>
      </w:pPr>
      <w:r>
        <w:rPr>
          <w:noProof/>
        </w:rPr>
        <w:t xml:space="preserve">— бюджетно състояние, що се отнася до приходите от държавите членки и използването на бюджета на допълнителната изследователска програма (включително провизии за извеждане от експлоатация, разходи за управление, плащания към оператора и др.). </w:t>
      </w:r>
    </w:p>
    <w:p>
      <w:pPr>
        <w:numPr>
          <w:ilvl w:val="2"/>
          <w:numId w:val="0"/>
        </w:numPr>
        <w:pBdr>
          <w:top w:val="single" w:sz="4" w:space="1" w:color="auto"/>
          <w:left w:val="single" w:sz="4" w:space="4" w:color="auto"/>
          <w:bottom w:val="single" w:sz="4" w:space="1" w:color="auto"/>
          <w:right w:val="single" w:sz="4" w:space="4" w:color="auto"/>
        </w:pBdr>
        <w:tabs>
          <w:tab w:val="num" w:pos="1134"/>
        </w:tabs>
        <w:ind w:left="993" w:hanging="143"/>
        <w:rPr>
          <w:rFonts w:eastAsia="Times New Roman"/>
          <w:noProof/>
          <w:szCs w:val="24"/>
        </w:rPr>
      </w:pPr>
    </w:p>
    <w:p>
      <w:pPr>
        <w:pStyle w:val="ManualHeading2"/>
        <w:rPr>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HFR се стреми да подпомага изследователските и развойните дейности на участващите държави членки в областите на: безопасността на ядрените инсталации и горивния цикъл, управлението на отпадъците, термоядрения синтез, фундаменталните изследвания и капацитета за обучение.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HFR остава активен в подобряването на безопасността на реакторите. Координирането на усилията, разпространението на резултатите и подпомагането на хармонизацията се осъществяват посредством европейските мрежи.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HFR се стреми също така да осигурява медицински радиоизотопи.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p>
    <w:p>
      <w:pPr>
        <w:pStyle w:val="ManualHeading3"/>
        <w:rPr>
          <w:noProof/>
          <w:szCs w:val="24"/>
        </w:rPr>
      </w:pPr>
      <w:r>
        <w:t>1.5.2.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Добавената стойност от изследователските дейности на HFR е свързана с трансгранично въздействие, икономии от мащаба, принос към намаляване на националните инвестиции в изследвания.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Реакторът се използва също така и за търговско производство на радиоизотопи за над 60 % от 10-те милиона медицински диагностики, извършвани всяка година в Европа. Той е много важно съоръжение за европейския медицински сектор (болници, клиники, лекари…), тъй като радиоизотопите се използват в различни медицински области, но най-вече за диагностициране, превенция и лечение на ракови заболявания. Алтернативите са съвсем малко, тъй като той произвежда най-често използваните краткоживеещи изотопи. Поради местоположението на реактора в Европа, неговата продукция бързо се отправя до европейските медицински центрове.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Намесата на европейско равнище е обоснована и поради факта, че в ЕС има ограничен брой ядрени реактори за изследователски цели.</w:t>
      </w:r>
    </w:p>
    <w:p>
      <w:pPr>
        <w:pStyle w:val="ManualHeading3"/>
        <w:rPr>
          <w:noProof/>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момента снабдяването с технеций Tc-99m за медицински цели разчита на твърде малък брой производствени реактори, между които е и HFR. Тъй като тези реактори са изградени през 50-те и 60-те години, те наближават края на срока си на експлоатация, което поражда нарастваща нужда от планирани спирания за поддръжка и все по-чести непредвидени прекъсвания на производството. В средата на май 2009 г. канадският реактор NRU (произвеждащ медицински изотопи) беше спрян и остана извън експлоатация до края на 2009 г., което доведе до продължителен недостиг на медицински изотопи в световен мащаб. През 2010 г. HFR беше спрян за ремонт на част от първичната охладителна система (</w:t>
      </w:r>
      <w:r>
        <w:rPr>
          <w:i/>
          <w:noProof/>
        </w:rPr>
        <w:t>Bottom Plug Liner</w:t>
      </w:r>
      <w:r>
        <w:rPr>
          <w:noProof/>
        </w:rPr>
        <w:t>). През 2015 г. беше окончателно спрян френският изследователски реактор Osiris. Тези събития предизвикаха смущения в снабдяването с медицински изотопи.</w:t>
      </w:r>
    </w:p>
    <w:p>
      <w:pPr>
        <w:pStyle w:val="ManualHeading3"/>
        <w:rPr>
          <w:noProof/>
        </w:rPr>
      </w:pPr>
      <w:r>
        <w:t>1.5.4.</w:t>
      </w:r>
      <w:r>
        <w:tab/>
      </w:r>
      <w:r>
        <w:rPr>
          <w:noProof/>
        </w:rPr>
        <w:t>Съвместимост с многогодишната финансова рамка и евентуални синергии с други подходящи инструменти</w:t>
      </w:r>
    </w:p>
    <w:p>
      <w:pPr>
        <w:pBdr>
          <w:top w:val="single" w:sz="4" w:space="0" w:color="auto"/>
          <w:left w:val="single" w:sz="4" w:space="4" w:color="auto"/>
          <w:bottom w:val="single" w:sz="4" w:space="1" w:color="auto"/>
          <w:right w:val="single" w:sz="4" w:space="4" w:color="auto"/>
        </w:pBdr>
        <w:ind w:left="720"/>
        <w:rPr>
          <w:rFonts w:eastAsia="Times New Roman"/>
          <w:noProof/>
          <w:szCs w:val="24"/>
        </w:rPr>
      </w:pPr>
      <w:r>
        <w:rPr>
          <w:noProof/>
        </w:rPr>
        <w:t>Предложената допълнителна изследователска програма ще отговори на различни научни и технологични предизвикателства във връзка с безопасността на ядрените технологии. Тя ще включва дейности, които са тясно свързани с продължаването (2019—2020 г.) на Програмата на Евратом за научни изследвания и обучение в рамките на „Хоризонт 2020“, както и с новата Програма на Евратом за научни изследвания и обучение (2021—2025 г.) в рамките на „Хоризонт Европа“.</w:t>
      </w:r>
    </w:p>
    <w:p>
      <w:pPr>
        <w:pBdr>
          <w:top w:val="single" w:sz="4" w:space="0" w:color="auto"/>
          <w:left w:val="single" w:sz="4" w:space="4" w:color="auto"/>
          <w:bottom w:val="single" w:sz="4" w:space="1" w:color="auto"/>
          <w:right w:val="single" w:sz="4" w:space="4" w:color="auto"/>
        </w:pBdr>
        <w:ind w:left="720"/>
        <w:rPr>
          <w:rFonts w:eastAsia="Times New Roman"/>
          <w:noProof/>
          <w:szCs w:val="24"/>
        </w:rPr>
      </w:pPr>
      <w:r>
        <w:rPr>
          <w:noProof/>
        </w:rPr>
        <w:t>Евентуалното извеждане от експлоатация на HFR като ядрена изследователска инсталация на JRC понастоящем се разглежда в предложение на Комисията за регламент на Съвета относно извеждането от експлоатация на ядрени съоръжения и управлението на радиоактивни отпадъци за периода 2021—2027 г. Допълнителната програма е посветена изключително на безопасната експлоатация на реактора и не влияе върху посоченото предложение за регламент на Съвета, нито пък обхватът и бюджетът ѝ са повлияни от него.</w:t>
      </w:r>
    </w:p>
    <w:p>
      <w:pPr>
        <w:pStyle w:val="ManualHeading3"/>
        <w:rPr>
          <w:noProof/>
        </w:rPr>
      </w:pPr>
      <w:r>
        <w:t>1.5.5.</w:t>
      </w:r>
      <w:r>
        <w:tab/>
      </w:r>
      <w:r>
        <w:rPr>
          <w:noProof/>
        </w:rPr>
        <w:t>Оценка на различните налични варианти за финансиране, включително възможностите за преразпределяне на средства</w:t>
      </w:r>
    </w:p>
    <w:p>
      <w:pPr>
        <w:pBdr>
          <w:top w:val="single" w:sz="4" w:space="1" w:color="auto"/>
          <w:left w:val="single" w:sz="4" w:space="4" w:color="auto"/>
          <w:bottom w:val="single" w:sz="4" w:space="1" w:color="auto"/>
          <w:right w:val="single" w:sz="4" w:space="4" w:color="auto"/>
        </w:pBdr>
        <w:ind w:left="850"/>
        <w:rPr>
          <w:noProof/>
        </w:rPr>
      </w:pPr>
      <w:r>
        <w:rPr>
          <w:noProof/>
        </w:rPr>
        <w:t xml:space="preserve">Не е приложимо. </w:t>
      </w:r>
    </w:p>
    <w:p>
      <w:pPr>
        <w:pStyle w:val="ManualHeading2"/>
        <w:rPr>
          <w:noProof/>
          <w:szCs w:val="24"/>
        </w:rPr>
      </w:pPr>
      <w:r>
        <w:rPr>
          <w:noProof/>
        </w:rPr>
        <w:br w:type="page"/>
      </w:r>
      <w:r>
        <w:t>1.6.</w:t>
      </w:r>
      <w:r>
        <w:tab/>
      </w:r>
      <w:r>
        <w:rPr>
          <w:noProof/>
        </w:rPr>
        <w:t>Срок на действие и финансово отражение на предложението/инициативата</w:t>
      </w:r>
    </w:p>
    <w:p>
      <w:pPr>
        <w:pStyle w:val="Text1"/>
        <w:rPr>
          <w:noProof/>
        </w:rPr>
      </w:pPr>
      <w:r>
        <w:rPr>
          <w:noProof/>
        </w:rPr>
        <w:sym w:font="Wingdings" w:char="F078"/>
      </w:r>
      <w:r>
        <w:rPr>
          <w:i/>
          <w:noProof/>
        </w:rPr>
        <w:t xml:space="preserve"> </w:t>
      </w:r>
      <w:r>
        <w:rPr>
          <w:noProof/>
        </w:rPr>
        <w:t xml:space="preserve">Ограничен срок на действие </w:t>
      </w:r>
    </w:p>
    <w:p>
      <w:pPr>
        <w:pStyle w:val="Text1"/>
        <w:rPr>
          <w:noProof/>
        </w:rPr>
      </w:pPr>
      <w:r>
        <w:rPr>
          <w:noProof/>
        </w:rPr>
        <w:sym w:font="Wingdings" w:char="F078"/>
      </w:r>
      <w:r>
        <w:rPr>
          <w:noProof/>
        </w:rPr>
        <w:tab/>
        <w:t xml:space="preserve">в сила от 1.1.2020 г. до 31.12.2023 г., </w:t>
      </w:r>
    </w:p>
    <w:p>
      <w:pPr>
        <w:pStyle w:val="Text1"/>
        <w:rPr>
          <w:noProof/>
        </w:rPr>
      </w:pPr>
      <w:r>
        <w:rPr>
          <w:noProof/>
        </w:rPr>
        <w:sym w:font="Wingdings" w:char="F078"/>
      </w:r>
      <w:r>
        <w:rPr>
          <w:noProof/>
        </w:rPr>
        <w:tab/>
        <w:t xml:space="preserve">финансово отражение от 2020 г. до 2023 г. за бюджетните кредити за поети задължения и от 2020 г. до 2024 г. за бюджетните кредити за плащания. </w:t>
      </w:r>
    </w:p>
    <w:p>
      <w:pPr>
        <w:pStyle w:val="Text1"/>
        <w:rPr>
          <w:noProof/>
        </w:rPr>
      </w:pPr>
      <w:r>
        <w:rPr>
          <w:noProof/>
        </w:rPr>
        <w:sym w:font="Wingdings" w:char="F0A8"/>
      </w:r>
      <w:r>
        <w:rPr>
          <w:noProof/>
        </w:rPr>
        <w:t xml:space="preserve"> Неограничен срок на действие</w:t>
      </w:r>
    </w:p>
    <w:p>
      <w:pPr>
        <w:tabs>
          <w:tab w:val="num" w:pos="1134"/>
        </w:tabs>
        <w:ind w:left="1134" w:hanging="283"/>
        <w:rPr>
          <w:noProof/>
        </w:rPr>
      </w:pPr>
      <w:r>
        <w:rPr>
          <w:noProof/>
        </w:rPr>
        <w:t>Изпълнение с период на започване на дейност от ГГГГ до ГГГГ,</w:t>
      </w:r>
    </w:p>
    <w:p>
      <w:pPr>
        <w:tabs>
          <w:tab w:val="num" w:pos="1134"/>
        </w:tabs>
        <w:ind w:left="1134" w:hanging="283"/>
        <w:rPr>
          <w:noProof/>
        </w:rPr>
      </w:pPr>
      <w:r>
        <w:rPr>
          <w:noProof/>
        </w:rPr>
        <w:t>последван от функциониране с пълен капацитет.</w:t>
      </w:r>
    </w:p>
    <w:p>
      <w:pPr>
        <w:pStyle w:val="ManualHeading2"/>
        <w:rPr>
          <w:noProof/>
          <w:szCs w:val="24"/>
        </w:rPr>
      </w:pPr>
      <w:r>
        <w:t>1.7.</w:t>
      </w:r>
      <w:r>
        <w:tab/>
      </w:r>
      <w:r>
        <w:rPr>
          <w:noProof/>
        </w:rPr>
        <w:t>Планирани методи на управление</w:t>
      </w:r>
      <w:r>
        <w:rPr>
          <w:rStyle w:val="FootnoteReference"/>
          <w:noProof/>
        </w:rPr>
        <w:footnoteReference w:id="7"/>
      </w:r>
    </w:p>
    <w:p>
      <w:pPr>
        <w:pStyle w:val="Text1"/>
        <w:rPr>
          <w:noProof/>
        </w:rPr>
      </w:pPr>
      <w:r>
        <w:rPr>
          <w:noProof/>
        </w:rPr>
        <w:sym w:font="Wingdings" w:char="F078"/>
      </w:r>
      <w:r>
        <w:rPr>
          <w:noProof/>
        </w:rPr>
        <w:t xml:space="preserve"> Пряко управление от Комисията</w:t>
      </w:r>
    </w:p>
    <w:p>
      <w:pPr>
        <w:pStyle w:val="Text1"/>
        <w:rPr>
          <w:noProof/>
        </w:rPr>
      </w:pPr>
      <w:r>
        <w:rPr>
          <w:noProof/>
        </w:rPr>
        <w:sym w:font="Wingdings" w:char="F078"/>
      </w:r>
      <w:r>
        <w:rPr>
          <w:noProof/>
        </w:rPr>
        <w:t xml:space="preserve"> от нейните служби, включително от нейния персонал в делегациите на Съюза; </w:t>
      </w:r>
    </w:p>
    <w:p>
      <w:pPr>
        <w:pStyle w:val="Text1"/>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noProof/>
        </w:rPr>
        <w:t xml:space="preserve"> Споделено управление с държавите членки </w:t>
      </w:r>
    </w:p>
    <w:p>
      <w:pPr>
        <w:pStyle w:val="Text1"/>
        <w:rPr>
          <w:noProof/>
        </w:rPr>
      </w:pPr>
      <w:r>
        <w:rPr>
          <w:noProof/>
        </w:rPr>
        <w:sym w:font="Wingdings" w:char="F0A8"/>
      </w:r>
      <w:r>
        <w:rPr>
          <w:noProof/>
        </w:rPr>
        <w:t xml:space="preserve"> Непряко управление чрез възлагане на задачи по изпълнението на бюджета на:</w:t>
      </w:r>
    </w:p>
    <w:p>
      <w:pPr>
        <w:pStyle w:val="Text1"/>
        <w:rPr>
          <w:noProof/>
        </w:rPr>
      </w:pPr>
      <w:r>
        <w:rPr>
          <w:noProof/>
        </w:rPr>
        <w:sym w:font="Wingdings" w:char="F0A8"/>
      </w:r>
      <w:r>
        <w:rPr>
          <w:noProof/>
        </w:rPr>
        <w:t xml:space="preserve"> трети държави или на органите, определени от тях;</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A8"/>
      </w:r>
      <w:r>
        <w:rPr>
          <w:noProof/>
        </w:rPr>
        <w:t xml:space="preserve"> органите, посочени в членове 70 и 71 от Финансовия регламент;</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 xml:space="preserve">В съответствие със споразумението между Евратом и Нидерландия от 25 юли 1961 г., Комисията е собственик на HFR (наем за срок от 99 години). За експлоатацията на HFR отговаря притежателят на лиценза за експлоатация NRG (NL), което позволява работа/експлоатация на базата на независим и устойчив правен режим. Допълнителната изследователска програма, управлявана от JRC, предвижда допълнителни приходи, които са предназначени за изследвания в полза на финансиращите държави членки.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Задълженията на Комисията се състоят в управление на допълнителната изследователска програма и впоследствие — в ежегодно докладване за: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i) техническото състояние на експлоатацията на реактора,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ii) неговото използване за научни цели,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iii) неговото бюджетно състояние, що се отнася до финансовите приходи от държавите членки, и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iv) извършените плащания.</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Програмата е включена в цикъла на планиране на JRC и в годишния план за управление. В резултат на това мониторингът на обявените цели ще бъде включен в годишния доклад за дейността на JRC.</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В допълнение JRC ще изготви окончателен доклад. Той ще бъде посветен на управлението на допълнителната изследователска програма и ще обхваща следните точки: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техническо докладване, предоставящо експлоатационните данни за HFR,</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обобщено описание на главните научни постижения,</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състояние на дейностите по поддръжка,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 бюджетно състояние, що се отнася до приходите от държавите членки и използването на бюджета на допълнителната изследователска програма (включително провизии за извеждане от експлоатация, разходи за управление и др.). </w:t>
      </w:r>
    </w:p>
    <w:p>
      <w:pPr>
        <w:pStyle w:val="ManualHeading2"/>
        <w:rPr>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Настоящата програма е продължение на предишната допълнителна изследователска програма. Изготвянето ѝ беше обект на вътрешна оценка от страна на участващите държави членки, които извършиха оценка на риска от участие в нея. </w:t>
      </w:r>
    </w:p>
    <w:p>
      <w:pPr>
        <w:pStyle w:val="ManualHeading3"/>
        <w:rPr>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Докладването ще бъде посветено на управлението на допълнителната изследователска програма и ще обхваща техническите, научните и бюджетните въпроси (включително провизиите за извеждане от експлоатация и др.).</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1" w:color="auto"/>
          <w:left w:val="single" w:sz="4" w:space="4" w:color="auto"/>
          <w:bottom w:val="single" w:sz="4" w:space="1" w:color="auto"/>
          <w:right w:val="single" w:sz="4" w:space="4" w:color="auto"/>
        </w:pBdr>
        <w:ind w:left="850"/>
        <w:rPr>
          <w:noProof/>
        </w:rPr>
      </w:pPr>
      <w:r>
        <w:rPr>
          <w:noProof/>
        </w:rPr>
        <w:t xml:space="preserve">Не е приложимо. </w:t>
      </w:r>
    </w:p>
    <w:p>
      <w:pPr>
        <w:pStyle w:val="ManualHeading2"/>
        <w:rPr>
          <w:noProof/>
          <w:szCs w:val="24"/>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Одитът и вътрешният контрол на гореупоменатото докладване се извършват от служители на JRC, като се обхващат както техническите, така и бюджетните аспекти. </w:t>
      </w:r>
    </w:p>
    <w:p>
      <w:pPr>
        <w:pBdr>
          <w:top w:val="single" w:sz="4" w:space="1" w:color="auto"/>
          <w:left w:val="single" w:sz="4" w:space="4" w:color="auto"/>
          <w:bottom w:val="single" w:sz="4" w:space="1" w:color="auto"/>
          <w:right w:val="single" w:sz="4" w:space="4" w:color="auto"/>
        </w:pBdr>
        <w:ind w:left="850"/>
        <w:rPr>
          <w:noProof/>
        </w:rPr>
      </w:pPr>
      <w:r>
        <w:rPr>
          <w:noProof/>
        </w:rPr>
        <w:t>Законодателството ще гарантира, че одитите и проверките на място могат да се извършват от службите на Комисията, включително ОЛАФ, като се използват стандартните разпоредби, препоръчани от OLAF.</w:t>
      </w:r>
    </w:p>
    <w:p>
      <w:pPr>
        <w:pBdr>
          <w:top w:val="single" w:sz="4" w:space="1" w:color="auto"/>
          <w:left w:val="single" w:sz="4" w:space="4" w:color="auto"/>
          <w:bottom w:val="single" w:sz="4" w:space="1" w:color="auto"/>
          <w:right w:val="single" w:sz="4" w:space="4" w:color="auto"/>
        </w:pBdr>
        <w:ind w:left="850"/>
        <w:rPr>
          <w:noProof/>
        </w:rPr>
      </w:pPr>
      <w:r>
        <w:rPr>
          <w:noProof/>
        </w:rPr>
        <w:t>През декември 2017 г. стратегията на JRC за борба с измамите беше актуализирана с цел да се допринесе за осъвременяване на стратегията на Комисията за борба с измамите с оглед на отчитането на последната методология на OLAF.</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Контролът върху движението на делящи се материали се осъществява от Евратом и МААЕ.</w:t>
      </w:r>
    </w:p>
    <w:p>
      <w:pPr>
        <w:pBdr>
          <w:top w:val="single" w:sz="4" w:space="1" w:color="auto"/>
          <w:left w:val="single" w:sz="4" w:space="4" w:color="auto"/>
          <w:bottom w:val="single" w:sz="4" w:space="1" w:color="auto"/>
          <w:right w:val="single" w:sz="4" w:space="4" w:color="auto"/>
        </w:pBdr>
        <w:ind w:left="850"/>
        <w:rPr>
          <w:noProof/>
        </w:rPr>
        <w:sectPr>
          <w:pgSz w:w="11907" w:h="16840" w:code="9"/>
          <w:pgMar w:top="1134" w:right="1418" w:bottom="1134" w:left="1418" w:header="709" w:footer="709" w:gutter="0"/>
          <w:cols w:space="708"/>
          <w:docGrid w:linePitch="360"/>
        </w:sectPr>
      </w:pPr>
    </w:p>
    <w:p>
      <w:pPr>
        <w:pStyle w:val="ManualHeading1"/>
        <w:rPr>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tabs>
          <w:tab w:val="num" w:pos="1134"/>
        </w:tabs>
        <w:ind w:left="1134" w:hanging="283"/>
        <w:rPr>
          <w:noProof/>
        </w:rPr>
      </w:pPr>
      <w:r>
        <w:rPr>
          <w:noProof/>
        </w:rPr>
        <w:t xml:space="preserve">Съществуващи бюджетни редове </w:t>
      </w:r>
    </w:p>
    <w:p>
      <w:pPr>
        <w:ind w:left="850"/>
        <w:rPr>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gridCol w:w="116"/>
      </w:tblGrid>
      <w:tr>
        <w:trPr>
          <w:gridAfter w:val="1"/>
          <w:wAfter w:w="116" w:type="dxa"/>
        </w:trP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rPr>
          <w:gridAfter w:val="1"/>
          <w:wAfter w:w="116" w:type="dxa"/>
        </w:trP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br/>
            </w:r>
          </w:p>
        </w:tc>
        <w:tc>
          <w:tcPr>
            <w:tcW w:w="1080" w:type="dxa"/>
            <w:vAlign w:val="center"/>
          </w:tcPr>
          <w:p>
            <w:pPr>
              <w:jc w:val="center"/>
              <w:rPr>
                <w:noProof/>
              </w:rPr>
            </w:pPr>
            <w:r>
              <w:rPr>
                <w:noProof/>
                <w:sz w:val="18"/>
              </w:rPr>
              <w:t>Многогод./едногод.</w:t>
            </w:r>
            <w:r>
              <w:rPr>
                <w:rStyle w:val="FootnoteReference"/>
                <w:noProof/>
              </w:rPr>
              <w:footnoteReference w:id="8"/>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9"/>
            </w:r>
          </w:p>
          <w:p>
            <w:pPr>
              <w:spacing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10"/>
            </w:r>
          </w:p>
          <w:p>
            <w:pPr>
              <w:spacing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rFonts w:eastAsia="Times New Roman"/>
                <w:noProof/>
                <w:szCs w:val="24"/>
              </w:rPr>
            </w:pPr>
            <w:r>
              <w:rPr>
                <w:noProof/>
                <w:color w:val="0000FF"/>
                <w:sz w:val="20"/>
                <w:szCs w:val="20"/>
              </w:rPr>
              <w:t>1a</w:t>
            </w:r>
          </w:p>
        </w:tc>
        <w:tc>
          <w:tcPr>
            <w:tcW w:w="3960" w:type="dxa"/>
            <w:vAlign w:val="center"/>
          </w:tcPr>
          <w:p>
            <w:pPr>
              <w:spacing w:before="60"/>
              <w:rPr>
                <w:rFonts w:eastAsia="Times New Roman"/>
                <w:noProof/>
                <w:sz w:val="20"/>
                <w:szCs w:val="20"/>
              </w:rPr>
            </w:pPr>
            <w:r>
              <w:rPr>
                <w:noProof/>
                <w:sz w:val="20"/>
                <w:szCs w:val="20"/>
              </w:rPr>
              <w:t xml:space="preserve">Статия 10 04 04: Експлоатация на реактора с висока плътност на потока (HFR) </w:t>
            </w:r>
          </w:p>
          <w:p>
            <w:pPr>
              <w:spacing w:after="60"/>
              <w:rPr>
                <w:rFonts w:eastAsia="Times New Roman"/>
                <w:noProof/>
                <w:color w:val="0000FF"/>
                <w:sz w:val="20"/>
                <w:szCs w:val="20"/>
              </w:rPr>
            </w:pPr>
            <w:r>
              <w:rPr>
                <w:noProof/>
                <w:sz w:val="20"/>
                <w:szCs w:val="20"/>
              </w:rPr>
              <w:t>Позиция 10 04 04 01: Експлоатация на реактора с висока плътност на потока (HFR) — допълнителна програма за HFR</w:t>
            </w:r>
          </w:p>
        </w:tc>
        <w:tc>
          <w:tcPr>
            <w:tcW w:w="1080" w:type="dxa"/>
            <w:vAlign w:val="center"/>
          </w:tcPr>
          <w:p>
            <w:pPr>
              <w:jc w:val="center"/>
              <w:rPr>
                <w:rFonts w:eastAsia="Times New Roman"/>
                <w:noProof/>
                <w:szCs w:val="24"/>
              </w:rPr>
            </w:pPr>
            <w:r>
              <w:rPr>
                <w:noProof/>
                <w:color w:val="0000FF"/>
                <w:sz w:val="20"/>
                <w:szCs w:val="20"/>
              </w:rPr>
              <w:t>Многогод.</w:t>
            </w:r>
          </w:p>
        </w:tc>
        <w:tc>
          <w:tcPr>
            <w:tcW w:w="956" w:type="dxa"/>
            <w:vAlign w:val="center"/>
          </w:tcPr>
          <w:p>
            <w:pPr>
              <w:jc w:val="center"/>
              <w:rPr>
                <w:rFonts w:eastAsia="Times New Roman"/>
                <w:noProof/>
                <w:color w:val="0000FF"/>
                <w:sz w:val="18"/>
                <w:szCs w:val="18"/>
              </w:rPr>
            </w:pPr>
            <w:r>
              <w:rPr>
                <w:noProof/>
                <w:color w:val="0000FF"/>
                <w:sz w:val="18"/>
                <w:szCs w:val="18"/>
              </w:rPr>
              <w:t>НЕ</w:t>
            </w:r>
          </w:p>
        </w:tc>
        <w:tc>
          <w:tcPr>
            <w:tcW w:w="1080" w:type="dxa"/>
            <w:vAlign w:val="center"/>
          </w:tcPr>
          <w:p>
            <w:pPr>
              <w:jc w:val="center"/>
              <w:rPr>
                <w:rFonts w:eastAsia="Times New Roman"/>
                <w:noProof/>
                <w:color w:val="0000FF"/>
                <w:sz w:val="18"/>
                <w:szCs w:val="18"/>
              </w:rPr>
            </w:pPr>
            <w:r>
              <w:rPr>
                <w:noProof/>
                <w:color w:val="0000FF"/>
                <w:sz w:val="18"/>
                <w:szCs w:val="18"/>
              </w:rPr>
              <w:t>НЕ</w:t>
            </w:r>
          </w:p>
        </w:tc>
        <w:tc>
          <w:tcPr>
            <w:tcW w:w="956" w:type="dxa"/>
            <w:vAlign w:val="center"/>
          </w:tcPr>
          <w:p>
            <w:pPr>
              <w:jc w:val="center"/>
              <w:rPr>
                <w:rFonts w:eastAsia="Times New Roman"/>
                <w:noProof/>
                <w:color w:val="0000FF"/>
                <w:sz w:val="18"/>
                <w:szCs w:val="18"/>
              </w:rPr>
            </w:pPr>
            <w:r>
              <w:rPr>
                <w:noProof/>
                <w:color w:val="0000FF"/>
                <w:sz w:val="18"/>
                <w:szCs w:val="18"/>
              </w:rPr>
              <w:t>НЕ</w:t>
            </w:r>
          </w:p>
        </w:tc>
        <w:tc>
          <w:tcPr>
            <w:tcW w:w="1564" w:type="dxa"/>
            <w:gridSpan w:val="2"/>
            <w:vAlign w:val="center"/>
          </w:tcPr>
          <w:p>
            <w:pPr>
              <w:jc w:val="center"/>
              <w:rPr>
                <w:rFonts w:eastAsia="Times New Roman"/>
                <w:noProof/>
                <w:color w:val="0000FF"/>
                <w:sz w:val="18"/>
                <w:szCs w:val="18"/>
              </w:rPr>
            </w:pPr>
            <w:r>
              <w:rPr>
                <w:noProof/>
                <w:color w:val="0000FF"/>
                <w:sz w:val="18"/>
                <w:szCs w:val="18"/>
              </w:rPr>
              <w:t>ДА</w:t>
            </w:r>
          </w:p>
        </w:tc>
      </w:tr>
    </w:tbl>
    <w:p>
      <w:pPr>
        <w:tabs>
          <w:tab w:val="num" w:pos="1134"/>
        </w:tabs>
        <w:ind w:left="1134" w:hanging="283"/>
        <w:rPr>
          <w:noProof/>
        </w:rPr>
      </w:pPr>
      <w:r>
        <w:rPr>
          <w:noProof/>
        </w:rPr>
        <w:t>Поискани нови бюджетни редове: не е приложимо</w:t>
      </w:r>
    </w:p>
    <w:p>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на</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rPr>
              <w:br/>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ДА/НЕ</w:t>
            </w:r>
          </w:p>
        </w:tc>
        <w:tc>
          <w:tcPr>
            <w:tcW w:w="1080" w:type="dxa"/>
            <w:vAlign w:val="center"/>
          </w:tcPr>
          <w:p>
            <w:pPr>
              <w:jc w:val="center"/>
              <w:rPr>
                <w:noProof/>
                <w:color w:val="0000FF"/>
                <w:sz w:val="20"/>
                <w:szCs w:val="20"/>
              </w:rPr>
            </w:pPr>
            <w:r>
              <w:rPr>
                <w:noProof/>
                <w:sz w:val="20"/>
                <w:szCs w:val="20"/>
              </w:rPr>
              <w:t>ДА/НЕ</w:t>
            </w:r>
          </w:p>
        </w:tc>
        <w:tc>
          <w:tcPr>
            <w:tcW w:w="956" w:type="dxa"/>
            <w:vAlign w:val="center"/>
          </w:tcPr>
          <w:p>
            <w:pPr>
              <w:jc w:val="center"/>
              <w:rPr>
                <w:noProof/>
                <w:color w:val="0000FF"/>
                <w:sz w:val="20"/>
                <w:szCs w:val="20"/>
              </w:rPr>
            </w:pPr>
            <w:r>
              <w:rPr>
                <w:noProof/>
                <w:sz w:val="20"/>
                <w:szCs w:val="20"/>
              </w:rPr>
              <w:t>ДА/НЕ</w:t>
            </w:r>
          </w:p>
        </w:tc>
        <w:tc>
          <w:tcPr>
            <w:tcW w:w="1448" w:type="dxa"/>
            <w:vAlign w:val="center"/>
          </w:tcPr>
          <w:p>
            <w:pPr>
              <w:jc w:val="center"/>
              <w:rPr>
                <w:noProof/>
                <w:sz w:val="20"/>
                <w:szCs w:val="20"/>
              </w:rPr>
            </w:pPr>
            <w:r>
              <w:rPr>
                <w:noProof/>
                <w:sz w:val="20"/>
                <w:szCs w:val="20"/>
              </w:rPr>
              <w:t>ДА/НЕ</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 xml:space="preserve">Очаквано финансово отражение на предложението върху бюджетните кредити </w:t>
      </w:r>
    </w:p>
    <w:p>
      <w:pPr>
        <w:pStyle w:val="ManualHeading3"/>
        <w:rPr>
          <w:noProof/>
        </w:rPr>
      </w:pPr>
      <w:r>
        <w:t>3.2.1.</w:t>
      </w:r>
      <w:r>
        <w:tab/>
      </w:r>
      <w:r>
        <w:rPr>
          <w:noProof/>
        </w:rPr>
        <w:t xml:space="preserve">Обобщение на очакваното отражение върху бюджетните кредити за оперативни разходи </w:t>
      </w:r>
    </w:p>
    <w:p>
      <w:pPr>
        <w:pStyle w:val="Text1"/>
        <w:rPr>
          <w:noProof/>
        </w:rPr>
      </w:pPr>
      <w:r>
        <w:rPr>
          <w:noProof/>
        </w:rPr>
        <w:sym w:font="Wingdings" w:char="F078"/>
      </w:r>
      <w:r>
        <w:rPr>
          <w:noProof/>
        </w:rPr>
        <w:tab/>
        <w:t xml:space="preserve">Предложението/инициативата не налага използване на бюджетни кредити за оперативни разходи </w:t>
      </w:r>
    </w:p>
    <w:p>
      <w:pPr>
        <w:pStyle w:val="Text1"/>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18"/>
          <w:szCs w:val="18"/>
        </w:rPr>
      </w:pPr>
      <w:r>
        <w:rPr>
          <w:noProof/>
          <w:sz w:val="18"/>
          <w:szCs w:val="18"/>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 xml:space="preserve">Функция от многогодишната финансова </w:t>
            </w:r>
            <w:r>
              <w:rPr>
                <w:noProof/>
              </w:rPr>
              <w:br/>
            </w:r>
            <w:r>
              <w:rPr>
                <w:b/>
                <w:noProof/>
              </w:rPr>
              <w:t xml:space="preserve">рамка </w:t>
            </w:r>
          </w:p>
        </w:tc>
        <w:tc>
          <w:tcPr>
            <w:tcW w:w="1080" w:type="dxa"/>
            <w:vAlign w:val="center"/>
          </w:tcPr>
          <w:p>
            <w:pPr>
              <w:spacing w:before="60" w:after="60"/>
              <w:jc w:val="center"/>
              <w:rPr>
                <w:noProof/>
              </w:rPr>
            </w:pPr>
            <w:r>
              <w:rPr>
                <w:noProof/>
              </w:rPr>
              <w:t>1a</w:t>
            </w:r>
          </w:p>
        </w:tc>
        <w:tc>
          <w:tcPr>
            <w:tcW w:w="7817" w:type="dxa"/>
            <w:vAlign w:val="center"/>
          </w:tcPr>
          <w:p>
            <w:pPr>
              <w:spacing w:before="60" w:after="60"/>
              <w:rPr>
                <w:noProof/>
              </w:rPr>
            </w:pPr>
            <w:r>
              <w:rPr>
                <w:noProof/>
              </w:rPr>
              <w:t>Конкурентоспособност за растеж и работни места</w:t>
            </w:r>
          </w:p>
        </w:tc>
      </w:tr>
    </w:tbl>
    <w:p>
      <w:pPr>
        <w:jc w:val="center"/>
        <w:rPr>
          <w:noProof/>
          <w:sz w:val="16"/>
        </w:rPr>
      </w:pP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794"/>
        <w:gridCol w:w="992"/>
        <w:gridCol w:w="851"/>
        <w:gridCol w:w="850"/>
        <w:gridCol w:w="992"/>
        <w:gridCol w:w="993"/>
        <w:gridCol w:w="1701"/>
      </w:tblGrid>
      <w:tr>
        <w:tc>
          <w:tcPr>
            <w:tcW w:w="3960" w:type="dxa"/>
            <w:vAlign w:val="center"/>
          </w:tcPr>
          <w:p>
            <w:pPr>
              <w:jc w:val="center"/>
              <w:rPr>
                <w:noProof/>
              </w:rPr>
            </w:pPr>
            <w:r>
              <w:rPr>
                <w:noProof/>
              </w:rPr>
              <w:t>ГД: JRC</w:t>
            </w:r>
          </w:p>
        </w:tc>
        <w:tc>
          <w:tcPr>
            <w:tcW w:w="1560" w:type="dxa"/>
            <w:gridSpan w:val="2"/>
          </w:tcPr>
          <w:p>
            <w:pPr>
              <w:rPr>
                <w:noProof/>
                <w:sz w:val="20"/>
              </w:rPr>
            </w:pPr>
          </w:p>
        </w:tc>
        <w:tc>
          <w:tcPr>
            <w:tcW w:w="794" w:type="dxa"/>
          </w:tcPr>
          <w:p>
            <w:pPr>
              <w:jc w:val="center"/>
              <w:rPr>
                <w:noProof/>
                <w:sz w:val="20"/>
              </w:rPr>
            </w:pPr>
          </w:p>
        </w:tc>
        <w:tc>
          <w:tcPr>
            <w:tcW w:w="992" w:type="dxa"/>
            <w:vAlign w:val="center"/>
          </w:tcPr>
          <w:p>
            <w:pPr>
              <w:jc w:val="center"/>
              <w:rPr>
                <w:noProof/>
                <w:sz w:val="20"/>
              </w:rPr>
            </w:pPr>
            <w:r>
              <w:rPr>
                <w:noProof/>
                <w:sz w:val="20"/>
              </w:rPr>
              <w:t>Година</w:t>
            </w:r>
            <w:r>
              <w:rPr>
                <w:noProof/>
              </w:rPr>
              <w:br/>
            </w:r>
            <w:r>
              <w:rPr>
                <w:b/>
                <w:noProof/>
                <w:sz w:val="20"/>
              </w:rPr>
              <w:t>2020</w:t>
            </w:r>
            <w:r>
              <w:rPr>
                <w:rStyle w:val="FootnoteReference"/>
                <w:noProof/>
              </w:rPr>
              <w:footnoteReference w:id="11"/>
            </w:r>
          </w:p>
        </w:tc>
        <w:tc>
          <w:tcPr>
            <w:tcW w:w="851" w:type="dxa"/>
            <w:vAlign w:val="center"/>
          </w:tcPr>
          <w:p>
            <w:pPr>
              <w:jc w:val="center"/>
              <w:rPr>
                <w:noProof/>
                <w:sz w:val="20"/>
              </w:rPr>
            </w:pPr>
            <w:r>
              <w:rPr>
                <w:noProof/>
                <w:sz w:val="20"/>
              </w:rPr>
              <w:t>Година</w:t>
            </w:r>
            <w:r>
              <w:rPr>
                <w:noProof/>
              </w:rPr>
              <w:br/>
            </w:r>
            <w:r>
              <w:rPr>
                <w:b/>
                <w:noProof/>
                <w:sz w:val="20"/>
              </w:rPr>
              <w:t>2021</w:t>
            </w:r>
          </w:p>
        </w:tc>
        <w:tc>
          <w:tcPr>
            <w:tcW w:w="850" w:type="dxa"/>
            <w:vAlign w:val="center"/>
          </w:tcPr>
          <w:p>
            <w:pPr>
              <w:jc w:val="center"/>
              <w:rPr>
                <w:noProof/>
                <w:sz w:val="20"/>
              </w:rPr>
            </w:pPr>
            <w:r>
              <w:rPr>
                <w:noProof/>
                <w:sz w:val="20"/>
              </w:rPr>
              <w:t>Година</w:t>
            </w:r>
            <w:r>
              <w:rPr>
                <w:noProof/>
              </w:rPr>
              <w:br/>
            </w:r>
            <w:r>
              <w:rPr>
                <w:b/>
                <w:noProof/>
                <w:sz w:val="20"/>
              </w:rPr>
              <w:t>2022</w:t>
            </w:r>
          </w:p>
        </w:tc>
        <w:tc>
          <w:tcPr>
            <w:tcW w:w="992" w:type="dxa"/>
            <w:vAlign w:val="center"/>
          </w:tcPr>
          <w:p>
            <w:pPr>
              <w:jc w:val="center"/>
              <w:rPr>
                <w:noProof/>
                <w:sz w:val="20"/>
              </w:rPr>
            </w:pPr>
            <w:r>
              <w:rPr>
                <w:noProof/>
                <w:sz w:val="20"/>
              </w:rPr>
              <w:t>Година</w:t>
            </w:r>
            <w:r>
              <w:rPr>
                <w:noProof/>
              </w:rPr>
              <w:br/>
            </w:r>
            <w:r>
              <w:rPr>
                <w:b/>
                <w:noProof/>
                <w:sz w:val="20"/>
              </w:rPr>
              <w:t>2023</w:t>
            </w:r>
          </w:p>
        </w:tc>
        <w:tc>
          <w:tcPr>
            <w:tcW w:w="993" w:type="dxa"/>
            <w:vAlign w:val="center"/>
          </w:tcPr>
          <w:p>
            <w:pPr>
              <w:jc w:val="center"/>
              <w:rPr>
                <w:b/>
                <w:noProof/>
                <w:sz w:val="20"/>
              </w:rPr>
            </w:pPr>
            <w:r>
              <w:rPr>
                <w:noProof/>
                <w:sz w:val="20"/>
              </w:rPr>
              <w:t>Година</w:t>
            </w:r>
            <w:r>
              <w:rPr>
                <w:noProof/>
              </w:rPr>
              <w:br/>
            </w:r>
            <w:r>
              <w:rPr>
                <w:b/>
                <w:noProof/>
                <w:sz w:val="20"/>
              </w:rPr>
              <w:t>&gt;-2023</w:t>
            </w:r>
          </w:p>
        </w:tc>
        <w:tc>
          <w:tcPr>
            <w:tcW w:w="1701" w:type="dxa"/>
            <w:vAlign w:val="center"/>
          </w:tcPr>
          <w:p>
            <w:pPr>
              <w:jc w:val="center"/>
              <w:rPr>
                <w:b/>
                <w:noProof/>
                <w:sz w:val="20"/>
              </w:rPr>
            </w:pPr>
            <w:r>
              <w:rPr>
                <w:b/>
                <w:noProof/>
                <w:sz w:val="20"/>
              </w:rPr>
              <w:t>ОБЩО</w:t>
            </w:r>
          </w:p>
        </w:tc>
      </w:tr>
      <w:tr>
        <w:trPr>
          <w:trHeight w:val="213"/>
        </w:trPr>
        <w:tc>
          <w:tcPr>
            <w:tcW w:w="6314"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992" w:type="dxa"/>
            <w:vAlign w:val="center"/>
          </w:tcPr>
          <w:p>
            <w:pPr>
              <w:rPr>
                <w:noProof/>
                <w:sz w:val="20"/>
              </w:rPr>
            </w:pPr>
          </w:p>
        </w:tc>
        <w:tc>
          <w:tcPr>
            <w:tcW w:w="851" w:type="dxa"/>
            <w:vAlign w:val="center"/>
          </w:tcPr>
          <w:p>
            <w:pPr>
              <w:rPr>
                <w:noProof/>
                <w:sz w:val="20"/>
              </w:rPr>
            </w:pPr>
          </w:p>
        </w:tc>
        <w:tc>
          <w:tcPr>
            <w:tcW w:w="850" w:type="dxa"/>
            <w:vAlign w:val="center"/>
          </w:tcPr>
          <w:p>
            <w:pPr>
              <w:rPr>
                <w:noProof/>
                <w:sz w:val="20"/>
              </w:rPr>
            </w:pPr>
          </w:p>
        </w:tc>
        <w:tc>
          <w:tcPr>
            <w:tcW w:w="992" w:type="dxa"/>
            <w:vAlign w:val="center"/>
          </w:tcPr>
          <w:p>
            <w:pPr>
              <w:rPr>
                <w:noProof/>
                <w:sz w:val="20"/>
              </w:rPr>
            </w:pPr>
          </w:p>
        </w:tc>
        <w:tc>
          <w:tcPr>
            <w:tcW w:w="993" w:type="dxa"/>
          </w:tcPr>
          <w:p>
            <w:pPr>
              <w:rPr>
                <w:b/>
                <w:noProof/>
                <w:sz w:val="20"/>
              </w:rPr>
            </w:pPr>
          </w:p>
        </w:tc>
        <w:tc>
          <w:tcPr>
            <w:tcW w:w="1701" w:type="dxa"/>
            <w:vAlign w:val="center"/>
          </w:tcPr>
          <w:p>
            <w:pPr>
              <w:rPr>
                <w:b/>
                <w:noProof/>
                <w:sz w:val="20"/>
              </w:rPr>
            </w:pPr>
          </w:p>
        </w:tc>
      </w:tr>
      <w:tr>
        <w:trPr>
          <w:trHeight w:val="501"/>
        </w:trPr>
        <w:tc>
          <w:tcPr>
            <w:tcW w:w="3960" w:type="dxa"/>
            <w:vMerge w:val="restart"/>
            <w:vAlign w:val="center"/>
          </w:tcPr>
          <w:p>
            <w:pPr>
              <w:rPr>
                <w:noProof/>
              </w:rPr>
            </w:pPr>
            <w:r>
              <w:rPr>
                <w:noProof/>
                <w:sz w:val="20"/>
              </w:rPr>
              <w:t>Бюджетен ред</w:t>
            </w:r>
            <w:r>
              <w:rPr>
                <w:rStyle w:val="FootnoteReference"/>
                <w:noProof/>
              </w:rPr>
              <w:footnoteReference w:id="12"/>
            </w:r>
            <w:r>
              <w:rPr>
                <w:noProof/>
                <w:sz w:val="20"/>
              </w:rPr>
              <w:t xml:space="preserve"> 10 04 04 01</w:t>
            </w:r>
          </w:p>
        </w:tc>
        <w:tc>
          <w:tcPr>
            <w:tcW w:w="1440" w:type="dxa"/>
            <w:vAlign w:val="center"/>
          </w:tcPr>
          <w:p>
            <w:pPr>
              <w:spacing w:before="20" w:after="20"/>
              <w:rPr>
                <w:noProof/>
                <w:sz w:val="18"/>
              </w:rPr>
            </w:pPr>
            <w:r>
              <w:rPr>
                <w:noProof/>
                <w:sz w:val="18"/>
              </w:rPr>
              <w:t>Поети задължения</w:t>
            </w:r>
          </w:p>
        </w:tc>
        <w:tc>
          <w:tcPr>
            <w:tcW w:w="914" w:type="dxa"/>
            <w:gridSpan w:val="2"/>
            <w:vAlign w:val="center"/>
          </w:tcPr>
          <w:p>
            <w:pPr>
              <w:spacing w:before="20" w:after="20"/>
              <w:jc w:val="center"/>
              <w:rPr>
                <w:noProof/>
                <w:sz w:val="14"/>
              </w:rPr>
            </w:pPr>
            <w:r>
              <w:rPr>
                <w:noProof/>
                <w:sz w:val="14"/>
              </w:rPr>
              <w:t>(1a)</w:t>
            </w:r>
          </w:p>
        </w:tc>
        <w:tc>
          <w:tcPr>
            <w:tcW w:w="992" w:type="dxa"/>
            <w:vAlign w:val="center"/>
          </w:tcPr>
          <w:p>
            <w:pPr>
              <w:spacing w:before="20" w:after="20"/>
              <w:jc w:val="center"/>
              <w:rPr>
                <w:noProof/>
                <w:sz w:val="20"/>
              </w:rPr>
            </w:pPr>
            <w:r>
              <w:rPr>
                <w:noProof/>
                <w:sz w:val="20"/>
                <w:szCs w:val="20"/>
              </w:rPr>
              <w:t>p.m. (pro memoria)</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b/>
                <w:noProof/>
                <w:sz w:val="20"/>
              </w:rPr>
            </w:pPr>
          </w:p>
        </w:tc>
        <w:tc>
          <w:tcPr>
            <w:tcW w:w="1701" w:type="dxa"/>
            <w:vAlign w:val="center"/>
          </w:tcPr>
          <w:p>
            <w:pPr>
              <w:spacing w:before="20" w:after="20"/>
              <w:jc w:val="center"/>
              <w:rPr>
                <w:b/>
                <w:noProof/>
                <w:sz w:val="20"/>
              </w:rPr>
            </w:pPr>
            <w:r>
              <w:rPr>
                <w:b/>
                <w:noProof/>
                <w:sz w:val="20"/>
              </w:rPr>
              <w:t>p.m.</w:t>
            </w:r>
          </w:p>
        </w:tc>
      </w:tr>
      <w:tr>
        <w:trPr>
          <w:trHeight w:val="423"/>
        </w:trP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914" w:type="dxa"/>
            <w:gridSpan w:val="2"/>
            <w:vAlign w:val="center"/>
          </w:tcPr>
          <w:p>
            <w:pPr>
              <w:spacing w:before="20" w:after="20"/>
              <w:jc w:val="center"/>
              <w:rPr>
                <w:noProof/>
                <w:sz w:val="14"/>
              </w:rPr>
            </w:pPr>
            <w:r>
              <w:rPr>
                <w:noProof/>
                <w:sz w:val="14"/>
              </w:rPr>
              <w:t>(2a)</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noProof/>
              </w:rPr>
            </w:pPr>
            <w:r>
              <w:rPr>
                <w:noProof/>
                <w:sz w:val="20"/>
                <w:szCs w:val="20"/>
              </w:rPr>
              <w:t>p.m.</w:t>
            </w:r>
          </w:p>
        </w:tc>
        <w:tc>
          <w:tcPr>
            <w:tcW w:w="1701" w:type="dxa"/>
            <w:vAlign w:val="center"/>
          </w:tcPr>
          <w:p>
            <w:pPr>
              <w:spacing w:before="20" w:after="20"/>
              <w:jc w:val="center"/>
              <w:rPr>
                <w:b/>
                <w:noProof/>
                <w:sz w:val="20"/>
              </w:rPr>
            </w:pPr>
            <w:r>
              <w:rPr>
                <w:b/>
                <w:noProof/>
                <w:sz w:val="20"/>
              </w:rPr>
              <w:t>p.m.</w:t>
            </w:r>
          </w:p>
        </w:tc>
      </w:tr>
      <w:tr>
        <w:trPr>
          <w:trHeight w:val="231"/>
        </w:trPr>
        <w:tc>
          <w:tcPr>
            <w:tcW w:w="6314" w:type="dxa"/>
            <w:gridSpan w:val="4"/>
            <w:vAlign w:val="center"/>
          </w:tcPr>
          <w:p>
            <w:pPr>
              <w:spacing w:before="20" w:after="20"/>
              <w:rPr>
                <w:noProof/>
              </w:rPr>
            </w:pPr>
            <w:r>
              <w:rPr>
                <w:noProof/>
                <w:sz w:val="21"/>
              </w:rPr>
              <w:t>Бюджетни кредити за административни разходи, финансирани от пакета за специфични програми</w:t>
            </w:r>
            <w:r>
              <w:rPr>
                <w:rStyle w:val="FootnoteReference"/>
                <w:noProof/>
              </w:rPr>
              <w:footnoteReference w:id="13"/>
            </w:r>
            <w:r>
              <w:rPr>
                <w:noProof/>
                <w:sz w:val="21"/>
              </w:rPr>
              <w:t xml:space="preserve"> </w:t>
            </w:r>
          </w:p>
          <w:p>
            <w:pPr>
              <w:spacing w:after="0"/>
              <w:rPr>
                <w:noProof/>
              </w:rPr>
            </w:pPr>
          </w:p>
        </w:tc>
        <w:tc>
          <w:tcPr>
            <w:tcW w:w="992" w:type="dxa"/>
            <w:vAlign w:val="center"/>
          </w:tcPr>
          <w:p>
            <w:pPr>
              <w:jc w:val="center"/>
              <w:rPr>
                <w:b/>
                <w:noProof/>
                <w:sz w:val="20"/>
              </w:rPr>
            </w:pPr>
          </w:p>
        </w:tc>
        <w:tc>
          <w:tcPr>
            <w:tcW w:w="851" w:type="dxa"/>
            <w:vAlign w:val="center"/>
          </w:tcPr>
          <w:p>
            <w:pPr>
              <w:jc w:val="center"/>
              <w:rPr>
                <w:b/>
                <w:noProof/>
                <w:sz w:val="20"/>
              </w:rPr>
            </w:pPr>
          </w:p>
        </w:tc>
        <w:tc>
          <w:tcPr>
            <w:tcW w:w="850" w:type="dxa"/>
            <w:vAlign w:val="center"/>
          </w:tcPr>
          <w:p>
            <w:pPr>
              <w:jc w:val="center"/>
              <w:rPr>
                <w:b/>
                <w:noProof/>
                <w:sz w:val="20"/>
              </w:rPr>
            </w:pPr>
          </w:p>
        </w:tc>
        <w:tc>
          <w:tcPr>
            <w:tcW w:w="992" w:type="dxa"/>
            <w:vAlign w:val="center"/>
          </w:tcPr>
          <w:p>
            <w:pPr>
              <w:jc w:val="center"/>
              <w:rPr>
                <w:b/>
                <w:noProof/>
                <w:sz w:val="20"/>
              </w:rPr>
            </w:pPr>
          </w:p>
        </w:tc>
        <w:tc>
          <w:tcPr>
            <w:tcW w:w="993" w:type="dxa"/>
          </w:tcPr>
          <w:p>
            <w:pPr>
              <w:jc w:val="center"/>
              <w:rPr>
                <w:b/>
                <w:noProof/>
                <w:sz w:val="20"/>
              </w:rPr>
            </w:pPr>
          </w:p>
        </w:tc>
        <w:tc>
          <w:tcPr>
            <w:tcW w:w="1701" w:type="dxa"/>
            <w:vAlign w:val="center"/>
          </w:tcPr>
          <w:p>
            <w:pPr>
              <w:jc w:val="center"/>
              <w:rPr>
                <w:b/>
                <w:noProof/>
                <w:sz w:val="20"/>
              </w:rPr>
            </w:pPr>
          </w:p>
        </w:tc>
      </w:tr>
      <w:tr>
        <w:trPr>
          <w:trHeight w:val="319"/>
        </w:trPr>
        <w:tc>
          <w:tcPr>
            <w:tcW w:w="3960" w:type="dxa"/>
            <w:vAlign w:val="center"/>
          </w:tcPr>
          <w:p>
            <w:pPr>
              <w:spacing w:before="60" w:after="60"/>
              <w:rPr>
                <w:noProof/>
              </w:rPr>
            </w:pPr>
            <w:r>
              <w:rPr>
                <w:noProof/>
                <w:sz w:val="20"/>
              </w:rPr>
              <w:t>Бюджетен ред</w:t>
            </w:r>
          </w:p>
        </w:tc>
        <w:tc>
          <w:tcPr>
            <w:tcW w:w="1440" w:type="dxa"/>
            <w:vAlign w:val="center"/>
          </w:tcPr>
          <w:p>
            <w:pPr>
              <w:spacing w:before="40" w:after="40"/>
              <w:jc w:val="right"/>
              <w:rPr>
                <w:noProof/>
                <w:sz w:val="18"/>
              </w:rPr>
            </w:pPr>
          </w:p>
        </w:tc>
        <w:tc>
          <w:tcPr>
            <w:tcW w:w="914" w:type="dxa"/>
            <w:gridSpan w:val="2"/>
            <w:vAlign w:val="center"/>
          </w:tcPr>
          <w:p>
            <w:pPr>
              <w:spacing w:before="40" w:after="40"/>
              <w:jc w:val="center"/>
              <w:rPr>
                <w:noProof/>
                <w:sz w:val="14"/>
              </w:rPr>
            </w:pPr>
            <w:r>
              <w:rPr>
                <w:noProof/>
                <w:sz w:val="14"/>
              </w:rPr>
              <w:t>(3)</w:t>
            </w:r>
          </w:p>
        </w:tc>
        <w:tc>
          <w:tcPr>
            <w:tcW w:w="992" w:type="dxa"/>
            <w:vAlign w:val="center"/>
          </w:tcPr>
          <w:p>
            <w:pPr>
              <w:spacing w:before="40" w:after="40"/>
              <w:jc w:val="center"/>
              <w:rPr>
                <w:b/>
                <w:noProof/>
                <w:sz w:val="20"/>
              </w:rPr>
            </w:pPr>
            <w:r>
              <w:rPr>
                <w:noProof/>
                <w:sz w:val="20"/>
                <w:szCs w:val="20"/>
              </w:rPr>
              <w:t>p.m.</w:t>
            </w:r>
          </w:p>
        </w:tc>
        <w:tc>
          <w:tcPr>
            <w:tcW w:w="851" w:type="dxa"/>
            <w:vAlign w:val="center"/>
          </w:tcPr>
          <w:p>
            <w:pPr>
              <w:spacing w:before="40" w:after="40"/>
              <w:jc w:val="center"/>
              <w:rPr>
                <w:b/>
                <w:noProof/>
                <w:sz w:val="20"/>
              </w:rPr>
            </w:pPr>
            <w:r>
              <w:rPr>
                <w:noProof/>
                <w:sz w:val="20"/>
                <w:szCs w:val="20"/>
              </w:rPr>
              <w:t>p.m.</w:t>
            </w:r>
          </w:p>
        </w:tc>
        <w:tc>
          <w:tcPr>
            <w:tcW w:w="850" w:type="dxa"/>
            <w:vAlign w:val="center"/>
          </w:tcPr>
          <w:p>
            <w:pPr>
              <w:spacing w:before="40" w:after="40"/>
              <w:jc w:val="center"/>
              <w:rPr>
                <w:b/>
                <w:noProof/>
                <w:sz w:val="20"/>
              </w:rPr>
            </w:pPr>
            <w:r>
              <w:rPr>
                <w:noProof/>
                <w:sz w:val="20"/>
                <w:szCs w:val="20"/>
              </w:rPr>
              <w:t>p.m.</w:t>
            </w:r>
          </w:p>
        </w:tc>
        <w:tc>
          <w:tcPr>
            <w:tcW w:w="992" w:type="dxa"/>
            <w:vAlign w:val="center"/>
          </w:tcPr>
          <w:p>
            <w:pPr>
              <w:spacing w:before="40" w:after="40"/>
              <w:jc w:val="center"/>
              <w:rPr>
                <w:b/>
                <w:noProof/>
                <w:sz w:val="20"/>
              </w:rPr>
            </w:pPr>
            <w:r>
              <w:rPr>
                <w:noProof/>
                <w:sz w:val="20"/>
                <w:szCs w:val="20"/>
              </w:rPr>
              <w:t>p.m.</w:t>
            </w:r>
          </w:p>
        </w:tc>
        <w:tc>
          <w:tcPr>
            <w:tcW w:w="993" w:type="dxa"/>
            <w:vAlign w:val="center"/>
          </w:tcPr>
          <w:p>
            <w:pPr>
              <w:spacing w:before="40" w:after="40"/>
              <w:jc w:val="center"/>
              <w:rPr>
                <w:b/>
                <w:noProof/>
                <w:sz w:val="20"/>
              </w:rPr>
            </w:pPr>
          </w:p>
        </w:tc>
        <w:tc>
          <w:tcPr>
            <w:tcW w:w="1701" w:type="dxa"/>
            <w:vAlign w:val="center"/>
          </w:tcPr>
          <w:p>
            <w:pPr>
              <w:spacing w:before="40" w:after="40"/>
              <w:jc w:val="center"/>
              <w:rPr>
                <w:b/>
                <w:noProof/>
                <w:sz w:val="20"/>
              </w:rPr>
            </w:pPr>
            <w:r>
              <w:rPr>
                <w:b/>
                <w:noProof/>
                <w:sz w:val="20"/>
              </w:rPr>
              <w:t>p.m.</w:t>
            </w:r>
          </w:p>
        </w:tc>
      </w:tr>
      <w:tr>
        <w:tc>
          <w:tcPr>
            <w:tcW w:w="3960" w:type="dxa"/>
            <w:vMerge w:val="restart"/>
            <w:vAlign w:val="center"/>
          </w:tcPr>
          <w:p>
            <w:pPr>
              <w:jc w:val="center"/>
              <w:rPr>
                <w:b/>
                <w:noProof/>
              </w:rPr>
            </w:pPr>
            <w:r>
              <w:rPr>
                <w:b/>
                <w:noProof/>
              </w:rPr>
              <w:t>ОБЩО бюджетни кредити</w:t>
            </w:r>
            <w:r>
              <w:rPr>
                <w:noProof/>
              </w:rPr>
              <w:br/>
            </w:r>
            <w:r>
              <w:rPr>
                <w:b/>
                <w:noProof/>
              </w:rPr>
              <w:t xml:space="preserve">за ГД </w:t>
            </w:r>
            <w:r>
              <w:rPr>
                <w:noProof/>
              </w:rPr>
              <w:t>JRC</w:t>
            </w:r>
          </w:p>
        </w:tc>
        <w:tc>
          <w:tcPr>
            <w:tcW w:w="1440" w:type="dxa"/>
            <w:vAlign w:val="center"/>
          </w:tcPr>
          <w:p>
            <w:pPr>
              <w:rPr>
                <w:noProof/>
                <w:sz w:val="18"/>
              </w:rPr>
            </w:pPr>
            <w:r>
              <w:rPr>
                <w:noProof/>
                <w:sz w:val="18"/>
              </w:rPr>
              <w:t>Поети задължения</w:t>
            </w:r>
          </w:p>
        </w:tc>
        <w:tc>
          <w:tcPr>
            <w:tcW w:w="914" w:type="dxa"/>
            <w:gridSpan w:val="2"/>
            <w:vAlign w:val="center"/>
          </w:tcPr>
          <w:p>
            <w:pPr>
              <w:jc w:val="center"/>
              <w:rPr>
                <w:noProof/>
                <w:sz w:val="14"/>
              </w:rPr>
            </w:pPr>
            <w:r>
              <w:rPr>
                <w:noProof/>
                <w:sz w:val="14"/>
              </w:rPr>
              <w:t>=1a+1б +3</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b/>
                <w:noProof/>
                <w:sz w:val="20"/>
              </w:rPr>
            </w:pPr>
            <w:r>
              <w:rPr>
                <w:noProof/>
                <w:sz w:val="20"/>
                <w:szCs w:val="20"/>
              </w:rPr>
              <w:t>.</w:t>
            </w:r>
          </w:p>
        </w:tc>
        <w:tc>
          <w:tcPr>
            <w:tcW w:w="1701" w:type="dxa"/>
            <w:vAlign w:val="center"/>
          </w:tcPr>
          <w:p>
            <w:pPr>
              <w:spacing w:before="20" w:after="20"/>
              <w:jc w:val="center"/>
              <w:rPr>
                <w:b/>
                <w:noProof/>
                <w:sz w:val="20"/>
              </w:rPr>
            </w:pPr>
            <w:r>
              <w:rPr>
                <w:b/>
                <w:noProof/>
                <w:sz w:val="20"/>
              </w:rPr>
              <w:t>p.m.</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914" w:type="dxa"/>
            <w:gridSpan w:val="2"/>
            <w:vAlign w:val="center"/>
          </w:tcPr>
          <w:p>
            <w:pPr>
              <w:jc w:val="center"/>
              <w:rPr>
                <w:noProof/>
                <w:sz w:val="14"/>
              </w:rPr>
            </w:pPr>
            <w:r>
              <w:rPr>
                <w:noProof/>
                <w:sz w:val="14"/>
              </w:rPr>
              <w:t>=2a+2б</w:t>
            </w:r>
          </w:p>
          <w:p>
            <w:pPr>
              <w:jc w:val="center"/>
              <w:rPr>
                <w:noProof/>
                <w:sz w:val="14"/>
              </w:rPr>
            </w:pPr>
            <w:r>
              <w:rPr>
                <w:noProof/>
                <w:sz w:val="14"/>
              </w:rPr>
              <w:t>+3</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b/>
                <w:noProof/>
                <w:sz w:val="20"/>
              </w:rPr>
            </w:pPr>
            <w:r>
              <w:rPr>
                <w:noProof/>
                <w:sz w:val="20"/>
                <w:szCs w:val="20"/>
              </w:rPr>
              <w:t>p.m.</w:t>
            </w:r>
          </w:p>
        </w:tc>
        <w:tc>
          <w:tcPr>
            <w:tcW w:w="1701" w:type="dxa"/>
            <w:vAlign w:val="center"/>
          </w:tcPr>
          <w:p>
            <w:pPr>
              <w:spacing w:before="20" w:after="20"/>
              <w:jc w:val="center"/>
              <w:rPr>
                <w:b/>
                <w:noProof/>
                <w:sz w:val="20"/>
              </w:rPr>
            </w:pPr>
            <w:r>
              <w:rPr>
                <w:b/>
                <w:noProof/>
                <w:sz w:val="20"/>
              </w:rPr>
              <w:t>p.m.</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914"/>
        <w:gridCol w:w="850"/>
        <w:gridCol w:w="993"/>
        <w:gridCol w:w="850"/>
        <w:gridCol w:w="992"/>
        <w:gridCol w:w="992"/>
        <w:gridCol w:w="170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914" w:type="dxa"/>
            <w:vAlign w:val="center"/>
          </w:tcPr>
          <w:p>
            <w:pPr>
              <w:spacing w:beforeLines="20" w:before="48" w:afterLines="20" w:after="48"/>
              <w:jc w:val="center"/>
              <w:rPr>
                <w:noProof/>
                <w:sz w:val="14"/>
              </w:rPr>
            </w:pPr>
            <w:r>
              <w:rPr>
                <w:noProof/>
                <w:sz w:val="14"/>
              </w:rPr>
              <w:t>(4)</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p>
        </w:tc>
        <w:tc>
          <w:tcPr>
            <w:tcW w:w="1702" w:type="dxa"/>
            <w:vAlign w:val="center"/>
          </w:tcPr>
          <w:p>
            <w:pPr>
              <w:spacing w:before="20" w:after="20"/>
              <w:jc w:val="center"/>
              <w:rPr>
                <w:b/>
                <w:noProof/>
                <w:sz w:val="20"/>
              </w:rPr>
            </w:pPr>
            <w:r>
              <w:rPr>
                <w:b/>
                <w:noProof/>
                <w:sz w:val="20"/>
                <w:szCs w:val="20"/>
              </w:rPr>
              <w:t>p.m.</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914" w:type="dxa"/>
            <w:vAlign w:val="center"/>
          </w:tcPr>
          <w:p>
            <w:pPr>
              <w:spacing w:beforeLines="20" w:before="48" w:afterLines="20" w:after="48"/>
              <w:jc w:val="center"/>
              <w:rPr>
                <w:noProof/>
                <w:sz w:val="14"/>
              </w:rPr>
            </w:pPr>
            <w:r>
              <w:rPr>
                <w:noProof/>
                <w:sz w:val="14"/>
              </w:rPr>
              <w:t>(5)</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r>
              <w:rPr>
                <w:noProof/>
                <w:sz w:val="20"/>
                <w:szCs w:val="20"/>
              </w:rPr>
              <w:t>p.m.</w:t>
            </w:r>
          </w:p>
        </w:tc>
        <w:tc>
          <w:tcPr>
            <w:tcW w:w="1702" w:type="dxa"/>
            <w:vAlign w:val="center"/>
          </w:tcPr>
          <w:p>
            <w:pPr>
              <w:spacing w:before="20" w:after="20"/>
              <w:jc w:val="center"/>
              <w:rPr>
                <w:b/>
                <w:noProof/>
                <w:sz w:val="20"/>
              </w:rPr>
            </w:pPr>
            <w:r>
              <w:rPr>
                <w:b/>
                <w:noProof/>
                <w:sz w:val="20"/>
                <w:szCs w:val="20"/>
              </w:rPr>
              <w:t>p.m.</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специфични програми </w:t>
            </w:r>
          </w:p>
        </w:tc>
        <w:tc>
          <w:tcPr>
            <w:tcW w:w="914" w:type="dxa"/>
            <w:vAlign w:val="center"/>
          </w:tcPr>
          <w:p>
            <w:pPr>
              <w:spacing w:beforeLines="20" w:before="48" w:afterLines="20" w:after="48"/>
              <w:jc w:val="center"/>
              <w:rPr>
                <w:noProof/>
                <w:sz w:val="14"/>
              </w:rPr>
            </w:pPr>
            <w:r>
              <w:rPr>
                <w:noProof/>
                <w:sz w:val="14"/>
              </w:rPr>
              <w:t>(6)</w:t>
            </w:r>
          </w:p>
        </w:tc>
        <w:tc>
          <w:tcPr>
            <w:tcW w:w="850" w:type="dxa"/>
            <w:vAlign w:val="center"/>
          </w:tcPr>
          <w:p>
            <w:pPr>
              <w:spacing w:before="20" w:after="20"/>
              <w:jc w:val="right"/>
              <w:rPr>
                <w:noProof/>
                <w:sz w:val="20"/>
              </w:rPr>
            </w:pPr>
            <w:r>
              <w:rPr>
                <w:noProof/>
                <w:sz w:val="20"/>
              </w:rPr>
              <w:t>p.m.</w:t>
            </w:r>
          </w:p>
        </w:tc>
        <w:tc>
          <w:tcPr>
            <w:tcW w:w="993" w:type="dxa"/>
            <w:vAlign w:val="center"/>
          </w:tcPr>
          <w:p>
            <w:pPr>
              <w:spacing w:before="20" w:after="20"/>
              <w:jc w:val="right"/>
              <w:rPr>
                <w:b/>
                <w:noProof/>
                <w:sz w:val="20"/>
              </w:rPr>
            </w:pPr>
            <w:r>
              <w:rPr>
                <w:noProof/>
                <w:sz w:val="20"/>
                <w:szCs w:val="20"/>
              </w:rPr>
              <w:t>p.m.</w:t>
            </w:r>
          </w:p>
        </w:tc>
        <w:tc>
          <w:tcPr>
            <w:tcW w:w="850" w:type="dxa"/>
            <w:vAlign w:val="center"/>
          </w:tcPr>
          <w:p>
            <w:pPr>
              <w:spacing w:before="20" w:after="20"/>
              <w:jc w:val="right"/>
              <w:rPr>
                <w:b/>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b/>
                <w:noProof/>
                <w:sz w:val="20"/>
              </w:rPr>
            </w:pPr>
            <w:r>
              <w:rPr>
                <w:noProof/>
                <w:sz w:val="20"/>
                <w:szCs w:val="20"/>
              </w:rPr>
              <w:t xml:space="preserve"> </w:t>
            </w:r>
          </w:p>
        </w:tc>
        <w:tc>
          <w:tcPr>
            <w:tcW w:w="1702" w:type="dxa"/>
            <w:vAlign w:val="center"/>
          </w:tcPr>
          <w:p>
            <w:pPr>
              <w:spacing w:before="20" w:after="20"/>
              <w:jc w:val="center"/>
              <w:rPr>
                <w:b/>
                <w:noProof/>
                <w:sz w:val="20"/>
              </w:rPr>
            </w:pPr>
            <w:r>
              <w:rPr>
                <w:b/>
                <w:noProof/>
                <w:sz w:val="20"/>
                <w:szCs w:val="20"/>
              </w:rPr>
              <w:t>p.m.</w:t>
            </w:r>
          </w:p>
        </w:tc>
      </w:tr>
      <w:tr>
        <w:tc>
          <w:tcPr>
            <w:tcW w:w="3960" w:type="dxa"/>
            <w:vMerge w:val="restart"/>
            <w:shd w:val="thinDiagStripe" w:color="C0C0C0" w:fill="auto"/>
            <w:vAlign w:val="center"/>
          </w:tcPr>
          <w:p>
            <w:pPr>
              <w:jc w:val="center"/>
              <w:rPr>
                <w:b/>
                <w:noProof/>
              </w:rPr>
            </w:pPr>
            <w:r>
              <w:rPr>
                <w:b/>
                <w:noProof/>
              </w:rPr>
              <w:t xml:space="preserve">ОБЩО бюджетни кредити </w:t>
            </w:r>
            <w:r>
              <w:rPr>
                <w:noProof/>
              </w:rPr>
              <w:br/>
            </w:r>
            <w:r>
              <w:rPr>
                <w:b/>
                <w:noProof/>
              </w:rPr>
              <w:t>за ФУНКЦИЯ 1а</w:t>
            </w:r>
          </w:p>
          <w:p>
            <w:pPr>
              <w:jc w:val="center"/>
              <w:rPr>
                <w:b/>
                <w:noProof/>
              </w:rPr>
            </w:pPr>
            <w:r>
              <w:rPr>
                <w:noProof/>
              </w:rPr>
              <w:t>от многогодишната финансова рамка</w:t>
            </w:r>
          </w:p>
        </w:tc>
        <w:tc>
          <w:tcPr>
            <w:tcW w:w="1440" w:type="dxa"/>
            <w:vAlign w:val="center"/>
          </w:tcPr>
          <w:p>
            <w:pPr>
              <w:rPr>
                <w:noProof/>
                <w:sz w:val="18"/>
              </w:rPr>
            </w:pPr>
            <w:r>
              <w:rPr>
                <w:noProof/>
                <w:sz w:val="18"/>
              </w:rPr>
              <w:t>Поети задължения</w:t>
            </w:r>
          </w:p>
        </w:tc>
        <w:tc>
          <w:tcPr>
            <w:tcW w:w="914" w:type="dxa"/>
            <w:vAlign w:val="center"/>
          </w:tcPr>
          <w:p>
            <w:pPr>
              <w:jc w:val="center"/>
              <w:rPr>
                <w:noProof/>
                <w:sz w:val="14"/>
              </w:rPr>
            </w:pPr>
            <w:r>
              <w:rPr>
                <w:noProof/>
                <w:sz w:val="14"/>
              </w:rPr>
              <w:t>=4+ 6</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r>
              <w:rPr>
                <w:noProof/>
                <w:sz w:val="20"/>
                <w:szCs w:val="20"/>
              </w:rPr>
              <w:t xml:space="preserve"> </w:t>
            </w:r>
          </w:p>
        </w:tc>
        <w:tc>
          <w:tcPr>
            <w:tcW w:w="1702" w:type="dxa"/>
            <w:vAlign w:val="center"/>
          </w:tcPr>
          <w:p>
            <w:pPr>
              <w:spacing w:before="20" w:after="20"/>
              <w:jc w:val="center"/>
              <w:rPr>
                <w:b/>
                <w:noProof/>
                <w:sz w:val="20"/>
              </w:rPr>
            </w:pPr>
            <w:r>
              <w:rPr>
                <w:b/>
                <w:noProof/>
                <w:sz w:val="20"/>
                <w:szCs w:val="20"/>
              </w:rPr>
              <w:t>p.m.</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914" w:type="dxa"/>
            <w:vAlign w:val="center"/>
          </w:tcPr>
          <w:p>
            <w:pPr>
              <w:jc w:val="center"/>
              <w:rPr>
                <w:noProof/>
                <w:sz w:val="14"/>
              </w:rPr>
            </w:pPr>
            <w:r>
              <w:rPr>
                <w:noProof/>
                <w:sz w:val="14"/>
              </w:rPr>
              <w:t>=5+ 6</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r>
              <w:rPr>
                <w:noProof/>
                <w:sz w:val="20"/>
                <w:szCs w:val="20"/>
              </w:rPr>
              <w:t>p.m.</w:t>
            </w:r>
          </w:p>
        </w:tc>
        <w:tc>
          <w:tcPr>
            <w:tcW w:w="1702" w:type="dxa"/>
            <w:vAlign w:val="center"/>
          </w:tcPr>
          <w:p>
            <w:pPr>
              <w:spacing w:before="20" w:after="20"/>
              <w:jc w:val="center"/>
              <w:rPr>
                <w:b/>
                <w:noProof/>
                <w:sz w:val="20"/>
              </w:rPr>
            </w:pPr>
            <w:r>
              <w:rPr>
                <w:b/>
                <w:noProof/>
                <w:sz w:val="20"/>
                <w:szCs w:val="20"/>
              </w:rPr>
              <w:t>p.m.</w:t>
            </w:r>
          </w:p>
        </w:tc>
      </w:tr>
    </w:tbl>
    <w:p>
      <w:pPr>
        <w:spacing w:after="40"/>
        <w:rPr>
          <w:b/>
          <w:noProof/>
          <w:u w:val="single"/>
        </w:rPr>
      </w:pPr>
      <w:r>
        <w:rPr>
          <w:b/>
          <w:noProof/>
          <w:u w:val="single"/>
        </w:rPr>
        <w:t>Ако предложението/инициативата има отражение върху повече от една оперативна функция, да се повтори частта по-горе: не е приложимо</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914"/>
        <w:gridCol w:w="60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ОБЩО бюджетни кредити за оперативни разходи (всички оперативни функции)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914" w:type="dxa"/>
            <w:tcBorders>
              <w:top w:val="single" w:sz="4" w:space="0" w:color="auto"/>
            </w:tcBorders>
            <w:vAlign w:val="center"/>
          </w:tcPr>
          <w:p>
            <w:pPr>
              <w:spacing w:beforeLines="20" w:before="48" w:afterLines="20" w:after="48"/>
              <w:jc w:val="center"/>
              <w:rPr>
                <w:noProof/>
                <w:sz w:val="14"/>
              </w:rPr>
            </w:pPr>
            <w:r>
              <w:rPr>
                <w:noProof/>
                <w:sz w:val="14"/>
              </w:rPr>
              <w:t>(4)</w:t>
            </w:r>
          </w:p>
        </w:tc>
        <w:tc>
          <w:tcPr>
            <w:tcW w:w="60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914" w:type="dxa"/>
            <w:vAlign w:val="center"/>
          </w:tcPr>
          <w:p>
            <w:pPr>
              <w:spacing w:beforeLines="20" w:before="48" w:afterLines="20" w:after="48"/>
              <w:jc w:val="center"/>
              <w:rPr>
                <w:noProof/>
                <w:sz w:val="14"/>
              </w:rPr>
            </w:pPr>
            <w:r>
              <w:rPr>
                <w:noProof/>
                <w:sz w:val="14"/>
              </w:rPr>
              <w:t>(5)</w:t>
            </w:r>
          </w:p>
        </w:tc>
        <w:tc>
          <w:tcPr>
            <w:tcW w:w="60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ОБЩО бюджетни кредити за административни разходи, финансирани от пакета за специфични програми (всички оперативни функции)</w:t>
            </w:r>
          </w:p>
        </w:tc>
        <w:tc>
          <w:tcPr>
            <w:tcW w:w="914" w:type="dxa"/>
            <w:vAlign w:val="center"/>
          </w:tcPr>
          <w:p>
            <w:pPr>
              <w:rPr>
                <w:noProof/>
              </w:rPr>
            </w:pPr>
          </w:p>
          <w:p>
            <w:pPr>
              <w:spacing w:beforeLines="20" w:before="48" w:afterLines="20" w:after="48"/>
              <w:jc w:val="center"/>
              <w:rPr>
                <w:noProof/>
                <w:sz w:val="14"/>
              </w:rPr>
            </w:pPr>
            <w:r>
              <w:rPr>
                <w:noProof/>
                <w:sz w:val="14"/>
              </w:rPr>
              <w:t>(6)</w:t>
            </w:r>
          </w:p>
        </w:tc>
        <w:tc>
          <w:tcPr>
            <w:tcW w:w="60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 xml:space="preserve">ОБЩО бюджетни кредити </w:t>
            </w:r>
            <w:r>
              <w:rPr>
                <w:noProof/>
              </w:rPr>
              <w:br/>
            </w:r>
            <w:r>
              <w:rPr>
                <w:b/>
                <w:noProof/>
              </w:rPr>
              <w:t>по ФУНКЦИИ 1—4</w:t>
            </w:r>
            <w:r>
              <w:rPr>
                <w:noProof/>
              </w:rPr>
              <w:br/>
              <w:t>от многогодишната финансова рамка</w:t>
            </w:r>
            <w:r>
              <w:rPr>
                <w:noProof/>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914" w:type="dxa"/>
            <w:vAlign w:val="center"/>
          </w:tcPr>
          <w:p>
            <w:pPr>
              <w:jc w:val="center"/>
              <w:rPr>
                <w:noProof/>
                <w:sz w:val="14"/>
              </w:rPr>
            </w:pPr>
            <w:r>
              <w:rPr>
                <w:noProof/>
                <w:sz w:val="14"/>
              </w:rPr>
              <w:t>=4+ 6</w:t>
            </w:r>
          </w:p>
        </w:tc>
        <w:tc>
          <w:tcPr>
            <w:tcW w:w="60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914" w:type="dxa"/>
            <w:tcBorders>
              <w:bottom w:val="single" w:sz="4" w:space="0" w:color="auto"/>
            </w:tcBorders>
            <w:vAlign w:val="center"/>
          </w:tcPr>
          <w:p>
            <w:pPr>
              <w:jc w:val="center"/>
              <w:rPr>
                <w:noProof/>
                <w:sz w:val="14"/>
              </w:rPr>
            </w:pPr>
            <w:r>
              <w:rPr>
                <w:noProof/>
                <w:sz w:val="14"/>
              </w:rPr>
              <w:t>=5+ 6</w:t>
            </w:r>
          </w:p>
        </w:tc>
        <w:tc>
          <w:tcPr>
            <w:tcW w:w="60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spacing w:after="0"/>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Функция от многогодишната финансова </w:t>
            </w:r>
            <w:r>
              <w:rPr>
                <w:noProof/>
              </w:rPr>
              <w:br/>
            </w:r>
            <w:r>
              <w:rPr>
                <w:b/>
                <w:noProof/>
              </w:rPr>
              <w:t xml:space="preserve">рамка </w:t>
            </w:r>
          </w:p>
        </w:tc>
        <w:tc>
          <w:tcPr>
            <w:tcW w:w="1080" w:type="dxa"/>
            <w:shd w:val="thinDiagStripe" w:color="C0C0C0" w:fill="auto"/>
            <w:vAlign w:val="center"/>
          </w:tcPr>
          <w:p>
            <w:pPr>
              <w:spacing w:before="60" w:after="60"/>
              <w:jc w:val="center"/>
              <w:rPr>
                <w:noProof/>
              </w:rPr>
            </w:pPr>
            <w:r>
              <w:rPr>
                <w:b/>
                <w:noProof/>
              </w:rPr>
              <w:t>5</w:t>
            </w:r>
          </w:p>
        </w:tc>
        <w:tc>
          <w:tcPr>
            <w:tcW w:w="7817" w:type="dxa"/>
            <w:vAlign w:val="center"/>
          </w:tcPr>
          <w:p>
            <w:pPr>
              <w:spacing w:before="60" w:after="60"/>
              <w:rPr>
                <w:noProof/>
              </w:rPr>
            </w:pPr>
            <w:r>
              <w:rPr>
                <w:noProof/>
              </w:rPr>
              <w:t>„Административни разходи“</w:t>
            </w:r>
          </w:p>
        </w:tc>
      </w:tr>
    </w:tbl>
    <w:p>
      <w:pPr>
        <w:rPr>
          <w:noProof/>
          <w:sz w:val="20"/>
        </w:rPr>
      </w:pPr>
      <w:r>
        <w:rPr>
          <w:noProof/>
        </w:rPr>
        <w:t xml:space="preserve">Тази част се попълва, като се използва таблицата за бюджетни данни от административно естество, която най-напред се въвежда в </w:t>
      </w:r>
      <w:hyperlink r:id="rId13" w:history="1">
        <w:r>
          <w:rPr>
            <w:noProof/>
            <w:color w:val="0000FF"/>
            <w:u w:val="single"/>
          </w:rPr>
          <w:t>приложението към законодателната финансова обосновка</w:t>
        </w:r>
      </w:hyperlink>
      <w:r>
        <w:rPr>
          <w:noProof/>
        </w:rPr>
        <w:t xml:space="preserve"> (приложение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br/>
            </w:r>
            <w:r>
              <w:rPr>
                <w:b/>
                <w:noProof/>
                <w:sz w:val="20"/>
              </w:rPr>
              <w:t>N</w:t>
            </w:r>
          </w:p>
        </w:tc>
        <w:tc>
          <w:tcPr>
            <w:tcW w:w="868" w:type="dxa"/>
            <w:vAlign w:val="center"/>
          </w:tcPr>
          <w:p>
            <w:pPr>
              <w:jc w:val="center"/>
              <w:rPr>
                <w:noProof/>
                <w:sz w:val="20"/>
              </w:rPr>
            </w:pPr>
            <w:r>
              <w:rPr>
                <w:noProof/>
                <w:sz w:val="20"/>
              </w:rPr>
              <w:t>Година</w:t>
            </w:r>
            <w:r>
              <w:rPr>
                <w:noProof/>
              </w:rPr>
              <w:br/>
            </w:r>
            <w:r>
              <w:rPr>
                <w:b/>
                <w:noProof/>
                <w:sz w:val="20"/>
              </w:rPr>
              <w:t>N+1</w:t>
            </w:r>
          </w:p>
        </w:tc>
        <w:tc>
          <w:tcPr>
            <w:tcW w:w="868" w:type="dxa"/>
            <w:vAlign w:val="center"/>
          </w:tcPr>
          <w:p>
            <w:pPr>
              <w:jc w:val="center"/>
              <w:rPr>
                <w:noProof/>
                <w:sz w:val="20"/>
              </w:rPr>
            </w:pPr>
            <w:r>
              <w:rPr>
                <w:noProof/>
                <w:sz w:val="20"/>
              </w:rPr>
              <w:t>Година</w:t>
            </w:r>
            <w:r>
              <w:rPr>
                <w:noProof/>
              </w:rPr>
              <w:br/>
            </w:r>
            <w:r>
              <w:rPr>
                <w:b/>
                <w:noProof/>
                <w:sz w:val="20"/>
              </w:rPr>
              <w:t>N+2</w:t>
            </w:r>
          </w:p>
        </w:tc>
        <w:tc>
          <w:tcPr>
            <w:tcW w:w="868" w:type="dxa"/>
            <w:vAlign w:val="center"/>
          </w:tcPr>
          <w:p>
            <w:pPr>
              <w:jc w:val="center"/>
              <w:rPr>
                <w:noProof/>
                <w:sz w:val="20"/>
              </w:rPr>
            </w:pPr>
            <w:r>
              <w:rPr>
                <w:noProof/>
                <w:sz w:val="20"/>
              </w:rPr>
              <w:t>Година</w:t>
            </w:r>
            <w:r>
              <w:rPr>
                <w:noProof/>
              </w:rPr>
              <w:br/>
            </w:r>
            <w:r>
              <w:rPr>
                <w:b/>
                <w:noProof/>
                <w:sz w:val="20"/>
              </w:rPr>
              <w:t>N+3</w:t>
            </w:r>
          </w:p>
        </w:tc>
        <w:tc>
          <w:tcPr>
            <w:tcW w:w="2604" w:type="dxa"/>
            <w:gridSpan w:val="3"/>
            <w:vAlign w:val="center"/>
          </w:tcPr>
          <w:p>
            <w:pPr>
              <w:jc w:val="center"/>
              <w:rPr>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rPr>
              <w:t>ГД: &lt;…….&gt;</w:t>
            </w:r>
          </w:p>
        </w:tc>
      </w:tr>
      <w:tr>
        <w:trPr>
          <w:trHeight w:val="313"/>
        </w:trPr>
        <w:tc>
          <w:tcPr>
            <w:tcW w:w="6054" w:type="dxa"/>
            <w:gridSpan w:val="3"/>
            <w:vAlign w:val="center"/>
          </w:tcPr>
          <w:p>
            <w:pPr>
              <w:spacing w:before="20" w:after="20"/>
              <w:rPr>
                <w:noProof/>
              </w:rPr>
            </w:pPr>
            <w:r>
              <w:rPr>
                <w:noProof/>
              </w:rPr>
              <w:sym w:font="Wingdings" w:char="F09F"/>
            </w:r>
            <w:r>
              <w:rPr>
                <w:noProof/>
              </w:rPr>
              <w:t xml:space="preserve"> Човешки ресурси </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noProof/>
                <w:sz w:val="20"/>
              </w:rPr>
              <w:t>не е приложимо</w:t>
            </w:r>
          </w:p>
        </w:tc>
      </w:tr>
      <w:tr>
        <w:trPr>
          <w:trHeight w:val="351"/>
        </w:trPr>
        <w:tc>
          <w:tcPr>
            <w:tcW w:w="6054" w:type="dxa"/>
            <w:gridSpan w:val="3"/>
            <w:vAlign w:val="center"/>
          </w:tcPr>
          <w:p>
            <w:pPr>
              <w:spacing w:before="20" w:after="20"/>
              <w:rPr>
                <w:noProof/>
              </w:rPr>
            </w:pPr>
            <w:r>
              <w:rPr>
                <w:noProof/>
              </w:rPr>
              <w:sym w:font="Wingdings" w:char="F09F"/>
            </w:r>
            <w:r>
              <w:rPr>
                <w:noProof/>
              </w:rPr>
              <w:t xml:space="preserve"> Други административни разходи </w:t>
            </w:r>
          </w:p>
        </w:tc>
        <w:tc>
          <w:tcPr>
            <w:tcW w:w="868" w:type="dxa"/>
            <w:vAlign w:val="center"/>
          </w:tcPr>
          <w:p>
            <w:pPr>
              <w:spacing w:before="20" w:after="20"/>
              <w:jc w:val="center"/>
              <w:rPr>
                <w:b/>
                <w:noProof/>
                <w:sz w:val="20"/>
              </w:rPr>
            </w:pPr>
            <w:r>
              <w:rPr>
                <w:noProof/>
                <w:sz w:val="20"/>
              </w:rPr>
              <w:t>не е приложимо</w:t>
            </w:r>
          </w:p>
        </w:tc>
        <w:tc>
          <w:tcPr>
            <w:tcW w:w="868" w:type="dxa"/>
            <w:vAlign w:val="center"/>
          </w:tcPr>
          <w:p>
            <w:pPr>
              <w:spacing w:before="20" w:after="20"/>
              <w:jc w:val="center"/>
              <w:rPr>
                <w:b/>
                <w:noProof/>
                <w:sz w:val="20"/>
              </w:rPr>
            </w:pPr>
            <w:r>
              <w:rPr>
                <w:noProof/>
                <w:sz w:val="20"/>
              </w:rPr>
              <w:t>не е приложимо</w:t>
            </w:r>
          </w:p>
        </w:tc>
        <w:tc>
          <w:tcPr>
            <w:tcW w:w="868" w:type="dxa"/>
            <w:vAlign w:val="center"/>
          </w:tcPr>
          <w:p>
            <w:pPr>
              <w:spacing w:before="20" w:after="20"/>
              <w:jc w:val="center"/>
              <w:rPr>
                <w:b/>
                <w:noProof/>
                <w:sz w:val="20"/>
              </w:rPr>
            </w:pPr>
            <w:r>
              <w:rPr>
                <w:noProof/>
                <w:sz w:val="20"/>
              </w:rPr>
              <w:t>не е приложимо</w:t>
            </w:r>
          </w:p>
        </w:tc>
        <w:tc>
          <w:tcPr>
            <w:tcW w:w="868" w:type="dxa"/>
            <w:vAlign w:val="center"/>
          </w:tcPr>
          <w:p>
            <w:pPr>
              <w:spacing w:before="20" w:after="20"/>
              <w:jc w:val="center"/>
              <w:rPr>
                <w:b/>
                <w:noProof/>
                <w:sz w:val="20"/>
              </w:rPr>
            </w:pPr>
            <w:r>
              <w:rPr>
                <w:noProof/>
                <w:sz w:val="20"/>
              </w:rPr>
              <w:t>не е приложимо</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20"/>
              </w:rPr>
              <w:t>не е приложимо</w:t>
            </w:r>
          </w:p>
        </w:tc>
      </w:tr>
      <w:tr>
        <w:tc>
          <w:tcPr>
            <w:tcW w:w="3960" w:type="dxa"/>
            <w:vAlign w:val="center"/>
          </w:tcPr>
          <w:p>
            <w:pPr>
              <w:jc w:val="center"/>
              <w:rPr>
                <w:b/>
                <w:noProof/>
              </w:rPr>
            </w:pPr>
            <w:r>
              <w:rPr>
                <w:b/>
                <w:noProof/>
              </w:rPr>
              <w:t xml:space="preserve">ОБЩО ГД </w:t>
            </w:r>
            <w:r>
              <w:rPr>
                <w:noProof/>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20"/>
              </w:rPr>
              <w:t>не е приложимо</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rPr>
              <w:br/>
            </w:r>
            <w:r>
              <w:rPr>
                <w:b/>
                <w:noProof/>
              </w:rPr>
              <w:t>по ФУНКЦИЯ 5</w:t>
            </w:r>
            <w:r>
              <w:rPr>
                <w:noProof/>
              </w:rPr>
              <w:br/>
              <w:t>от многогодишната финансова рамка</w:t>
            </w:r>
            <w:r>
              <w:rPr>
                <w:b/>
                <w:noProof/>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r>
              <w:rPr>
                <w:noProof/>
                <w:sz w:val="20"/>
              </w:rPr>
              <w:t>не е приложимо</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noProof/>
                <w:sz w:val="20"/>
              </w:rPr>
              <w:t>не е приложимо</w:t>
            </w:r>
          </w:p>
        </w:tc>
      </w:tr>
    </w:tbl>
    <w:p>
      <w:pPr>
        <w:jc w:val="right"/>
        <w:rPr>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rPr>
              <w:br/>
            </w:r>
            <w:r>
              <w:rPr>
                <w:b/>
                <w:noProof/>
                <w:sz w:val="20"/>
              </w:rPr>
              <w:t>N</w:t>
            </w:r>
            <w:r>
              <w:rPr>
                <w:rStyle w:val="FootnoteReference"/>
                <w:noProof/>
              </w:rPr>
              <w:footnoteReference w:id="14"/>
            </w:r>
          </w:p>
        </w:tc>
        <w:tc>
          <w:tcPr>
            <w:tcW w:w="868" w:type="dxa"/>
            <w:vAlign w:val="center"/>
          </w:tcPr>
          <w:p>
            <w:pPr>
              <w:jc w:val="center"/>
              <w:rPr>
                <w:noProof/>
                <w:sz w:val="20"/>
              </w:rPr>
            </w:pPr>
            <w:r>
              <w:rPr>
                <w:noProof/>
                <w:sz w:val="20"/>
              </w:rPr>
              <w:t>Година</w:t>
            </w:r>
            <w:r>
              <w:rPr>
                <w:noProof/>
              </w:rPr>
              <w:br/>
            </w:r>
            <w:r>
              <w:rPr>
                <w:b/>
                <w:noProof/>
                <w:sz w:val="20"/>
              </w:rPr>
              <w:t>N+1</w:t>
            </w:r>
          </w:p>
        </w:tc>
        <w:tc>
          <w:tcPr>
            <w:tcW w:w="868" w:type="dxa"/>
            <w:vAlign w:val="center"/>
          </w:tcPr>
          <w:p>
            <w:pPr>
              <w:jc w:val="center"/>
              <w:rPr>
                <w:noProof/>
                <w:sz w:val="20"/>
              </w:rPr>
            </w:pPr>
            <w:r>
              <w:rPr>
                <w:noProof/>
                <w:sz w:val="20"/>
              </w:rPr>
              <w:t>Година</w:t>
            </w:r>
            <w:r>
              <w:rPr>
                <w:noProof/>
              </w:rPr>
              <w:br/>
            </w:r>
            <w:r>
              <w:rPr>
                <w:b/>
                <w:noProof/>
                <w:sz w:val="20"/>
              </w:rPr>
              <w:t>N+2</w:t>
            </w:r>
          </w:p>
        </w:tc>
        <w:tc>
          <w:tcPr>
            <w:tcW w:w="868" w:type="dxa"/>
            <w:vAlign w:val="center"/>
          </w:tcPr>
          <w:p>
            <w:pPr>
              <w:jc w:val="center"/>
              <w:rPr>
                <w:noProof/>
                <w:sz w:val="20"/>
              </w:rPr>
            </w:pPr>
            <w:r>
              <w:rPr>
                <w:noProof/>
                <w:sz w:val="20"/>
              </w:rPr>
              <w:t>Година</w:t>
            </w:r>
            <w:r>
              <w:rPr>
                <w:noProof/>
              </w:rPr>
              <w:br/>
            </w:r>
            <w:r>
              <w:rPr>
                <w:b/>
                <w:noProof/>
                <w:sz w:val="20"/>
              </w:rPr>
              <w:t>N+3</w:t>
            </w:r>
          </w:p>
        </w:tc>
        <w:tc>
          <w:tcPr>
            <w:tcW w:w="2604" w:type="dxa"/>
            <w:gridSpan w:val="3"/>
            <w:vAlign w:val="center"/>
          </w:tcPr>
          <w:p>
            <w:pPr>
              <w:jc w:val="center"/>
              <w:rPr>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 xml:space="preserve">ОБЩО бюджетни кредити </w:t>
            </w:r>
            <w:r>
              <w:rPr>
                <w:noProof/>
              </w:rPr>
              <w:br/>
            </w:r>
            <w:r>
              <w:rPr>
                <w:b/>
                <w:noProof/>
              </w:rPr>
              <w:t>по ФУНКЦИИ 1—5</w:t>
            </w:r>
            <w:r>
              <w:rPr>
                <w:noProof/>
              </w:rPr>
              <w:br/>
              <w:t>от многогодишната финансова рамка</w:t>
            </w:r>
            <w:r>
              <w:rPr>
                <w:b/>
                <w:noProof/>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p>
        </w:tc>
        <w:tc>
          <w:tcPr>
            <w:tcW w:w="868" w:type="dxa"/>
            <w:vAlign w:val="center"/>
          </w:tcPr>
          <w:p>
            <w:pPr>
              <w:spacing w:before="60" w:after="60"/>
              <w:jc w:val="center"/>
              <w:rPr>
                <w:noProof/>
                <w:sz w:val="20"/>
              </w:rPr>
            </w:pPr>
          </w:p>
        </w:tc>
        <w:tc>
          <w:tcPr>
            <w:tcW w:w="868" w:type="dxa"/>
            <w:vAlign w:val="center"/>
          </w:tcPr>
          <w:p>
            <w:pPr>
              <w:spacing w:before="60" w:after="60"/>
              <w:jc w:val="center"/>
              <w:rPr>
                <w:b/>
                <w:noProof/>
                <w:sz w:val="20"/>
              </w:rPr>
            </w:pPr>
          </w:p>
        </w:tc>
        <w:tc>
          <w:tcPr>
            <w:tcW w:w="1777" w:type="dxa"/>
            <w:vAlign w:val="center"/>
          </w:tcPr>
          <w:p>
            <w:pPr>
              <w:spacing w:before="60" w:after="60"/>
              <w:jc w:val="center"/>
              <w:rPr>
                <w:b/>
                <w:noProof/>
                <w:sz w:val="20"/>
              </w:rPr>
            </w:pPr>
            <w:r>
              <w:rPr>
                <w:noProof/>
                <w:sz w:val="20"/>
              </w:rPr>
              <w:t>p.m.</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p>
        </w:tc>
        <w:tc>
          <w:tcPr>
            <w:tcW w:w="868" w:type="dxa"/>
            <w:vAlign w:val="center"/>
          </w:tcPr>
          <w:p>
            <w:pPr>
              <w:spacing w:before="60" w:after="60"/>
              <w:jc w:val="center"/>
              <w:rPr>
                <w:noProof/>
                <w:sz w:val="20"/>
              </w:rPr>
            </w:pPr>
          </w:p>
        </w:tc>
        <w:tc>
          <w:tcPr>
            <w:tcW w:w="868" w:type="dxa"/>
            <w:vAlign w:val="center"/>
          </w:tcPr>
          <w:p>
            <w:pPr>
              <w:spacing w:before="60" w:after="60"/>
              <w:jc w:val="center"/>
              <w:rPr>
                <w:b/>
                <w:noProof/>
                <w:sz w:val="20"/>
              </w:rPr>
            </w:pPr>
          </w:p>
        </w:tc>
        <w:tc>
          <w:tcPr>
            <w:tcW w:w="1777" w:type="dxa"/>
            <w:vAlign w:val="center"/>
          </w:tcPr>
          <w:p>
            <w:pPr>
              <w:spacing w:before="60" w:after="60"/>
              <w:jc w:val="center"/>
              <w:rPr>
                <w:b/>
                <w:noProof/>
                <w:sz w:val="20"/>
              </w:rPr>
            </w:pPr>
            <w:r>
              <w:rPr>
                <w:noProof/>
                <w:sz w:val="20"/>
              </w:rPr>
              <w:t>p.m.</w:t>
            </w:r>
          </w:p>
        </w:tc>
      </w:tr>
    </w:tbl>
    <w:p>
      <w:pPr>
        <w:rPr>
          <w:noProof/>
        </w:rPr>
      </w:pPr>
    </w:p>
    <w:p>
      <w:pPr>
        <w:pStyle w:val="ManualHeading3"/>
        <w:rPr>
          <w:noProof/>
          <w:szCs w:val="24"/>
        </w:rPr>
      </w:pPr>
      <w:r>
        <w:t>3.2.2.</w:t>
      </w:r>
      <w:r>
        <w:tab/>
      </w:r>
      <w:r>
        <w:rPr>
          <w:noProof/>
        </w:rPr>
        <w:t xml:space="preserve">Очакван резултат, финансиран с бюджетни кредити за оперативни разходи </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11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1217"/>
        <w:gridCol w:w="850"/>
        <w:gridCol w:w="709"/>
        <w:gridCol w:w="709"/>
        <w:gridCol w:w="708"/>
        <w:gridCol w:w="851"/>
        <w:gridCol w:w="709"/>
        <w:gridCol w:w="850"/>
        <w:gridCol w:w="851"/>
        <w:gridCol w:w="850"/>
        <w:gridCol w:w="851"/>
        <w:gridCol w:w="992"/>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1217" w:type="dxa"/>
            <w:vAlign w:val="center"/>
          </w:tcPr>
          <w:p>
            <w:pPr>
              <w:ind w:right="-29"/>
              <w:jc w:val="center"/>
              <w:rPr>
                <w:noProof/>
                <w:sz w:val="18"/>
                <w:szCs w:val="18"/>
              </w:rPr>
            </w:pPr>
          </w:p>
        </w:tc>
        <w:tc>
          <w:tcPr>
            <w:tcW w:w="850" w:type="dxa"/>
            <w:vAlign w:val="center"/>
          </w:tcPr>
          <w:p>
            <w:pPr>
              <w:ind w:right="-29"/>
              <w:jc w:val="center"/>
              <w:rPr>
                <w:noProof/>
                <w:sz w:val="18"/>
                <w:szCs w:val="18"/>
              </w:rPr>
            </w:pPr>
          </w:p>
        </w:tc>
        <w:tc>
          <w:tcPr>
            <w:tcW w:w="1418" w:type="dxa"/>
            <w:gridSpan w:val="2"/>
            <w:tcBorders>
              <w:left w:val="nil"/>
            </w:tcBorders>
            <w:vAlign w:val="center"/>
          </w:tcPr>
          <w:p>
            <w:pPr>
              <w:ind w:right="-29"/>
              <w:jc w:val="center"/>
              <w:rPr>
                <w:noProof/>
                <w:sz w:val="18"/>
                <w:szCs w:val="18"/>
              </w:rPr>
            </w:pPr>
            <w:r>
              <w:rPr>
                <w:noProof/>
                <w:sz w:val="18"/>
              </w:rPr>
              <w:t>Година</w:t>
            </w:r>
            <w:r>
              <w:rPr>
                <w:noProof/>
              </w:rPr>
              <w:br/>
            </w:r>
            <w:r>
              <w:rPr>
                <w:b/>
                <w:noProof/>
                <w:sz w:val="18"/>
              </w:rPr>
              <w:t>2020</w:t>
            </w:r>
          </w:p>
        </w:tc>
        <w:tc>
          <w:tcPr>
            <w:tcW w:w="1559" w:type="dxa"/>
            <w:gridSpan w:val="2"/>
            <w:vAlign w:val="center"/>
          </w:tcPr>
          <w:p>
            <w:pPr>
              <w:ind w:right="-29"/>
              <w:jc w:val="center"/>
              <w:rPr>
                <w:noProof/>
                <w:sz w:val="18"/>
                <w:szCs w:val="18"/>
              </w:rPr>
            </w:pPr>
            <w:r>
              <w:rPr>
                <w:noProof/>
                <w:sz w:val="18"/>
              </w:rPr>
              <w:t>Година</w:t>
            </w:r>
            <w:r>
              <w:rPr>
                <w:noProof/>
              </w:rPr>
              <w:br/>
            </w:r>
            <w:r>
              <w:rPr>
                <w:b/>
                <w:noProof/>
                <w:sz w:val="18"/>
              </w:rPr>
              <w:t>2021</w:t>
            </w:r>
          </w:p>
        </w:tc>
        <w:tc>
          <w:tcPr>
            <w:tcW w:w="1559" w:type="dxa"/>
            <w:gridSpan w:val="2"/>
            <w:vAlign w:val="center"/>
          </w:tcPr>
          <w:p>
            <w:pPr>
              <w:ind w:right="-29"/>
              <w:jc w:val="center"/>
              <w:rPr>
                <w:noProof/>
                <w:sz w:val="18"/>
                <w:szCs w:val="18"/>
              </w:rPr>
            </w:pPr>
            <w:r>
              <w:rPr>
                <w:noProof/>
                <w:sz w:val="18"/>
              </w:rPr>
              <w:t>Година</w:t>
            </w:r>
            <w:r>
              <w:rPr>
                <w:noProof/>
              </w:rPr>
              <w:br/>
            </w:r>
            <w:r>
              <w:rPr>
                <w:b/>
                <w:noProof/>
                <w:sz w:val="18"/>
              </w:rPr>
              <w:t>2022</w:t>
            </w:r>
          </w:p>
        </w:tc>
        <w:tc>
          <w:tcPr>
            <w:tcW w:w="1701" w:type="dxa"/>
            <w:gridSpan w:val="2"/>
            <w:vAlign w:val="center"/>
          </w:tcPr>
          <w:p>
            <w:pPr>
              <w:ind w:right="-29"/>
              <w:jc w:val="center"/>
              <w:rPr>
                <w:noProof/>
                <w:sz w:val="18"/>
                <w:szCs w:val="18"/>
              </w:rPr>
            </w:pPr>
            <w:r>
              <w:rPr>
                <w:noProof/>
                <w:sz w:val="18"/>
              </w:rPr>
              <w:t>Година</w:t>
            </w:r>
            <w:r>
              <w:rPr>
                <w:noProof/>
              </w:rPr>
              <w:br/>
            </w:r>
            <w:r>
              <w:rPr>
                <w:b/>
                <w:noProof/>
                <w:sz w:val="18"/>
              </w:rPr>
              <w:t>2023</w:t>
            </w:r>
          </w:p>
        </w:tc>
        <w:tc>
          <w:tcPr>
            <w:tcW w:w="1843" w:type="dxa"/>
            <w:gridSpan w:val="2"/>
            <w:tcBorders>
              <w:left w:val="nil"/>
              <w:bottom w:val="nil"/>
            </w:tcBorders>
            <w:vAlign w:val="center"/>
          </w:tcPr>
          <w:p>
            <w:pPr>
              <w:ind w:right="-29"/>
              <w:jc w:val="center"/>
              <w:rPr>
                <w:noProof/>
                <w:sz w:val="18"/>
                <w:szCs w:val="18"/>
              </w:rPr>
            </w:pPr>
            <w:r>
              <w:rPr>
                <w:b/>
                <w:noProof/>
                <w:sz w:val="18"/>
              </w:rPr>
              <w:t>ОБЩО</w:t>
            </w:r>
          </w:p>
        </w:tc>
      </w:tr>
      <w:tr>
        <w:trPr>
          <w:trHeight w:val="447"/>
          <w:jc w:val="center"/>
        </w:trPr>
        <w:tc>
          <w:tcPr>
            <w:tcW w:w="1423" w:type="dxa"/>
            <w:vMerge/>
            <w:vAlign w:val="center"/>
          </w:tcPr>
          <w:p>
            <w:pPr>
              <w:ind w:right="-29"/>
              <w:jc w:val="center"/>
              <w:rPr>
                <w:noProof/>
                <w:sz w:val="18"/>
                <w:szCs w:val="18"/>
              </w:rPr>
            </w:pPr>
          </w:p>
        </w:tc>
        <w:tc>
          <w:tcPr>
            <w:tcW w:w="10147" w:type="dxa"/>
            <w:gridSpan w:val="12"/>
          </w:tcPr>
          <w:p>
            <w:pPr>
              <w:ind w:right="-29"/>
              <w:jc w:val="center"/>
              <w:rPr>
                <w:noProof/>
                <w:sz w:val="18"/>
                <w:szCs w:val="18"/>
              </w:rPr>
            </w:pPr>
            <w:r>
              <w:rPr>
                <w:noProof/>
                <w:sz w:val="18"/>
                <w:szCs w:val="18"/>
              </w:rPr>
              <w:t>РЕЗУЛТАТИ</w:t>
            </w:r>
          </w:p>
        </w:tc>
      </w:tr>
      <w:tr>
        <w:trPr>
          <w:cantSplit/>
          <w:trHeight w:val="1134"/>
          <w:jc w:val="center"/>
        </w:trPr>
        <w:tc>
          <w:tcPr>
            <w:tcW w:w="1423" w:type="dxa"/>
            <w:vMerge/>
            <w:vAlign w:val="center"/>
          </w:tcPr>
          <w:p>
            <w:pPr>
              <w:rPr>
                <w:noProof/>
                <w:sz w:val="18"/>
                <w:szCs w:val="18"/>
              </w:rPr>
            </w:pPr>
          </w:p>
        </w:tc>
        <w:tc>
          <w:tcPr>
            <w:tcW w:w="1217" w:type="dxa"/>
            <w:vAlign w:val="center"/>
          </w:tcPr>
          <w:p>
            <w:pPr>
              <w:jc w:val="center"/>
              <w:rPr>
                <w:noProof/>
                <w:sz w:val="18"/>
                <w:szCs w:val="18"/>
              </w:rPr>
            </w:pPr>
            <w:r>
              <w:rPr>
                <w:noProof/>
                <w:sz w:val="18"/>
              </w:rPr>
              <w:t>Вид</w:t>
            </w:r>
            <w:r>
              <w:rPr>
                <w:rStyle w:val="FootnoteReference"/>
                <w:noProof/>
              </w:rPr>
              <w:footnoteReference w:id="15"/>
            </w:r>
          </w:p>
          <w:p>
            <w:pPr>
              <w:spacing w:after="0"/>
              <w:jc w:val="center"/>
              <w:rPr>
                <w:noProof/>
                <w:sz w:val="18"/>
                <w:szCs w:val="18"/>
              </w:rPr>
            </w:pPr>
          </w:p>
        </w:tc>
        <w:tc>
          <w:tcPr>
            <w:tcW w:w="850" w:type="dxa"/>
            <w:vAlign w:val="center"/>
          </w:tcPr>
          <w:p>
            <w:pPr>
              <w:jc w:val="center"/>
              <w:rPr>
                <w:noProof/>
                <w:sz w:val="18"/>
                <w:szCs w:val="18"/>
              </w:rPr>
            </w:pPr>
            <w:r>
              <w:rPr>
                <w:noProof/>
                <w:sz w:val="18"/>
              </w:rPr>
              <w:t>Средни разходи</w:t>
            </w:r>
          </w:p>
        </w:tc>
        <w:tc>
          <w:tcPr>
            <w:tcW w:w="709"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0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08"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51"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0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5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85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5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851" w:type="dxa"/>
            <w:tcBorders>
              <w:right w:val="dashSmallGap" w:sz="4" w:space="0" w:color="auto"/>
            </w:tcBorders>
            <w:shd w:val="pct10" w:color="auto" w:fill="auto"/>
            <w:vAlign w:val="center"/>
          </w:tcPr>
          <w:p>
            <w:pPr>
              <w:jc w:val="center"/>
              <w:rPr>
                <w:noProof/>
                <w:sz w:val="18"/>
                <w:szCs w:val="18"/>
              </w:rPr>
            </w:pPr>
            <w:r>
              <w:rPr>
                <w:noProof/>
                <w:sz w:val="18"/>
              </w:rPr>
              <w:t>Общо брой</w:t>
            </w:r>
          </w:p>
        </w:tc>
        <w:tc>
          <w:tcPr>
            <w:tcW w:w="992"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3490"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rPr>
              <w:footnoteReference w:id="16"/>
            </w:r>
            <w:r>
              <w:rPr>
                <w:noProof/>
                <w:sz w:val="18"/>
              </w:rPr>
              <w:t>…</w:t>
            </w:r>
          </w:p>
        </w:tc>
        <w:tc>
          <w:tcPr>
            <w:tcW w:w="8080" w:type="dxa"/>
            <w:gridSpan w:val="10"/>
            <w:tcBorders>
              <w:top w:val="nil"/>
              <w:left w:val="nil"/>
              <w:bottom w:val="nil"/>
              <w:right w:val="single" w:sz="4" w:space="0" w:color="auto"/>
            </w:tcBorders>
          </w:tcPr>
          <w:p>
            <w:pPr>
              <w:spacing w:before="60" w:after="60"/>
              <w:ind w:right="-29"/>
              <w:jc w:val="center"/>
              <w:rPr>
                <w:noProof/>
                <w:sz w:val="18"/>
                <w:szCs w:val="18"/>
              </w:rPr>
            </w:pPr>
            <w:r>
              <w:rPr>
                <w:noProof/>
                <w:sz w:val="18"/>
                <w:szCs w:val="18"/>
              </w:rPr>
              <w:t>Безопасна и надеждна експлоатация на HFR</w:t>
            </w:r>
          </w:p>
        </w:tc>
      </w:tr>
      <w:tr>
        <w:trPr>
          <w:trHeight w:hRule="exact" w:val="1224"/>
          <w:jc w:val="center"/>
        </w:trPr>
        <w:tc>
          <w:tcPr>
            <w:tcW w:w="1423" w:type="dxa"/>
          </w:tcPr>
          <w:p>
            <w:pPr>
              <w:ind w:right="-29"/>
              <w:jc w:val="center"/>
              <w:rPr>
                <w:noProof/>
                <w:sz w:val="18"/>
                <w:szCs w:val="18"/>
              </w:rPr>
            </w:pPr>
            <w:r>
              <w:rPr>
                <w:noProof/>
                <w:sz w:val="18"/>
              </w:rPr>
              <w:t>— Резултат</w:t>
            </w:r>
          </w:p>
        </w:tc>
        <w:tc>
          <w:tcPr>
            <w:tcW w:w="1217" w:type="dxa"/>
          </w:tcPr>
          <w:p>
            <w:pPr>
              <w:ind w:right="-29"/>
              <w:jc w:val="center"/>
              <w:rPr>
                <w:noProof/>
                <w:sz w:val="18"/>
                <w:szCs w:val="18"/>
              </w:rPr>
            </w:pPr>
            <w:r>
              <w:rPr>
                <w:noProof/>
                <w:sz w:val="18"/>
                <w:szCs w:val="18"/>
              </w:rPr>
              <w:t>Дни на експлоатация при пълна мощност</w:t>
            </w:r>
          </w:p>
        </w:tc>
        <w:tc>
          <w:tcPr>
            <w:tcW w:w="850" w:type="dxa"/>
          </w:tcPr>
          <w:p>
            <w:pPr>
              <w:ind w:right="-29"/>
              <w:jc w:val="center"/>
              <w:rPr>
                <w:noProof/>
                <w:sz w:val="18"/>
                <w:szCs w:val="18"/>
              </w:rPr>
            </w:pPr>
            <w:r>
              <w:rPr>
                <w:noProof/>
                <w:sz w:val="18"/>
                <w:szCs w:val="18"/>
              </w:rPr>
              <w:t>не е приложимо</w:t>
            </w:r>
          </w:p>
        </w:tc>
        <w:tc>
          <w:tcPr>
            <w:tcW w:w="709" w:type="dxa"/>
            <w:tcBorders>
              <w:right w:val="dashSmallGap" w:sz="4" w:space="0" w:color="auto"/>
            </w:tcBorders>
          </w:tcPr>
          <w:p>
            <w:pPr>
              <w:ind w:right="-29"/>
              <w:jc w:val="center"/>
              <w:rPr>
                <w:noProof/>
                <w:sz w:val="18"/>
                <w:szCs w:val="18"/>
              </w:rPr>
            </w:pPr>
            <w:r>
              <w:rPr>
                <w:noProof/>
                <w:sz w:val="18"/>
                <w:szCs w:val="18"/>
              </w:rPr>
              <w:t>250</w:t>
            </w:r>
          </w:p>
        </w:tc>
        <w:tc>
          <w:tcPr>
            <w:tcW w:w="709" w:type="dxa"/>
            <w:tcBorders>
              <w:left w:val="dashSmallGap" w:sz="4" w:space="0" w:color="auto"/>
            </w:tcBorders>
          </w:tcPr>
          <w:p>
            <w:pPr>
              <w:ind w:right="-29"/>
              <w:jc w:val="center"/>
              <w:rPr>
                <w:noProof/>
                <w:sz w:val="18"/>
                <w:szCs w:val="18"/>
              </w:rPr>
            </w:pPr>
            <w:r>
              <w:rPr>
                <w:noProof/>
                <w:sz w:val="18"/>
                <w:szCs w:val="18"/>
              </w:rPr>
              <w:t>p.m.</w:t>
            </w:r>
          </w:p>
        </w:tc>
        <w:tc>
          <w:tcPr>
            <w:tcW w:w="708" w:type="dxa"/>
            <w:tcBorders>
              <w:right w:val="dashSmallGap" w:sz="4" w:space="0" w:color="auto"/>
            </w:tcBorders>
          </w:tcPr>
          <w:p>
            <w:pPr>
              <w:ind w:right="-29"/>
              <w:jc w:val="center"/>
              <w:rPr>
                <w:noProof/>
                <w:sz w:val="18"/>
                <w:szCs w:val="18"/>
              </w:rPr>
            </w:pPr>
            <w:r>
              <w:rPr>
                <w:noProof/>
                <w:sz w:val="18"/>
                <w:szCs w:val="18"/>
              </w:rPr>
              <w:t>250</w:t>
            </w:r>
          </w:p>
        </w:tc>
        <w:tc>
          <w:tcPr>
            <w:tcW w:w="851" w:type="dxa"/>
            <w:tcBorders>
              <w:left w:val="dashSmallGap" w:sz="4" w:space="0" w:color="auto"/>
            </w:tcBorders>
          </w:tcPr>
          <w:p>
            <w:pPr>
              <w:ind w:right="-29"/>
              <w:jc w:val="center"/>
              <w:rPr>
                <w:noProof/>
                <w:sz w:val="18"/>
                <w:szCs w:val="18"/>
              </w:rPr>
            </w:pPr>
            <w:r>
              <w:rPr>
                <w:noProof/>
                <w:sz w:val="18"/>
                <w:szCs w:val="18"/>
              </w:rPr>
              <w:t>p.m.</w:t>
            </w:r>
          </w:p>
        </w:tc>
        <w:tc>
          <w:tcPr>
            <w:tcW w:w="709" w:type="dxa"/>
            <w:tcBorders>
              <w:right w:val="dashSmallGap" w:sz="4" w:space="0" w:color="auto"/>
            </w:tcBorders>
          </w:tcPr>
          <w:p>
            <w:pPr>
              <w:ind w:right="-29"/>
              <w:jc w:val="center"/>
              <w:rPr>
                <w:noProof/>
                <w:sz w:val="18"/>
                <w:szCs w:val="18"/>
              </w:rPr>
            </w:pPr>
            <w:r>
              <w:rPr>
                <w:noProof/>
                <w:sz w:val="18"/>
                <w:szCs w:val="18"/>
              </w:rPr>
              <w:t>250</w:t>
            </w:r>
          </w:p>
        </w:tc>
        <w:tc>
          <w:tcPr>
            <w:tcW w:w="850" w:type="dxa"/>
            <w:tcBorders>
              <w:left w:val="dashSmallGap" w:sz="4" w:space="0" w:color="auto"/>
            </w:tcBorders>
          </w:tcPr>
          <w:p>
            <w:pPr>
              <w:ind w:right="-29"/>
              <w:jc w:val="center"/>
              <w:rPr>
                <w:noProof/>
                <w:sz w:val="18"/>
                <w:szCs w:val="18"/>
              </w:rPr>
            </w:pPr>
            <w:r>
              <w:rPr>
                <w:noProof/>
                <w:sz w:val="18"/>
                <w:szCs w:val="18"/>
              </w:rPr>
              <w:t>p.m.</w:t>
            </w:r>
          </w:p>
        </w:tc>
        <w:tc>
          <w:tcPr>
            <w:tcW w:w="851" w:type="dxa"/>
            <w:tcBorders>
              <w:right w:val="dashSmallGap" w:sz="4" w:space="0" w:color="auto"/>
            </w:tcBorders>
          </w:tcPr>
          <w:p>
            <w:pPr>
              <w:ind w:right="-29"/>
              <w:jc w:val="center"/>
              <w:rPr>
                <w:noProof/>
                <w:sz w:val="18"/>
                <w:szCs w:val="18"/>
              </w:rPr>
            </w:pPr>
            <w:r>
              <w:rPr>
                <w:noProof/>
                <w:sz w:val="18"/>
                <w:szCs w:val="18"/>
              </w:rPr>
              <w:t>250</w:t>
            </w:r>
          </w:p>
        </w:tc>
        <w:tc>
          <w:tcPr>
            <w:tcW w:w="850" w:type="dxa"/>
            <w:tcBorders>
              <w:left w:val="dashSmallGap" w:sz="4" w:space="0" w:color="auto"/>
            </w:tcBorders>
          </w:tcPr>
          <w:p>
            <w:pPr>
              <w:ind w:right="-29"/>
              <w:jc w:val="center"/>
              <w:rPr>
                <w:noProof/>
                <w:sz w:val="18"/>
                <w:szCs w:val="18"/>
              </w:rPr>
            </w:pPr>
            <w:r>
              <w:rPr>
                <w:noProof/>
                <w:sz w:val="18"/>
                <w:szCs w:val="18"/>
              </w:rPr>
              <w:t>p.m.</w:t>
            </w:r>
          </w:p>
        </w:tc>
        <w:tc>
          <w:tcPr>
            <w:tcW w:w="851" w:type="dxa"/>
          </w:tcPr>
          <w:p>
            <w:pPr>
              <w:ind w:right="-29"/>
              <w:jc w:val="center"/>
              <w:rPr>
                <w:noProof/>
                <w:sz w:val="18"/>
                <w:szCs w:val="18"/>
              </w:rPr>
            </w:pPr>
            <w:r>
              <w:rPr>
                <w:noProof/>
                <w:sz w:val="18"/>
                <w:szCs w:val="18"/>
              </w:rPr>
              <w:t>1 000</w:t>
            </w:r>
          </w:p>
        </w:tc>
        <w:tc>
          <w:tcPr>
            <w:tcW w:w="992" w:type="dxa"/>
          </w:tcPr>
          <w:p>
            <w:pPr>
              <w:ind w:right="-29"/>
              <w:jc w:val="center"/>
              <w:rPr>
                <w:noProof/>
                <w:sz w:val="18"/>
                <w:szCs w:val="18"/>
              </w:rPr>
            </w:pPr>
            <w:r>
              <w:rPr>
                <w:noProof/>
                <w:sz w:val="18"/>
                <w:szCs w:val="18"/>
              </w:rPr>
              <w:t>p.m.</w:t>
            </w:r>
          </w:p>
        </w:tc>
      </w:tr>
      <w:tr>
        <w:trPr>
          <w:trHeight w:val="77"/>
          <w:jc w:val="center"/>
        </w:trPr>
        <w:tc>
          <w:tcPr>
            <w:tcW w:w="3490"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709" w:type="dxa"/>
            <w:tcBorders>
              <w:bottom w:val="single" w:sz="12" w:space="0" w:color="auto"/>
            </w:tcBorders>
          </w:tcPr>
          <w:p>
            <w:pPr>
              <w:ind w:right="-29"/>
              <w:jc w:val="center"/>
              <w:rPr>
                <w:noProof/>
                <w:sz w:val="18"/>
                <w:szCs w:val="18"/>
              </w:rPr>
            </w:pPr>
            <w:r>
              <w:rPr>
                <w:noProof/>
                <w:sz w:val="18"/>
                <w:szCs w:val="18"/>
              </w:rPr>
              <w:t>250</w:t>
            </w:r>
          </w:p>
        </w:tc>
        <w:tc>
          <w:tcPr>
            <w:tcW w:w="709" w:type="dxa"/>
            <w:tcBorders>
              <w:bottom w:val="single" w:sz="12" w:space="0" w:color="auto"/>
            </w:tcBorders>
          </w:tcPr>
          <w:p>
            <w:pPr>
              <w:ind w:right="-29"/>
              <w:jc w:val="center"/>
              <w:rPr>
                <w:noProof/>
                <w:sz w:val="18"/>
                <w:szCs w:val="18"/>
              </w:rPr>
            </w:pPr>
            <w:r>
              <w:rPr>
                <w:noProof/>
                <w:sz w:val="18"/>
                <w:szCs w:val="18"/>
              </w:rPr>
              <w:t>p.m.</w:t>
            </w:r>
          </w:p>
        </w:tc>
        <w:tc>
          <w:tcPr>
            <w:tcW w:w="708" w:type="dxa"/>
            <w:tcBorders>
              <w:bottom w:val="single" w:sz="12" w:space="0" w:color="auto"/>
            </w:tcBorders>
          </w:tcPr>
          <w:p>
            <w:pPr>
              <w:ind w:right="-29"/>
              <w:jc w:val="center"/>
              <w:rPr>
                <w:noProof/>
                <w:sz w:val="18"/>
                <w:szCs w:val="18"/>
              </w:rPr>
            </w:pPr>
            <w:r>
              <w:rPr>
                <w:noProof/>
                <w:sz w:val="18"/>
                <w:szCs w:val="18"/>
              </w:rPr>
              <w:t>250</w:t>
            </w:r>
          </w:p>
        </w:tc>
        <w:tc>
          <w:tcPr>
            <w:tcW w:w="851" w:type="dxa"/>
            <w:tcBorders>
              <w:bottom w:val="single" w:sz="12" w:space="0" w:color="auto"/>
            </w:tcBorders>
          </w:tcPr>
          <w:p>
            <w:pPr>
              <w:ind w:right="-29"/>
              <w:jc w:val="center"/>
              <w:rPr>
                <w:noProof/>
                <w:sz w:val="18"/>
                <w:szCs w:val="18"/>
              </w:rPr>
            </w:pPr>
            <w:r>
              <w:rPr>
                <w:noProof/>
                <w:sz w:val="18"/>
                <w:szCs w:val="18"/>
              </w:rPr>
              <w:t>p.m.</w:t>
            </w:r>
          </w:p>
        </w:tc>
        <w:tc>
          <w:tcPr>
            <w:tcW w:w="709" w:type="dxa"/>
            <w:tcBorders>
              <w:bottom w:val="single" w:sz="12" w:space="0" w:color="auto"/>
            </w:tcBorders>
          </w:tcPr>
          <w:p>
            <w:pPr>
              <w:ind w:right="-29"/>
              <w:jc w:val="center"/>
              <w:rPr>
                <w:noProof/>
                <w:sz w:val="18"/>
                <w:szCs w:val="18"/>
              </w:rPr>
            </w:pPr>
            <w:r>
              <w:rPr>
                <w:noProof/>
                <w:sz w:val="18"/>
                <w:szCs w:val="18"/>
              </w:rPr>
              <w:t>250</w:t>
            </w:r>
          </w:p>
        </w:tc>
        <w:tc>
          <w:tcPr>
            <w:tcW w:w="850" w:type="dxa"/>
            <w:tcBorders>
              <w:bottom w:val="single" w:sz="12" w:space="0" w:color="auto"/>
            </w:tcBorders>
          </w:tcPr>
          <w:p>
            <w:pPr>
              <w:ind w:right="-29"/>
              <w:jc w:val="center"/>
              <w:rPr>
                <w:noProof/>
                <w:sz w:val="18"/>
                <w:szCs w:val="18"/>
              </w:rPr>
            </w:pPr>
            <w:r>
              <w:rPr>
                <w:noProof/>
                <w:sz w:val="18"/>
                <w:szCs w:val="18"/>
              </w:rPr>
              <w:t>p.m.</w:t>
            </w:r>
          </w:p>
        </w:tc>
        <w:tc>
          <w:tcPr>
            <w:tcW w:w="851" w:type="dxa"/>
            <w:tcBorders>
              <w:bottom w:val="single" w:sz="12" w:space="0" w:color="auto"/>
            </w:tcBorders>
          </w:tcPr>
          <w:p>
            <w:pPr>
              <w:ind w:right="-29"/>
              <w:jc w:val="center"/>
              <w:rPr>
                <w:noProof/>
                <w:sz w:val="18"/>
                <w:szCs w:val="18"/>
              </w:rPr>
            </w:pPr>
            <w:r>
              <w:rPr>
                <w:noProof/>
                <w:sz w:val="18"/>
                <w:szCs w:val="18"/>
              </w:rPr>
              <w:t>250</w:t>
            </w:r>
          </w:p>
        </w:tc>
        <w:tc>
          <w:tcPr>
            <w:tcW w:w="850" w:type="dxa"/>
            <w:tcBorders>
              <w:bottom w:val="single" w:sz="12" w:space="0" w:color="auto"/>
            </w:tcBorders>
          </w:tcPr>
          <w:p>
            <w:pPr>
              <w:ind w:right="-29"/>
              <w:jc w:val="center"/>
              <w:rPr>
                <w:noProof/>
                <w:sz w:val="18"/>
                <w:szCs w:val="18"/>
              </w:rPr>
            </w:pPr>
            <w:r>
              <w:rPr>
                <w:noProof/>
                <w:sz w:val="18"/>
                <w:szCs w:val="18"/>
              </w:rPr>
              <w:t>p.m.</w:t>
            </w:r>
          </w:p>
        </w:tc>
        <w:tc>
          <w:tcPr>
            <w:tcW w:w="851" w:type="dxa"/>
            <w:tcBorders>
              <w:bottom w:val="single" w:sz="12" w:space="0" w:color="auto"/>
            </w:tcBorders>
          </w:tcPr>
          <w:p>
            <w:pPr>
              <w:ind w:right="-29"/>
              <w:jc w:val="center"/>
              <w:rPr>
                <w:noProof/>
                <w:sz w:val="18"/>
                <w:szCs w:val="18"/>
              </w:rPr>
            </w:pPr>
            <w:r>
              <w:rPr>
                <w:noProof/>
                <w:sz w:val="18"/>
                <w:szCs w:val="18"/>
              </w:rPr>
              <w:t>1 000</w:t>
            </w:r>
          </w:p>
        </w:tc>
        <w:tc>
          <w:tcPr>
            <w:tcW w:w="992" w:type="dxa"/>
            <w:tcBorders>
              <w:bottom w:val="single" w:sz="12" w:space="0" w:color="auto"/>
            </w:tcBorders>
          </w:tcPr>
          <w:p>
            <w:pPr>
              <w:ind w:right="-29"/>
              <w:jc w:val="center"/>
              <w:rPr>
                <w:noProof/>
                <w:sz w:val="18"/>
                <w:szCs w:val="18"/>
              </w:rPr>
            </w:pPr>
            <w:r>
              <w:rPr>
                <w:noProof/>
                <w:sz w:val="18"/>
                <w:szCs w:val="18"/>
              </w:rPr>
              <w:t>p.m.</w:t>
            </w:r>
          </w:p>
        </w:tc>
      </w:tr>
      <w:tr>
        <w:trPr>
          <w:jc w:val="center"/>
        </w:trPr>
        <w:tc>
          <w:tcPr>
            <w:tcW w:w="3490"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708"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85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85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1 000</w:t>
            </w:r>
          </w:p>
        </w:tc>
        <w:tc>
          <w:tcPr>
            <w:tcW w:w="992"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p.m.</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noProof/>
          <w:szCs w:val="24"/>
        </w:rPr>
      </w:pPr>
      <w:r>
        <w:t>3.2.3.</w:t>
      </w:r>
      <w:r>
        <w:tab/>
      </w:r>
      <w:r>
        <w:rPr>
          <w:noProof/>
        </w:rPr>
        <w:t xml:space="preserve">Обобщение на очакваното отражение върху бюджетните кредити за административни разходи </w:t>
      </w:r>
    </w:p>
    <w:p>
      <w:pPr>
        <w:pStyle w:val="Text1"/>
        <w:rPr>
          <w:noProof/>
        </w:rPr>
      </w:pPr>
      <w:r>
        <w:rPr>
          <w:noProof/>
        </w:rPr>
        <w:sym w:font="Wingdings" w:char="F078"/>
      </w:r>
      <w:r>
        <w:rPr>
          <w:noProof/>
        </w:rPr>
        <w:tab/>
        <w:t xml:space="preserve">Предложението/инициативата не налага използване на бюджетни кредити за административни разходи </w:t>
      </w:r>
    </w:p>
    <w:p>
      <w:pPr>
        <w:pStyle w:val="Text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 xml:space="preserve">N </w:t>
            </w:r>
            <w:r>
              <w:rPr>
                <w:rStyle w:val="FootnoteReference"/>
                <w:noProof/>
              </w:rPr>
              <w:footnoteReference w:id="17"/>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18"/>
            </w:r>
            <w:r>
              <w:rPr>
                <w:noProof/>
              </w:rPr>
              <w:br/>
            </w:r>
            <w:r>
              <w:rPr>
                <w:b/>
                <w:noProof/>
                <w:sz w:val="16"/>
              </w:rPr>
              <w:t xml:space="preserve">of the multiannual financial framework </w:t>
            </w:r>
          </w:p>
          <w:p>
            <w:pPr>
              <w:spacing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 xml:space="preserve">Други разходи </w:t>
            </w:r>
            <w:r>
              <w:rPr>
                <w:noProof/>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rPr>
              <w:br/>
            </w:r>
            <w:r>
              <w:rPr>
                <w:b/>
                <w:noProof/>
                <w:sz w:val="16"/>
              </w:rPr>
              <w:t>извън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noProof/>
          <w:szCs w:val="24"/>
        </w:rPr>
      </w:pPr>
      <w:r>
        <w:t>3.2.3.1.</w:t>
      </w:r>
      <w:r>
        <w:tab/>
      </w:r>
      <w:r>
        <w:rPr>
          <w:noProof/>
        </w:rPr>
        <w:t xml:space="preserve">Очаквани нужди от човешки ресурси </w:t>
      </w:r>
    </w:p>
    <w:p>
      <w:pPr>
        <w:pStyle w:val="Text1"/>
        <w:rPr>
          <w:noProof/>
        </w:rPr>
      </w:pPr>
      <w:r>
        <w:rPr>
          <w:noProof/>
        </w:rPr>
        <w:sym w:font="Wingdings" w:char="F078"/>
      </w:r>
      <w:r>
        <w:rPr>
          <w:noProof/>
        </w:rPr>
        <w:tab/>
        <w:t xml:space="preserve">Предложението/инициативата не налага използване на човешки ресурси </w:t>
      </w:r>
    </w:p>
    <w:p>
      <w:pPr>
        <w:pStyle w:val="Text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Година</w:t>
            </w:r>
            <w:r>
              <w:rPr>
                <w:noProof/>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Година</w:t>
            </w:r>
            <w:r>
              <w:rPr>
                <w:noProof/>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N+3</w:t>
            </w:r>
          </w:p>
        </w:tc>
        <w:tc>
          <w:tcPr>
            <w:tcW w:w="600" w:type="dxa"/>
            <w:gridSpan w:val="3"/>
            <w:shd w:val="clear" w:color="auto" w:fill="auto"/>
            <w:vAlign w:val="center"/>
          </w:tcPr>
          <w:p>
            <w:pPr>
              <w:jc w:val="center"/>
              <w:rPr>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noProof/>
              </w:rPr>
              <w:footnoteReference w:id="19"/>
            </w:r>
          </w:p>
          <w:p>
            <w:pPr>
              <w:spacing w:after="0"/>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b/>
                <w:noProof/>
                <w:sz w:val="16"/>
                <w:szCs w:val="16"/>
              </w:rPr>
            </w:pPr>
            <w:r>
              <w:rPr>
                <w:noProof/>
                <w:sz w:val="16"/>
              </w:rPr>
              <w:t>XX 01 02 01 (ДНП, КНЕ, ПНА от общия финансов пакет)</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20"/>
            </w:r>
          </w:p>
          <w:p>
            <w:pPr>
              <w:spacing w:beforeLines="20" w:before="48" w:afterLines="20" w:after="48"/>
              <w:ind w:left="136"/>
              <w:rPr>
                <w:b/>
                <w:noProof/>
                <w:sz w:val="16"/>
                <w:szCs w:val="16"/>
              </w:rPr>
            </w:pPr>
          </w:p>
        </w:tc>
        <w:tc>
          <w:tcPr>
            <w:tcW w:w="1954" w:type="dxa"/>
            <w:shd w:val="clear" w:color="auto" w:fill="auto"/>
            <w:vAlign w:val="center"/>
          </w:tcPr>
          <w:p>
            <w:pPr>
              <w:spacing w:beforeLines="20" w:before="48" w:afterLines="20" w:after="48"/>
              <w:ind w:left="136"/>
              <w:rPr>
                <w:b/>
                <w:noProof/>
                <w:sz w:val="16"/>
                <w:szCs w:val="16"/>
              </w:rPr>
            </w:pPr>
            <w:r>
              <w:rPr>
                <w:noProof/>
                <w:sz w:val="16"/>
              </w:rPr>
              <w:t>— в централата</w:t>
            </w:r>
          </w:p>
          <w:p>
            <w:pPr>
              <w:spacing w:beforeLines="20" w:before="48" w:afterLines="20" w:after="48"/>
              <w:ind w:left="136"/>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rPr>
                <w:b/>
                <w:noProof/>
                <w:sz w:val="16"/>
                <w:szCs w:val="16"/>
              </w:rPr>
            </w:pPr>
          </w:p>
        </w:tc>
        <w:tc>
          <w:tcPr>
            <w:tcW w:w="1954" w:type="dxa"/>
            <w:shd w:val="clear" w:color="auto" w:fill="auto"/>
            <w:vAlign w:val="center"/>
          </w:tcPr>
          <w:p>
            <w:pPr>
              <w:spacing w:beforeLines="20" w:before="48" w:afterLines="20" w:after="48"/>
              <w:ind w:left="136"/>
              <w:rPr>
                <w:b/>
                <w:noProof/>
                <w:sz w:val="16"/>
                <w:szCs w:val="16"/>
              </w:rPr>
            </w:pPr>
            <w:r>
              <w:rPr>
                <w:noProof/>
                <w:sz w:val="16"/>
              </w:rPr>
              <w:t xml:space="preserve">— в делегациите </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rPr>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rPr>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r>
              <w:rPr>
                <w:noProof/>
                <w:sz w:val="20"/>
              </w:rPr>
              <w:t>JRC изпълнява само една задача — управлението на допълнителната програма. Това се извършва чрез средства, които са изцяло финансирани от целеви приходи от допълнителната изследователска програма.</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Не е приложимо</w:t>
            </w: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 xml:space="preserve">Съвместимост с текущата многогодишна финансова рамка </w:t>
      </w:r>
    </w:p>
    <w:p>
      <w:pPr>
        <w:ind w:left="850"/>
        <w:rPr>
          <w:noProof/>
        </w:rPr>
      </w:pPr>
      <w:r>
        <w:rPr>
          <w:noProof/>
        </w:rPr>
        <w:t>Предложението/инициативата:</w:t>
      </w:r>
    </w:p>
    <w:p>
      <w:pPr>
        <w:pStyle w:val="Text1"/>
        <w:rPr>
          <w:noProof/>
        </w:rPr>
      </w:pPr>
      <w:r>
        <w:rPr>
          <w:noProof/>
        </w:rPr>
        <w:sym w:font="Wingdings" w:char="F0A8"/>
      </w:r>
      <w:r>
        <w:rPr>
          <w:noProof/>
        </w:rPr>
        <w:tab/>
        <w:t>може да се финансира изцяло чрез преразпределяне на средства в рамките на съответната функция от многогодишната финансова рамка (МФР).</w:t>
      </w:r>
    </w:p>
    <w:p>
      <w:pPr>
        <w:pStyle w:val="Text1"/>
        <w:rPr>
          <w:noProof/>
        </w:rPr>
      </w:pPr>
      <w:r>
        <w:rPr>
          <w:noProof/>
        </w:rPr>
        <w:sym w:font="Wingdings" w:char="F0A8"/>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Style w:val="Text1"/>
        <w:rPr>
          <w:noProof/>
        </w:rPr>
      </w:pPr>
      <w:r>
        <w:rPr>
          <w:noProof/>
        </w:rPr>
        <w:sym w:font="Wingdings" w:char="F0A8"/>
      </w:r>
      <w:r>
        <w:rPr>
          <w:noProof/>
        </w:rPr>
        <w:tab/>
        <w:t>налага преразглеждане на МФР.</w:t>
      </w:r>
    </w:p>
    <w:p>
      <w:pPr>
        <w:pStyle w:val="ManualHeading3"/>
        <w:rPr>
          <w:noProof/>
          <w:szCs w:val="24"/>
        </w:rPr>
      </w:pPr>
      <w:r>
        <w:t>3.2.5.</w:t>
      </w:r>
      <w:r>
        <w:tab/>
      </w:r>
      <w:r>
        <w:rPr>
          <w:noProof/>
        </w:rPr>
        <w:t xml:space="preserve">Финансов принос от трети страни </w:t>
      </w:r>
    </w:p>
    <w:p>
      <w:pPr>
        <w:ind w:left="850"/>
        <w:rPr>
          <w:noProof/>
        </w:rPr>
      </w:pPr>
      <w:r>
        <w:rPr>
          <w:noProof/>
        </w:rPr>
        <w:t>Предложението/инициативата:</w:t>
      </w:r>
    </w:p>
    <w:p>
      <w:pPr>
        <w:pStyle w:val="Text1"/>
        <w:rPr>
          <w:noProof/>
        </w:rPr>
      </w:pPr>
      <w:r>
        <w:rPr>
          <w:noProof/>
        </w:rPr>
        <w:sym w:font="Wingdings" w:char="F0A8"/>
      </w:r>
      <w:r>
        <w:rPr>
          <w:noProof/>
        </w:rPr>
        <w:tab/>
        <w:t>не предвижда съфинансиране от трети страни</w:t>
      </w:r>
    </w:p>
    <w:p>
      <w:pPr>
        <w:pStyle w:val="Text1"/>
        <w:rPr>
          <w:noProof/>
        </w:rPr>
      </w:pPr>
      <w:r>
        <w:rPr>
          <w:noProof/>
        </w:rPr>
        <w:sym w:font="Wingdings" w:char="F07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p>
      <w:pPr>
        <w:rPr>
          <w:noProof/>
        </w:rPr>
      </w:pPr>
      <w:r>
        <w:rPr>
          <w:noProof/>
        </w:rPr>
        <w:br/>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18"/>
              </w:rPr>
              <w:t>Година</w:t>
            </w:r>
            <w:r>
              <w:rPr>
                <w:noProof/>
              </w:rPr>
              <w:br/>
            </w:r>
            <w:r>
              <w:rPr>
                <w:b/>
                <w:noProof/>
                <w:sz w:val="18"/>
              </w:rPr>
              <w:t>2020</w:t>
            </w:r>
          </w:p>
        </w:tc>
        <w:tc>
          <w:tcPr>
            <w:tcW w:w="964" w:type="dxa"/>
            <w:vAlign w:val="center"/>
          </w:tcPr>
          <w:p>
            <w:pPr>
              <w:jc w:val="center"/>
              <w:rPr>
                <w:noProof/>
                <w:sz w:val="20"/>
              </w:rPr>
            </w:pPr>
            <w:r>
              <w:rPr>
                <w:noProof/>
                <w:sz w:val="18"/>
              </w:rPr>
              <w:t>Година</w:t>
            </w:r>
            <w:r>
              <w:rPr>
                <w:noProof/>
              </w:rPr>
              <w:br/>
            </w:r>
            <w:r>
              <w:rPr>
                <w:b/>
                <w:noProof/>
                <w:sz w:val="18"/>
              </w:rPr>
              <w:t>2021</w:t>
            </w:r>
          </w:p>
        </w:tc>
        <w:tc>
          <w:tcPr>
            <w:tcW w:w="964" w:type="dxa"/>
            <w:vAlign w:val="center"/>
          </w:tcPr>
          <w:p>
            <w:pPr>
              <w:jc w:val="center"/>
              <w:rPr>
                <w:noProof/>
                <w:sz w:val="20"/>
              </w:rPr>
            </w:pPr>
            <w:r>
              <w:rPr>
                <w:noProof/>
                <w:sz w:val="18"/>
              </w:rPr>
              <w:t>Година</w:t>
            </w:r>
            <w:r>
              <w:rPr>
                <w:noProof/>
              </w:rPr>
              <w:br/>
            </w:r>
            <w:r>
              <w:rPr>
                <w:b/>
                <w:noProof/>
                <w:sz w:val="18"/>
              </w:rPr>
              <w:t>2022</w:t>
            </w:r>
          </w:p>
        </w:tc>
        <w:tc>
          <w:tcPr>
            <w:tcW w:w="964" w:type="dxa"/>
            <w:vAlign w:val="center"/>
          </w:tcPr>
          <w:p>
            <w:pPr>
              <w:jc w:val="center"/>
              <w:rPr>
                <w:noProof/>
                <w:sz w:val="20"/>
              </w:rPr>
            </w:pPr>
            <w:r>
              <w:rPr>
                <w:noProof/>
                <w:sz w:val="18"/>
              </w:rPr>
              <w:t>Година</w:t>
            </w:r>
            <w:r>
              <w:rPr>
                <w:noProof/>
              </w:rPr>
              <w:br/>
            </w:r>
            <w:r>
              <w:rPr>
                <w:b/>
                <w:noProof/>
                <w:sz w:val="18"/>
              </w:rPr>
              <w:t>2023</w:t>
            </w:r>
          </w:p>
        </w:tc>
        <w:tc>
          <w:tcPr>
            <w:tcW w:w="2892" w:type="dxa"/>
            <w:gridSpan w:val="3"/>
            <w:vAlign w:val="center"/>
          </w:tcPr>
          <w:p>
            <w:pPr>
              <w:jc w:val="center"/>
              <w:rPr>
                <w:b/>
                <w:noProof/>
                <w:sz w:val="20"/>
              </w:rPr>
            </w:pPr>
            <w:r>
              <w:rPr>
                <w:noProof/>
                <w:sz w:val="20"/>
              </w:rPr>
              <w:t>Добавят се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Нидерландия</w:t>
            </w:r>
          </w:p>
        </w:tc>
        <w:tc>
          <w:tcPr>
            <w:tcW w:w="964" w:type="dxa"/>
            <w:vAlign w:val="center"/>
          </w:tcPr>
          <w:p>
            <w:pPr>
              <w:spacing w:before="60" w:after="60"/>
              <w:jc w:val="center"/>
              <w:rPr>
                <w:noProof/>
                <w:sz w:val="20"/>
              </w:rPr>
            </w:pPr>
            <w:r>
              <w:rPr>
                <w:noProof/>
                <w:sz w:val="20"/>
              </w:rPr>
              <w:t>7 451</w:t>
            </w:r>
          </w:p>
        </w:tc>
        <w:tc>
          <w:tcPr>
            <w:tcW w:w="964" w:type="dxa"/>
            <w:vAlign w:val="center"/>
          </w:tcPr>
          <w:p>
            <w:pPr>
              <w:spacing w:before="60" w:after="60"/>
              <w:jc w:val="center"/>
              <w:rPr>
                <w:noProof/>
                <w:sz w:val="20"/>
              </w:rPr>
            </w:pPr>
            <w:r>
              <w:rPr>
                <w:noProof/>
                <w:sz w:val="20"/>
              </w:rPr>
              <w:t>6 401</w:t>
            </w:r>
          </w:p>
        </w:tc>
        <w:tc>
          <w:tcPr>
            <w:tcW w:w="964" w:type="dxa"/>
            <w:vAlign w:val="center"/>
          </w:tcPr>
          <w:p>
            <w:pPr>
              <w:spacing w:before="60" w:after="60"/>
              <w:jc w:val="center"/>
              <w:rPr>
                <w:noProof/>
                <w:sz w:val="20"/>
              </w:rPr>
            </w:pPr>
            <w:r>
              <w:rPr>
                <w:noProof/>
                <w:sz w:val="20"/>
              </w:rPr>
              <w:t>6 401</w:t>
            </w:r>
          </w:p>
        </w:tc>
        <w:tc>
          <w:tcPr>
            <w:tcW w:w="964" w:type="dxa"/>
            <w:vAlign w:val="center"/>
          </w:tcPr>
          <w:p>
            <w:pPr>
              <w:spacing w:before="60" w:after="60"/>
              <w:jc w:val="center"/>
              <w:rPr>
                <w:noProof/>
                <w:sz w:val="20"/>
              </w:rPr>
            </w:pPr>
            <w:r>
              <w:rPr>
                <w:noProof/>
                <w:sz w:val="20"/>
              </w:rPr>
              <w:t>6 401</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26 654</w:t>
            </w:r>
          </w:p>
        </w:tc>
      </w:tr>
      <w:tr>
        <w:trPr>
          <w:cantSplit/>
        </w:trPr>
        <w:tc>
          <w:tcPr>
            <w:tcW w:w="2340" w:type="dxa"/>
          </w:tcPr>
          <w:p>
            <w:pPr>
              <w:rPr>
                <w:noProof/>
                <w:sz w:val="20"/>
              </w:rPr>
            </w:pPr>
            <w:r>
              <w:rPr>
                <w:noProof/>
                <w:sz w:val="20"/>
              </w:rPr>
              <w:t>Франция</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1 200</w:t>
            </w: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7 751</w:t>
            </w:r>
          </w:p>
        </w:tc>
        <w:tc>
          <w:tcPr>
            <w:tcW w:w="964" w:type="dxa"/>
            <w:vAlign w:val="center"/>
          </w:tcPr>
          <w:p>
            <w:pPr>
              <w:spacing w:before="60" w:after="60"/>
              <w:jc w:val="center"/>
              <w:rPr>
                <w:noProof/>
                <w:sz w:val="20"/>
              </w:rPr>
            </w:pPr>
            <w:r>
              <w:rPr>
                <w:noProof/>
                <w:sz w:val="20"/>
              </w:rPr>
              <w:t>6 701</w:t>
            </w:r>
          </w:p>
        </w:tc>
        <w:tc>
          <w:tcPr>
            <w:tcW w:w="964" w:type="dxa"/>
            <w:vAlign w:val="center"/>
          </w:tcPr>
          <w:p>
            <w:pPr>
              <w:spacing w:before="60" w:after="60"/>
              <w:jc w:val="center"/>
              <w:rPr>
                <w:noProof/>
                <w:sz w:val="20"/>
              </w:rPr>
            </w:pPr>
            <w:r>
              <w:rPr>
                <w:noProof/>
                <w:sz w:val="20"/>
              </w:rPr>
              <w:t>6 701</w:t>
            </w:r>
          </w:p>
        </w:tc>
        <w:tc>
          <w:tcPr>
            <w:tcW w:w="964" w:type="dxa"/>
            <w:vAlign w:val="center"/>
          </w:tcPr>
          <w:p>
            <w:pPr>
              <w:spacing w:before="60" w:after="60"/>
              <w:jc w:val="center"/>
              <w:rPr>
                <w:noProof/>
                <w:sz w:val="20"/>
              </w:rPr>
            </w:pPr>
            <w:r>
              <w:rPr>
                <w:noProof/>
                <w:sz w:val="20"/>
              </w:rPr>
              <w:t>6 701</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27 854</w:t>
            </w:r>
          </w:p>
        </w:tc>
      </w:tr>
    </w:tbl>
    <w:p>
      <w:pPr>
        <w:rPr>
          <w:bCs/>
          <w:noProof/>
          <w:szCs w:val="24"/>
        </w:rPr>
      </w:pPr>
      <w:r>
        <w:rPr>
          <w:noProof/>
        </w:rPr>
        <w:br w:type="page"/>
        <w:t xml:space="preserve">Очаквано отражение върху приходите </w:t>
      </w:r>
    </w:p>
    <w:p>
      <w:pPr>
        <w:tabs>
          <w:tab w:val="num" w:pos="1134"/>
        </w:tabs>
        <w:ind w:left="1134" w:hanging="283"/>
        <w:rPr>
          <w:noProof/>
        </w:rPr>
      </w:pPr>
      <w:r>
        <w:rPr>
          <w:noProof/>
        </w:rPr>
        <w:sym w:font="Wingdings" w:char="F0A8"/>
      </w:r>
      <w:r>
        <w:rPr>
          <w:noProof/>
        </w:rPr>
        <w:tab/>
        <w:t>Предложението/инициативата няма финансово отражение върху приходите.</w:t>
      </w:r>
    </w:p>
    <w:p>
      <w:pPr>
        <w:tabs>
          <w:tab w:val="num" w:pos="1134"/>
        </w:tabs>
        <w:ind w:left="1134" w:hanging="283"/>
        <w:rPr>
          <w:noProof/>
        </w:rPr>
      </w:pPr>
      <w:r>
        <w:rPr>
          <w:noProof/>
        </w:rPr>
        <w:sym w:font="Wingdings" w:char="F078"/>
      </w:r>
      <w:r>
        <w:rPr>
          <w:noProof/>
        </w:rPr>
        <w:tab/>
        <w:t>Предложението/инициативата има следното финансово отражение:</w:t>
      </w:r>
    </w:p>
    <w:p>
      <w:pPr>
        <w:numPr>
          <w:ilvl w:val="2"/>
          <w:numId w:val="0"/>
        </w:numPr>
        <w:tabs>
          <w:tab w:val="num" w:pos="1843"/>
        </w:tabs>
        <w:ind w:left="2126" w:hanging="709"/>
        <w:rPr>
          <w:noProof/>
        </w:rPr>
      </w:pPr>
      <w:r>
        <w:rPr>
          <w:noProof/>
        </w:rPr>
        <w:sym w:font="Wingdings" w:char="F0A8"/>
      </w:r>
      <w:r>
        <w:rPr>
          <w:noProof/>
        </w:rPr>
        <w:tab/>
        <w:t xml:space="preserve">върху собствените ресурси </w:t>
      </w:r>
    </w:p>
    <w:p>
      <w:pPr>
        <w:numPr>
          <w:ilvl w:val="2"/>
          <w:numId w:val="0"/>
        </w:numPr>
        <w:tabs>
          <w:tab w:val="num" w:pos="1843"/>
        </w:tabs>
        <w:ind w:left="2126" w:hanging="709"/>
        <w:rPr>
          <w:noProof/>
        </w:rPr>
      </w:pPr>
      <w:r>
        <w:rPr>
          <w:noProof/>
        </w:rPr>
        <w:sym w:font="Wingdings" w:char="F078"/>
      </w:r>
      <w:r>
        <w:rPr>
          <w:noProof/>
        </w:rPr>
        <w:tab/>
        <w:t>върху разните приходи</w:t>
      </w:r>
    </w:p>
    <w:p>
      <w:pPr>
        <w:numPr>
          <w:ilvl w:val="2"/>
          <w:numId w:val="0"/>
        </w:numPr>
        <w:tabs>
          <w:tab w:val="num" w:pos="2126"/>
        </w:tabs>
        <w:ind w:left="2126" w:hanging="709"/>
        <w:rPr>
          <w:noProof/>
        </w:rPr>
      </w:pPr>
      <w:r>
        <w:rPr>
          <w:noProof/>
        </w:rPr>
        <w:t xml:space="preserve">Моля, посочете дали приходите са записани по разходни бюджетни редове. </w:t>
      </w:r>
      <w:r>
        <w:rPr>
          <w:noProof/>
        </w:rPr>
        <w:sym w:font="Wingdings" w:char="F078"/>
      </w:r>
      <w:r>
        <w:rPr>
          <w:noProof/>
        </w:rPr>
        <w:tab/>
      </w:r>
    </w:p>
    <w:p>
      <w:pPr>
        <w:ind w:left="4320"/>
        <w:rPr>
          <w:i/>
          <w:noProof/>
          <w:sz w:val="20"/>
        </w:rPr>
      </w:pPr>
      <w:r>
        <w:rPr>
          <w:noProof/>
        </w:rPr>
        <w:t xml:space="preserve">     млн. евро (до 3-тия знак след десетичната запетая)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776"/>
        <w:gridCol w:w="1843"/>
        <w:gridCol w:w="1843"/>
        <w:gridCol w:w="1689"/>
        <w:gridCol w:w="12"/>
      </w:tblGrid>
      <w:tr>
        <w:trPr>
          <w:gridAfter w:val="1"/>
          <w:wAfter w:w="12" w:type="dxa"/>
          <w:trHeight w:val="388"/>
        </w:trPr>
        <w:tc>
          <w:tcPr>
            <w:tcW w:w="2144" w:type="dxa"/>
            <w:vMerge w:val="restart"/>
            <w:vAlign w:val="center"/>
          </w:tcPr>
          <w:p>
            <w:pPr>
              <w:spacing w:before="40" w:after="40"/>
              <w:rPr>
                <w:noProof/>
                <w:sz w:val="18"/>
              </w:rPr>
            </w:pPr>
            <w:r>
              <w:rPr>
                <w:noProof/>
                <w:sz w:val="18"/>
              </w:rPr>
              <w:t>Приходен бюджетен ред:</w:t>
            </w:r>
          </w:p>
        </w:tc>
        <w:tc>
          <w:tcPr>
            <w:tcW w:w="132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151" w:type="dxa"/>
            <w:gridSpan w:val="4"/>
            <w:vAlign w:val="center"/>
          </w:tcPr>
          <w:p>
            <w:pPr>
              <w:jc w:val="center"/>
              <w:rPr>
                <w:noProof/>
                <w:sz w:val="18"/>
              </w:rPr>
            </w:pPr>
            <w:r>
              <w:rPr>
                <w:noProof/>
                <w:sz w:val="18"/>
              </w:rPr>
              <w:t>Отражение на предложението/инициативата</w:t>
            </w:r>
            <w:r>
              <w:rPr>
                <w:rStyle w:val="FootnoteReference"/>
                <w:noProof/>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776" w:type="dxa"/>
            <w:vAlign w:val="center"/>
          </w:tcPr>
          <w:p>
            <w:pPr>
              <w:jc w:val="center"/>
              <w:rPr>
                <w:noProof/>
                <w:sz w:val="18"/>
              </w:rPr>
            </w:pPr>
            <w:r>
              <w:rPr>
                <w:noProof/>
                <w:sz w:val="18"/>
              </w:rPr>
              <w:t>Година</w:t>
            </w:r>
            <w:r>
              <w:rPr>
                <w:noProof/>
              </w:rPr>
              <w:br/>
            </w:r>
            <w:r>
              <w:rPr>
                <w:b/>
                <w:noProof/>
                <w:sz w:val="18"/>
              </w:rPr>
              <w:t>2020</w:t>
            </w:r>
          </w:p>
        </w:tc>
        <w:tc>
          <w:tcPr>
            <w:tcW w:w="1843" w:type="dxa"/>
            <w:vAlign w:val="center"/>
          </w:tcPr>
          <w:p>
            <w:pPr>
              <w:jc w:val="center"/>
              <w:rPr>
                <w:noProof/>
                <w:sz w:val="18"/>
              </w:rPr>
            </w:pPr>
            <w:r>
              <w:rPr>
                <w:noProof/>
                <w:sz w:val="18"/>
              </w:rPr>
              <w:t>Година</w:t>
            </w:r>
            <w:r>
              <w:rPr>
                <w:noProof/>
              </w:rPr>
              <w:br/>
            </w:r>
            <w:r>
              <w:rPr>
                <w:b/>
                <w:noProof/>
                <w:sz w:val="18"/>
              </w:rPr>
              <w:t>2021</w:t>
            </w:r>
          </w:p>
        </w:tc>
        <w:tc>
          <w:tcPr>
            <w:tcW w:w="1843" w:type="dxa"/>
            <w:vAlign w:val="center"/>
          </w:tcPr>
          <w:p>
            <w:pPr>
              <w:jc w:val="center"/>
              <w:rPr>
                <w:noProof/>
                <w:sz w:val="18"/>
              </w:rPr>
            </w:pPr>
            <w:r>
              <w:rPr>
                <w:noProof/>
                <w:sz w:val="18"/>
              </w:rPr>
              <w:t>Година</w:t>
            </w:r>
            <w:r>
              <w:rPr>
                <w:noProof/>
              </w:rPr>
              <w:br/>
            </w:r>
            <w:r>
              <w:rPr>
                <w:b/>
                <w:noProof/>
                <w:sz w:val="18"/>
              </w:rPr>
              <w:t>2022</w:t>
            </w:r>
          </w:p>
        </w:tc>
        <w:tc>
          <w:tcPr>
            <w:tcW w:w="1701" w:type="dxa"/>
            <w:gridSpan w:val="2"/>
            <w:vAlign w:val="center"/>
          </w:tcPr>
          <w:p>
            <w:pPr>
              <w:jc w:val="center"/>
              <w:rPr>
                <w:noProof/>
                <w:sz w:val="18"/>
              </w:rPr>
            </w:pPr>
            <w:r>
              <w:rPr>
                <w:noProof/>
                <w:sz w:val="18"/>
              </w:rPr>
              <w:t>Година</w:t>
            </w:r>
            <w:r>
              <w:rPr>
                <w:noProof/>
              </w:rPr>
              <w:br/>
            </w:r>
            <w:r>
              <w:rPr>
                <w:b/>
                <w:noProof/>
                <w:sz w:val="18"/>
              </w:rPr>
              <w:t>2023</w:t>
            </w:r>
          </w:p>
        </w:tc>
      </w:tr>
      <w:tr>
        <w:trPr>
          <w:trHeight w:val="388"/>
        </w:trPr>
        <w:tc>
          <w:tcPr>
            <w:tcW w:w="2144" w:type="dxa"/>
            <w:vAlign w:val="center"/>
          </w:tcPr>
          <w:p>
            <w:pPr>
              <w:spacing w:before="40" w:after="40"/>
              <w:rPr>
                <w:noProof/>
                <w:sz w:val="18"/>
              </w:rPr>
            </w:pPr>
            <w:r>
              <w:rPr>
                <w:noProof/>
                <w:sz w:val="18"/>
              </w:rPr>
              <w:t>Позиция 6221</w:t>
            </w:r>
          </w:p>
        </w:tc>
        <w:tc>
          <w:tcPr>
            <w:tcW w:w="1325" w:type="dxa"/>
          </w:tcPr>
          <w:p>
            <w:pPr>
              <w:spacing w:beforeLines="40" w:before="96" w:afterLines="40" w:after="96"/>
              <w:jc w:val="center"/>
              <w:rPr>
                <w:i/>
                <w:noProof/>
                <w:sz w:val="18"/>
              </w:rPr>
            </w:pPr>
          </w:p>
        </w:tc>
        <w:tc>
          <w:tcPr>
            <w:tcW w:w="1776" w:type="dxa"/>
          </w:tcPr>
          <w:p>
            <w:pPr>
              <w:spacing w:beforeLines="40" w:before="96" w:afterLines="40" w:after="96"/>
              <w:jc w:val="center"/>
              <w:rPr>
                <w:noProof/>
                <w:sz w:val="18"/>
              </w:rPr>
            </w:pPr>
            <w:r>
              <w:rPr>
                <w:noProof/>
                <w:sz w:val="18"/>
              </w:rPr>
              <w:t>p.m.</w:t>
            </w:r>
          </w:p>
        </w:tc>
        <w:tc>
          <w:tcPr>
            <w:tcW w:w="1843" w:type="dxa"/>
          </w:tcPr>
          <w:p>
            <w:pPr>
              <w:spacing w:beforeLines="40" w:before="96" w:afterLines="40" w:after="96"/>
              <w:jc w:val="center"/>
              <w:rPr>
                <w:noProof/>
                <w:sz w:val="18"/>
              </w:rPr>
            </w:pPr>
            <w:r>
              <w:rPr>
                <w:noProof/>
                <w:sz w:val="18"/>
              </w:rPr>
              <w:t>p.m.</w:t>
            </w:r>
          </w:p>
        </w:tc>
        <w:tc>
          <w:tcPr>
            <w:tcW w:w="1843" w:type="dxa"/>
          </w:tcPr>
          <w:p>
            <w:pPr>
              <w:spacing w:beforeLines="40" w:before="96" w:afterLines="40" w:after="96"/>
              <w:jc w:val="center"/>
              <w:rPr>
                <w:noProof/>
                <w:sz w:val="18"/>
              </w:rPr>
            </w:pPr>
            <w:r>
              <w:rPr>
                <w:noProof/>
                <w:sz w:val="18"/>
              </w:rPr>
              <w:t>p.m.</w:t>
            </w:r>
          </w:p>
        </w:tc>
        <w:tc>
          <w:tcPr>
            <w:tcW w:w="1701" w:type="dxa"/>
            <w:gridSpan w:val="2"/>
          </w:tcPr>
          <w:p>
            <w:pPr>
              <w:spacing w:beforeLines="40" w:before="96" w:afterLines="40" w:after="96"/>
              <w:jc w:val="center"/>
              <w:rPr>
                <w:noProof/>
                <w:sz w:val="18"/>
              </w:rPr>
            </w:pPr>
            <w:r>
              <w:rPr>
                <w:noProof/>
                <w:sz w:val="18"/>
              </w:rPr>
              <w:t>p.m.</w:t>
            </w:r>
          </w:p>
        </w:tc>
      </w:tr>
    </w:tbl>
    <w:p>
      <w:pPr>
        <w:pBdr>
          <w:top w:val="single" w:sz="4" w:space="1" w:color="auto"/>
          <w:left w:val="single" w:sz="4" w:space="4" w:color="auto"/>
          <w:bottom w:val="single" w:sz="4" w:space="1" w:color="auto"/>
          <w:right w:val="single" w:sz="4" w:space="4" w:color="auto"/>
        </w:pBdr>
        <w:ind w:left="850"/>
        <w:rPr>
          <w:noProof/>
        </w:rPr>
      </w:pPr>
      <w:r>
        <w:rPr>
          <w:noProof/>
        </w:rPr>
        <w:t>Позиция 6 2 2 1</w:t>
      </w:r>
    </w:p>
    <w:p>
      <w:pPr>
        <w:pBdr>
          <w:top w:val="single" w:sz="4" w:space="1" w:color="auto"/>
          <w:left w:val="single" w:sz="4" w:space="4" w:color="auto"/>
          <w:bottom w:val="single" w:sz="4" w:space="1" w:color="auto"/>
          <w:right w:val="single" w:sz="4" w:space="4" w:color="auto"/>
        </w:pBdr>
        <w:ind w:left="850"/>
        <w:rPr>
          <w:noProof/>
        </w:rPr>
      </w:pPr>
      <w:r>
        <w:rPr>
          <w:noProof/>
        </w:rPr>
        <w:t>Приходи от експлоатацията на реактора с висока плътност на потока (HFR) — целеви приходи</w:t>
      </w:r>
    </w:p>
    <w:p>
      <w:pPr>
        <w:ind w:left="850"/>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noProof/>
        </w:rPr>
      </w:pPr>
      <w:r>
        <w:rPr>
          <w:noProof/>
        </w:rPr>
        <w:t>Допълнителната изследователска програма се финансира с вноски от участващите държави членки, изчислени въз основа на бюджета за периода 2016—2019 г.</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Протокол от заседанието на Научния и технически комитет, проведено на 4 октомври 2019 г.</w:t>
      </w:r>
    </w:p>
  </w:footnote>
  <w:footnote w:id="2">
    <w:p>
      <w:pPr>
        <w:pStyle w:val="FootnoteText"/>
        <w:rPr>
          <w:rFonts w:eastAsia="Arial Unicode MS"/>
          <w:color w:val="0000FF"/>
        </w:rPr>
      </w:pPr>
      <w:r>
        <w:rPr>
          <w:rStyle w:val="FootnoteReference"/>
        </w:rPr>
        <w:footnoteRef/>
      </w:r>
      <w:r>
        <w:tab/>
        <w:t>Решение (Евратом) 2017/956 на Съвета от 29 май 2017 г. за приемането на допълнителната изследователска програма за Реактора с висока плътност на неутронния поток за 2016—2019 г. за изпълнение от Съвместния изследователски център за Европейската общност за атомна енергия (ОВ L 144, 7.6.2017 г., стр. 23).</w:t>
      </w:r>
    </w:p>
  </w:footnote>
  <w:footnote w:id="3">
    <w:p>
      <w:pPr>
        <w:pStyle w:val="FootnoteText"/>
      </w:pPr>
      <w:r>
        <w:rPr>
          <w:rStyle w:val="FootnoteReference"/>
        </w:rPr>
        <w:footnoteRef/>
      </w:r>
      <w:r>
        <w:tab/>
        <w:t>Становище от 18.12. 2019 г.</w:t>
      </w:r>
    </w:p>
  </w:footnote>
  <w:footnote w:id="4">
    <w:p>
      <w:pPr>
        <w:pStyle w:val="FootnoteText"/>
      </w:pPr>
      <w:r>
        <w:rPr>
          <w:rStyle w:val="FootnoteReference"/>
        </w:rPr>
        <w:footnoteRef/>
      </w:r>
      <w:r>
        <w:tab/>
        <w:t>Решение 96/282/Евратом на Комисията от 10 април 1996 г. относно реорганизацията на Съвместния изследователски център (ОВ L 107, 30.4.1996 г., стр. 12).</w:t>
      </w:r>
    </w:p>
  </w:footnote>
  <w:footnote w:id="5">
    <w:p>
      <w:pPr>
        <w:pStyle w:val="FootnoteText"/>
        <w:ind w:left="0" w:hanging="142"/>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6">
    <w:p>
      <w:pPr>
        <w:pStyle w:val="FootnoteText"/>
        <w:rPr>
          <w:szCs w:val="24"/>
        </w:rPr>
      </w:pPr>
      <w:r>
        <w:rPr>
          <w:rStyle w:val="FootnoteReference"/>
        </w:rPr>
        <w:footnoteRef/>
      </w:r>
      <w:r>
        <w:tab/>
        <w:t>Съгласно член 58, параграф 2, буква а) или б) от Финансовия регламент.</w:t>
      </w:r>
    </w:p>
  </w:footnote>
  <w:footnote w:id="7">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8">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9">
    <w:p>
      <w:pPr>
        <w:pStyle w:val="FootnoteText"/>
        <w:rPr>
          <w:szCs w:val="24"/>
        </w:rPr>
      </w:pPr>
      <w:r>
        <w:rPr>
          <w:rStyle w:val="FootnoteReference"/>
        </w:rPr>
        <w:footnoteRef/>
      </w:r>
      <w:r>
        <w:tab/>
        <w:t xml:space="preserve">ЕАСТ: Европейска асоциация за свободна търговия. </w:t>
      </w:r>
    </w:p>
  </w:footnote>
  <w:footnote w:id="10">
    <w:p>
      <w:pPr>
        <w:pStyle w:val="FootnoteText"/>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11">
    <w:p>
      <w:pPr>
        <w:pStyle w:val="FootnoteText"/>
        <w:rPr>
          <w:sz w:val="18"/>
          <w:szCs w:val="18"/>
        </w:rPr>
      </w:pPr>
      <w:r>
        <w:rPr>
          <w:rStyle w:val="FootnoteReference"/>
        </w:rPr>
        <w:footnoteRef/>
      </w:r>
      <w:r>
        <w:tab/>
      </w:r>
      <w:r>
        <w:rPr>
          <w:sz w:val="18"/>
          <w:szCs w:val="18"/>
        </w:rPr>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Същото за следващите години.</w:t>
      </w:r>
    </w:p>
  </w:footnote>
  <w:footnote w:id="12">
    <w:p>
      <w:pPr>
        <w:pStyle w:val="FootnoteText"/>
        <w:rPr>
          <w:sz w:val="18"/>
          <w:szCs w:val="18"/>
        </w:rPr>
      </w:pPr>
      <w:r>
        <w:rPr>
          <w:rStyle w:val="FootnoteReference"/>
        </w:rPr>
        <w:footnoteRef/>
      </w:r>
      <w:r>
        <w:rPr>
          <w:sz w:val="18"/>
          <w:szCs w:val="18"/>
        </w:rPr>
        <w:tab/>
        <w:t>За 2020 г. — съгласно официалната бюджетна номенклатура, за 2021—2023 г. — да се посочи съгласно номенклатурата на МФР за периода 2021—2027 г.</w:t>
      </w:r>
    </w:p>
  </w:footnote>
  <w:footnote w:id="13">
    <w:p>
      <w:pPr>
        <w:pStyle w:val="FootnoteText"/>
        <w:rPr>
          <w:szCs w:val="24"/>
        </w:rPr>
      </w:pPr>
      <w:r>
        <w:rPr>
          <w:rStyle w:val="FootnoteReference"/>
        </w:rPr>
        <w:footnoteRef/>
      </w:r>
      <w:r>
        <w:rPr>
          <w:sz w:val="18"/>
          <w:szCs w:val="18"/>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r>
      <w:r>
        <w:rPr>
          <w:sz w:val="18"/>
          <w:szCs w:val="18"/>
        </w:rPr>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Същото за следващите години.</w:t>
      </w:r>
    </w:p>
  </w:footnote>
  <w:footnote w:id="15">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6">
    <w:p>
      <w:pPr>
        <w:pStyle w:val="FootnoteText"/>
        <w:rPr>
          <w:szCs w:val="24"/>
        </w:rPr>
      </w:pPr>
      <w:r>
        <w:rPr>
          <w:rStyle w:val="FootnoteReference"/>
        </w:rPr>
        <w:footnoteRef/>
      </w:r>
      <w:r>
        <w:tab/>
        <w:t xml:space="preserve">Съгласно описанието в точка 1.4.2. „Конкретни цели...“ </w:t>
      </w:r>
    </w:p>
  </w:footnote>
  <w:footnote w:id="17">
    <w:p>
      <w:pPr>
        <w:pStyle w:val="FootnoteText"/>
        <w:rPr>
          <w:sz w:val="18"/>
          <w:szCs w:val="18"/>
        </w:rPr>
      </w:pPr>
      <w:r>
        <w:rPr>
          <w:rStyle w:val="FootnoteReference"/>
        </w:rPr>
        <w:footnoteRef/>
      </w:r>
      <w:r>
        <w:tab/>
      </w:r>
      <w:r>
        <w:rPr>
          <w:sz w:val="18"/>
          <w:szCs w:val="18"/>
        </w:rPr>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Същото за следващите години.</w:t>
      </w:r>
    </w:p>
  </w:footnote>
  <w:footnote w:id="18">
    <w:p>
      <w:pPr>
        <w:pStyle w:val="FootnoteText"/>
        <w:rPr>
          <w:szCs w:val="24"/>
        </w:rPr>
      </w:pPr>
      <w:r>
        <w:rPr>
          <w:rStyle w:val="FootnoteReference"/>
        </w:rPr>
        <w:footnoteRef/>
      </w:r>
      <w:r>
        <w:rPr>
          <w:sz w:val="18"/>
          <w:szCs w:val="18"/>
        </w:rP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9">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1">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1C6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28D5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1651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EC8E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0EA1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F2F6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920C52"/>
    <w:lvl w:ilvl="0">
      <w:start w:val="1"/>
      <w:numFmt w:val="decimal"/>
      <w:pStyle w:val="ListNumber"/>
      <w:lvlText w:val="%1."/>
      <w:lvlJc w:val="left"/>
      <w:pPr>
        <w:tabs>
          <w:tab w:val="num" w:pos="360"/>
        </w:tabs>
        <w:ind w:left="360" w:hanging="360"/>
      </w:pPr>
    </w:lvl>
  </w:abstractNum>
  <w:abstractNum w:abstractNumId="7">
    <w:nsid w:val="FFFFFF89"/>
    <w:multiLevelType w:val="singleLevel"/>
    <w:tmpl w:val="4FAE5D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19"/>
  </w:num>
  <w:num w:numId="26">
    <w:abstractNumId w:val="20"/>
  </w:num>
  <w:num w:numId="27">
    <w:abstractNumId w:val="11"/>
  </w:num>
  <w:num w:numId="28">
    <w:abstractNumId w:val="18"/>
  </w:num>
  <w:num w:numId="29">
    <w:abstractNumId w:val="25"/>
  </w:num>
  <w:num w:numId="30">
    <w:abstractNumId w:val="21"/>
  </w:num>
  <w:num w:numId="31">
    <w:abstractNumId w:val="14"/>
  </w:num>
  <w:num w:numId="32">
    <w:abstractNumId w:val="24"/>
  </w:num>
  <w:num w:numId="33">
    <w:abstractNumId w:val="12"/>
  </w:num>
  <w:num w:numId="34">
    <w:abstractNumId w:val="15"/>
  </w:num>
  <w:num w:numId="35">
    <w:abstractNumId w:val="10"/>
  </w:num>
  <w:num w:numId="36">
    <w:abstractNumId w:val="23"/>
  </w:num>
  <w:num w:numId="37">
    <w:abstractNumId w:val="9"/>
  </w:num>
  <w:num w:numId="38">
    <w:abstractNumId w:val="16"/>
  </w:num>
  <w:num w:numId="39">
    <w:abstractNumId w:val="19"/>
  </w:num>
  <w:num w:numId="40">
    <w:abstractNumId w:val="20"/>
  </w:num>
  <w:num w:numId="41">
    <w:abstractNumId w:val="11"/>
  </w:num>
  <w:num w:numId="42">
    <w:abstractNumId w:val="18"/>
  </w:num>
  <w:num w:numId="4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3:41: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D6E1044-8BB9-4564-889A-B93D799CB0CC"/>
    <w:docVar w:name="LW_COVERPAGE_TYPE" w:val="1"/>
    <w:docVar w:name="LW_CROSSREFERENCE" w:val="&lt;UNUSED&gt;"/>
    <w:docVar w:name="LW_DocType" w:val="COM"/>
    <w:docVar w:name="LW_EMISSION" w:val="24.3.2020"/>
    <w:docVar w:name="LW_EMISSION_ISODATE" w:val="2020-03-2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0"/>
    <w:docVar w:name="LW_REF.II.NEW.CP_YEAR" w:val="2020"/>
    <w:docVar w:name="LW_REF.INST.NEW" w:val="COM"/>
    <w:docVar w:name="LW_REF.INST.NEW_ADOPTED" w:val="final"/>
    <w:docVar w:name="LW_REF.INST.NEW_TEXT" w:val="(2020)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80?\u1077?\u1084?\u1072?\u1085?\u1077? \u1085?\u1072? \u1076?\u1086?\u1087?\u1098?\u1083?\u1085?\u1080?\u1090?\u1077?\u1083?\u1085?\u1072?\u1090?\u1072? \u1080?\u1079?\u1089?\u1083?\u1077?\u1076?\u1086?\u1074?\u1072?\u1090?\u1077?\u1083?\u1089?\u1082?\u1072? \u1087?\u1088?\u1086?\u1075?\u1088?\u1072?\u1084?\u1072? \u1079?\u1072? \u1088?\u1077?\u1072?\u1082?\u1090?\u1086?\u1088?\u1072? \u1089? \u1074?\u1080?\u1089?\u1086?\u1082?\u1072? \u1087?\u1083?\u1098?\u1090?\u1085?\u1086?\u1089?\u1090? \u1085?\u1072? \u1085?\u1077?\u1091?\u1090?\u1088?\u1086?\u1085?\u1085?\u1080?\u1103? \u1087?\u1086?\u1090?\u1086?\u1082? \u1074? \u1055?\u1077?\u1090?\u1077?\u1085? \u1079?\u1072? \u1087?\u1077?\u1088?\u1080?\u1086?\u1076?\u1072? 2020\u8212?2023 \u1075?\u1086?\u1076?\u1080?\u1085?\u1072?, \u1082?\u1086?\u1103?\u1090?\u1086? \u1057?\u1098?\u1074?\u1084?\u1077?\u1089?\u1090?\u1085?\u1080?\u1103?\u1090? \u1080?\u1079?\u1089?\u1083?\u1077?\u1076?\u1086?\u1074?\u1072?\u1090?\u1077?\u1083?\u1089?\u1082?\u1080? \u1094?\u1077?\u1085?\u1090?\u1098?\u1088? \u1097?\u1077? \u1080?\u1079?\u1087?\u1098?\u1083?\u1085?\u1103?\u1074?\u1072? \u1079?\u1072? \u1045?\u1074?\u1088?\u1086?\u1087?\u1077?\u1081?\u1089?\u1082?\u1072?\u1090?\u1072? \u1086?\u1073?\u1097?\u1085?\u1086?\u1089?\u1090? \u1079?\u1072? \u1072?\u1090?\u1086?\u1084?\u1085?\u1072? \u1077?\u1085?\u1077?\u1088?\u1075?\u1080?\u1103?_x000b_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customStyle="1" w:styleId="ListDash1">
    <w:name w:val="List Dash 1"/>
    <w:basedOn w:val="Normal"/>
    <w:pPr>
      <w:numPr>
        <w:numId w:val="2"/>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
    <w:name w:val="List Dash"/>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customStyle="1" w:styleId="ListDash1">
    <w:name w:val="List Dash 1"/>
    <w:basedOn w:val="Normal"/>
    <w:pPr>
      <w:numPr>
        <w:numId w:val="2"/>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
    <w:name w:val="List Dash"/>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4639">
      <w:bodyDiv w:val="1"/>
      <w:marLeft w:val="0"/>
      <w:marRight w:val="0"/>
      <w:marTop w:val="0"/>
      <w:marBottom w:val="0"/>
      <w:divBdr>
        <w:top w:val="none" w:sz="0" w:space="0" w:color="auto"/>
        <w:left w:val="none" w:sz="0" w:space="0" w:color="auto"/>
        <w:bottom w:val="none" w:sz="0" w:space="0" w:color="auto"/>
        <w:right w:val="none" w:sz="0" w:space="0" w:color="auto"/>
      </w:divBdr>
    </w:div>
    <w:div w:id="1189487591">
      <w:bodyDiv w:val="1"/>
      <w:marLeft w:val="0"/>
      <w:marRight w:val="0"/>
      <w:marTop w:val="0"/>
      <w:marBottom w:val="0"/>
      <w:divBdr>
        <w:top w:val="none" w:sz="0" w:space="0" w:color="auto"/>
        <w:left w:val="none" w:sz="0" w:space="0" w:color="auto"/>
        <w:bottom w:val="none" w:sz="0" w:space="0" w:color="auto"/>
        <w:right w:val="none" w:sz="0" w:space="0" w:color="auto"/>
      </w:divBdr>
    </w:div>
    <w:div w:id="1191458400">
      <w:bodyDiv w:val="1"/>
      <w:marLeft w:val="0"/>
      <w:marRight w:val="0"/>
      <w:marTop w:val="0"/>
      <w:marBottom w:val="0"/>
      <w:divBdr>
        <w:top w:val="none" w:sz="0" w:space="0" w:color="auto"/>
        <w:left w:val="none" w:sz="0" w:space="0" w:color="auto"/>
        <w:bottom w:val="none" w:sz="0" w:space="0" w:color="auto"/>
        <w:right w:val="none" w:sz="0" w:space="0" w:color="auto"/>
      </w:divBdr>
    </w:div>
    <w:div w:id="1395855641">
      <w:bodyDiv w:val="1"/>
      <w:marLeft w:val="0"/>
      <w:marRight w:val="0"/>
      <w:marTop w:val="0"/>
      <w:marBottom w:val="0"/>
      <w:divBdr>
        <w:top w:val="none" w:sz="0" w:space="0" w:color="auto"/>
        <w:left w:val="none" w:sz="0" w:space="0" w:color="auto"/>
        <w:bottom w:val="none" w:sz="0" w:space="0" w:color="auto"/>
        <w:right w:val="none" w:sz="0" w:space="0" w:color="auto"/>
      </w:divBdr>
    </w:div>
    <w:div w:id="20023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F8BD-A443-44BF-BE74-F1A5ACD5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26</Pages>
  <Words>5077</Words>
  <Characters>30211</Characters>
  <Application>Microsoft Office Word</Application>
  <DocSecurity>0</DocSecurity>
  <Lines>1373</Lines>
  <Paragraphs>653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19</cp:revision>
  <cp:lastPrinted>2019-11-08T10:52:00Z</cp:lastPrinted>
  <dcterms:created xsi:type="dcterms:W3CDTF">2020-03-16T11:19:00Z</dcterms:created>
  <dcterms:modified xsi:type="dcterms:W3CDTF">2020-03-17T12:41:00Z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