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F9F6589-7068-4D7C-B07E-55DC6FA23522" style="width:450.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High Flux Reactor (hereafter: HFR) is a research installation based in Petten (the Netherlands) put at the disposal of the European Atomic Energy Community (Euratom), represented by the Commission, in accordance with an agreement concluded in 1961 with the Kingdom of the Netherlands for the duration of 99 years. Under this agreement, on behalf of the Community, the Commission has committed itself to build the necessary facilities and to provide additional equipment in order to make “optimum use” of these facilities (including the HFR). Since 1967 the operation of the reactor has been entrusted by the Commission-JRC to the Dutch operator Nuclear Research and consultancy Group – NRG under a co-operation contract based on the Site agreement of 1961.</w:t>
      </w:r>
    </w:p>
    <w:p>
      <w:pPr>
        <w:pBdr>
          <w:top w:val="nil"/>
          <w:left w:val="nil"/>
          <w:bottom w:val="nil"/>
          <w:right w:val="nil"/>
          <w:between w:val="nil"/>
          <w:bar w:val="nil"/>
        </w:pBdr>
        <w:spacing w:before="0" w:after="240"/>
        <w:rPr>
          <w:noProof/>
        </w:rPr>
      </w:pPr>
      <w:r>
        <w:rPr>
          <w:noProof/>
        </w:rPr>
        <w:t>The HFR ran as a Community Programme until 1971, when it was converted into a supplementary programme based on Article 7 of the Euratom Treaty, integrating Community programmes financed from the Community budget. Since then the HFR has been running under successive Supplementary Programmes with the participation of a variable configuration of Member States.</w:t>
      </w:r>
    </w:p>
    <w:p>
      <w:pPr>
        <w:pBdr>
          <w:top w:val="nil"/>
          <w:left w:val="nil"/>
          <w:bottom w:val="nil"/>
          <w:right w:val="nil"/>
          <w:between w:val="nil"/>
          <w:bar w:val="nil"/>
        </w:pBdr>
        <w:spacing w:before="0" w:after="240"/>
        <w:rPr>
          <w:noProof/>
        </w:rPr>
      </w:pPr>
      <w:r>
        <w:rPr>
          <w:noProof/>
        </w:rPr>
        <w:t xml:space="preserve">Through the supplementary research programme financed by two or more Member States the HFR provides a steady and reliable neutron flux for experimental purposes. The investigated domains under the supplementary programmes are: nuclear materials and fuel science, with the aim to improve the safety of nuclear reactors (both fission and fusion), investigations on reactor ageing and life management, research on advanced fuel cycles and waste management. The HFR acts also as a training facility hosting doctoral and post-doctoral fellows performing their research activities through national or European programmes. </w:t>
      </w:r>
    </w:p>
    <w:p>
      <w:pPr>
        <w:pBdr>
          <w:top w:val="nil"/>
          <w:left w:val="nil"/>
          <w:bottom w:val="nil"/>
          <w:right w:val="nil"/>
          <w:between w:val="nil"/>
          <w:bar w:val="nil"/>
        </w:pBdr>
        <w:spacing w:before="0" w:after="240"/>
        <w:rPr>
          <w:noProof/>
        </w:rPr>
      </w:pPr>
      <w:r>
        <w:rPr>
          <w:noProof/>
        </w:rPr>
        <w:t xml:space="preserve">The current Supplementary Programme was adopted on 29 May 2017, covering four years (2016-2019) (Council Decision 2017/956/Euratom - OJ L144/23, 7.6.2017). The Programme is implemented by the Joint Research Centre (JRC) for the European Atomic Energy Community. The contribution for the 2016-2019 Supplementary Research Programme came from two participating Member States, The Netherlands and France, with a total budget of EUR 30.2 million. This amount includes the provisions for the annual contributions to the decommissioning fund of the reactor. The current supplementary research programme will expire on the 31 December 2019. </w:t>
      </w:r>
    </w:p>
    <w:p>
      <w:pPr>
        <w:pBdr>
          <w:top w:val="nil"/>
          <w:left w:val="nil"/>
          <w:bottom w:val="nil"/>
          <w:right w:val="nil"/>
          <w:between w:val="nil"/>
          <w:bar w:val="nil"/>
        </w:pBdr>
        <w:spacing w:before="0" w:after="240"/>
        <w:rPr>
          <w:noProof/>
        </w:rPr>
      </w:pPr>
      <w:r>
        <w:rPr>
          <w:noProof/>
        </w:rPr>
        <w:t>The reactor is also used for the commercial production of radio-isotopes (under the responsibility of the operator), covering more than 60% of all the 10 million medical diagnoses performed each year in Europe. It is an indispensable source of supply for European radiopharmaceutical companies in this field. Moreover, thanks to its location, the production of the reactor is rapidly re-directed to the European medical centres. This is essential for the most currently used short-life isotopes.</w:t>
      </w:r>
    </w:p>
    <w:p>
      <w:pPr>
        <w:pBdr>
          <w:top w:val="nil"/>
          <w:left w:val="nil"/>
          <w:bottom w:val="nil"/>
          <w:right w:val="nil"/>
          <w:between w:val="nil"/>
          <w:bar w:val="nil"/>
        </w:pBdr>
        <w:spacing w:before="0" w:after="240"/>
        <w:rPr>
          <w:rFonts w:eastAsia="Arial Unicode MS"/>
          <w:noProof/>
        </w:rPr>
      </w:pPr>
      <w:r>
        <w:rPr>
          <w:noProof/>
        </w:rPr>
        <w:t xml:space="preserve">This proposal for a Council Decision concerns a new four-year programme for the HFR operation (2020-2023) based on research activities of the Nuclear Research and consultancy Group – NRG (on behalf of The Netherlands) and the Commissariat à l'énergie atomique et aux énergies alternatives - CEA (on behalf of France). The contribution for the 2020-2023 supplementary research programme will be EUR 27.854 million in the four-year period, provided that the HFR will continue to be in regular operation and maintenance. This amount </w:t>
      </w:r>
      <w:r>
        <w:rPr>
          <w:noProof/>
        </w:rPr>
        <w:lastRenderedPageBreak/>
        <w:t>will include the provisions for the annual contributions to the decommissioning fund of the reactor. If during the period 2020-2023, an official notification of definitive shutdown is issued by the operator NRG to the national safety authorities prior to the declaration of safe conservation state, the payments that remain to be effected as well as the calls for funds by the Commission will be suspended.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Times New Roman"/>
          <w:noProof/>
          <w:szCs w:val="24"/>
        </w:rPr>
        <w:t>In its meeting of 27 June 1996, the Council stated that the HFR can contribute, on the basis of adequate financing, to the execution of Community programmes, whether or not in the context of the Research Framework Programmes.</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Times New Roman"/>
          <w:noProof/>
          <w:szCs w:val="24"/>
        </w:rPr>
        <w:t>The proposal is based on Article 7 of the Euratom Treaty.</w:t>
      </w:r>
      <w:r>
        <w:rPr>
          <w:rStyle w:val="FootnoteReference"/>
          <w:rFonts w:eastAsia="Arial Unicode MS"/>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Times New Roman"/>
          <w:noProof/>
          <w:szCs w:val="24"/>
        </w:rPr>
      </w:pPr>
      <w:r>
        <w:rPr>
          <w:rFonts w:eastAsia="Times New Roman"/>
          <w:noProof/>
          <w:szCs w:val="24"/>
        </w:rPr>
        <w:t>Among the Member States consulted in view of their research activities in the nuclear field, two Member States (The Netherlands and France) agreed to contribute to the financing of the HFR.</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N.A.</w:t>
      </w:r>
    </w:p>
    <w:p>
      <w:pPr>
        <w:pStyle w:val="ManualHeading1"/>
        <w:rPr>
          <w:noProof/>
        </w:rPr>
      </w:pPr>
      <w:r>
        <w:rPr>
          <w:noProof/>
        </w:rPr>
        <w:t>4.</w:t>
      </w:r>
      <w:r>
        <w:rPr>
          <w:noProof/>
        </w:rPr>
        <w:tab/>
        <w:t>BUDGETARY IMPLICATIONS</w:t>
      </w:r>
    </w:p>
    <w:p>
      <w:pPr>
        <w:rPr>
          <w:rFonts w:eastAsia="Times New Roman"/>
          <w:noProof/>
          <w:szCs w:val="24"/>
        </w:rPr>
      </w:pPr>
      <w:r>
        <w:rPr>
          <w:rFonts w:eastAsia="Times New Roman"/>
          <w:noProof/>
          <w:szCs w:val="24"/>
        </w:rPr>
        <w:t>In its financial statement, this new supplementary programme shows the contribution to come from two participating Member States, namely The Netherlands and France. The contributions from these two Member States amount to EUR 27.854 million for the period 2020-2023. These amounts plus the expected level of commercial income ensure a sufficient operational budget in order to balance the forecasted costs of the reactor on the period 2020-2023. It should be noted that the budget includes provisions for the decommissioning of the reactor, as well as costs linked to general support HFR, utilities, insurances and spent fuel management.</w:t>
      </w:r>
    </w:p>
    <w:p>
      <w:pPr>
        <w:rPr>
          <w:rFonts w:eastAsia="Times New Roman"/>
          <w:noProof/>
          <w:szCs w:val="24"/>
        </w:rPr>
      </w:pPr>
      <w:r>
        <w:rPr>
          <w:rFonts w:eastAsia="Times New Roman"/>
          <w:noProof/>
          <w:szCs w:val="24"/>
        </w:rPr>
        <w:t>The Commission confirms the declaration recorded in the minutes of the Council meeting of 27 June 1996, by which it stated that "the HFR can contribute, on the basis of adequate financing, to the execution of Community programmes, whether or not in the context of the Framework Programmes. This participation will take place either on a competitive basis or by means of irradiation services to JRC Institutes during the implementation of their respective activities". This means that the Commission will not contribute to the operational cost of the HFR with funds from its institutional budget, including any cost for maintenance or repair of the reactor.</w:t>
      </w:r>
    </w:p>
    <w:p>
      <w:pPr>
        <w:pBdr>
          <w:top w:val="nil"/>
          <w:left w:val="nil"/>
          <w:bottom w:val="nil"/>
          <w:right w:val="nil"/>
          <w:between w:val="nil"/>
          <w:bar w:val="nil"/>
        </w:pBdr>
        <w:spacing w:before="0" w:after="240"/>
        <w:rPr>
          <w:rFonts w:eastAsia="Arial Unicode MS"/>
          <w:noProof/>
        </w:rPr>
      </w:pPr>
      <w:r>
        <w:rPr>
          <w:rStyle w:val="FootnoteReference"/>
          <w:rFonts w:eastAsia="Arial Unicode MS"/>
          <w:noProof/>
        </w:rPr>
        <w:t xml:space="preserve"> </w:t>
      </w:r>
    </w:p>
    <w:p>
      <w:pPr>
        <w:pBdr>
          <w:top w:val="nil"/>
          <w:left w:val="nil"/>
          <w:bottom w:val="nil"/>
          <w:right w:val="nil"/>
          <w:between w:val="nil"/>
          <w:bar w:val="nil"/>
        </w:pBdr>
        <w:spacing w:before="0" w:after="240"/>
        <w:rPr>
          <w:b/>
          <w:noProof/>
        </w:rPr>
      </w:pPr>
      <w:r>
        <w:rPr>
          <w:b/>
          <w:noProof/>
        </w:rPr>
        <w:t>5.</w:t>
      </w:r>
      <w:r>
        <w:rPr>
          <w:b/>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The Board of Governors of the Joint Research Centre shall be kept informed of the implementation of the programme. The Commission shall submit to the European Parliament and to the Council, a final report on the implementation of this Decision.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N.A.</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adoption of the 2020-2023 high flux reactor supplementary research programme at Petten to be implemented by the Joint Research Centre for the European Atomic Energy Community</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establishing the European Atomic Energy Community, and in particular Article 7 thereof,</w:t>
      </w:r>
    </w:p>
    <w:p>
      <w:pPr>
        <w:rPr>
          <w:noProof/>
        </w:rPr>
      </w:pPr>
      <w:r>
        <w:rPr>
          <w:noProof/>
        </w:rPr>
        <w:t>Having regard to the proposal from the European Commission,</w:t>
      </w:r>
    </w:p>
    <w:p>
      <w:pPr>
        <w:rPr>
          <w:noProof/>
        </w:rPr>
      </w:pPr>
      <w:r>
        <w:rPr>
          <w:noProof/>
        </w:rPr>
        <w:t>After consulting the Scientific and Technical Committee</w:t>
      </w:r>
      <w:r>
        <w:rPr>
          <w:rStyle w:val="FootnoteReference"/>
          <w:noProof/>
        </w:rPr>
        <w:footnoteReference w:id="1"/>
      </w:r>
      <w:r>
        <w:rPr>
          <w:noProof/>
        </w:rPr>
        <w:t>,</w:t>
      </w:r>
    </w:p>
    <w:p>
      <w:pPr>
        <w:rPr>
          <w:noProof/>
        </w:rPr>
      </w:pPr>
    </w:p>
    <w:p>
      <w:pPr>
        <w:rPr>
          <w:noProof/>
        </w:rPr>
      </w:pPr>
      <w:r>
        <w:rPr>
          <w:noProof/>
        </w:rPr>
        <w:t>Whereas:</w:t>
      </w:r>
    </w:p>
    <w:p>
      <w:pPr>
        <w:pStyle w:val="ManualConsidrant"/>
        <w:rPr>
          <w:noProof/>
        </w:rPr>
      </w:pPr>
      <w:r>
        <w:t>(1)</w:t>
      </w:r>
      <w:r>
        <w:tab/>
      </w:r>
      <w:r>
        <w:rPr>
          <w:noProof/>
        </w:rPr>
        <w:t>The high flux reactor at Petten (‘HFR’) has been an important resource for the Community research on materials sciences and testing, nuclear medicine and reactor safety research in the field of nuclear energy.</w:t>
      </w:r>
    </w:p>
    <w:p>
      <w:pPr>
        <w:pStyle w:val="ManualConsidrant"/>
        <w:rPr>
          <w:noProof/>
        </w:rPr>
      </w:pPr>
      <w:r>
        <w:t>(2)</w:t>
      </w:r>
      <w:r>
        <w:tab/>
      </w:r>
      <w:r>
        <w:rPr>
          <w:noProof/>
        </w:rPr>
        <w:t>The operation of the HFR has been supported by a series of supplementary research programmes. The last supplementary research programme, established under Council Decision (Euratom) 2017/956</w:t>
      </w:r>
      <w:r>
        <w:rPr>
          <w:rStyle w:val="FootnoteReference"/>
          <w:rFonts w:eastAsia="Arial Unicode MS"/>
          <w:noProof/>
        </w:rPr>
        <w:footnoteReference w:id="2"/>
      </w:r>
      <w:r>
        <w:rPr>
          <w:noProof/>
        </w:rPr>
        <w:t xml:space="preserve"> for a four year term, will expire on 31 December 2019.</w:t>
      </w:r>
    </w:p>
    <w:p>
      <w:pPr>
        <w:pStyle w:val="ManualConsidrant"/>
        <w:rPr>
          <w:noProof/>
        </w:rPr>
      </w:pPr>
      <w:r>
        <w:t>(3)</w:t>
      </w:r>
      <w:r>
        <w:tab/>
      </w:r>
      <w:r>
        <w:rPr>
          <w:noProof/>
        </w:rPr>
        <w:t>Considering its continued importance as an irreplaceable infrastructure for Community research in the fields of improvement of nuclear reactors safety, health (including the development of medical isotopes for medical research), nuclear fusion, fundamental research, training and waste management including the possibility to study the safety behaviour of nuclear fuels for reactor systems of interest to Europe, the HFR should continue to be supported by a supplementary research programme until the end of 2023.</w:t>
      </w:r>
    </w:p>
    <w:p>
      <w:pPr>
        <w:pStyle w:val="ManualConsidrant"/>
        <w:rPr>
          <w:noProof/>
        </w:rPr>
      </w:pPr>
      <w:r>
        <w:t>(4)</w:t>
      </w:r>
      <w:r>
        <w:tab/>
      </w:r>
      <w:r>
        <w:rPr>
          <w:noProof/>
        </w:rPr>
        <w:t xml:space="preserve">Owing to their special interest in the irradiation capabilities of the HFR, the NRG: </w:t>
      </w:r>
      <w:r>
        <w:rPr>
          <w:i/>
          <w:noProof/>
        </w:rPr>
        <w:t>Nuclear Research and consultancy Group V.O.F</w:t>
      </w:r>
      <w:r>
        <w:rPr>
          <w:noProof/>
        </w:rPr>
        <w:t xml:space="preserve"> and the CEA </w:t>
      </w:r>
      <w:r>
        <w:rPr>
          <w:i/>
          <w:noProof/>
        </w:rPr>
        <w:t>Commissariat à l'énergie atomique et aux énergies alternatives</w:t>
      </w:r>
      <w:r>
        <w:rPr>
          <w:noProof/>
        </w:rPr>
        <w:t xml:space="preserve"> , as implementing agents for France and the Netherlands, respectively, have agreed to finance the entire 2020-2023 HFR supplementary research programme through contributions made to the general budget of the Union by way of assigned revenue. </w:t>
      </w:r>
    </w:p>
    <w:p>
      <w:pPr>
        <w:pStyle w:val="ManualConsidrant"/>
        <w:rPr>
          <w:noProof/>
        </w:rPr>
      </w:pPr>
      <w:r>
        <w:t>(5)</w:t>
      </w:r>
      <w:r>
        <w:tab/>
      </w:r>
      <w:r>
        <w:rPr>
          <w:noProof/>
        </w:rPr>
        <w:t xml:space="preserve">Those contributions should finance the operation of the HFR in order to support a research programme and the regular operation and maintenance of the HFR. </w:t>
      </w:r>
      <w:r>
        <w:rPr>
          <w:rFonts w:eastAsia="Times New Roman"/>
          <w:noProof/>
        </w:rPr>
        <w:t xml:space="preserve">An </w:t>
      </w:r>
      <w:r>
        <w:rPr>
          <w:rFonts w:eastAsia="Times New Roman"/>
          <w:noProof/>
        </w:rPr>
        <w:lastRenderedPageBreak/>
        <w:t xml:space="preserve">official notification of definitive shutdown by the operator NRG to the </w:t>
      </w:r>
      <w:r>
        <w:rPr>
          <w:noProof/>
        </w:rPr>
        <w:t>to the Dutch national regulatory authority</w:t>
      </w:r>
      <w:r>
        <w:rPr>
          <w:rFonts w:eastAsia="Times New Roman"/>
          <w:noProof/>
        </w:rPr>
        <w:t xml:space="preserve"> prior to the declaration of a safe conservation state should result in the suspension of payments that remain to be effected and any calls for funds by the Commission.</w:t>
      </w:r>
    </w:p>
    <w:p>
      <w:pPr>
        <w:pStyle w:val="ManualConsidrant"/>
        <w:rPr>
          <w:noProof/>
        </w:rPr>
      </w:pPr>
      <w:r>
        <w:t>(6)</w:t>
      </w:r>
      <w:r>
        <w:tab/>
      </w:r>
      <w:r>
        <w:rPr>
          <w:noProof/>
        </w:rPr>
        <w:t>In order to ensure continuity between the supplementary research programmes and the smooth operation of the 2020-2023 HFR supplementary research programme, this Decision should apply from 1 January 2020.</w:t>
      </w:r>
    </w:p>
    <w:p>
      <w:pPr>
        <w:pStyle w:val="ManualConsidrant"/>
        <w:rPr>
          <w:noProof/>
        </w:rPr>
      </w:pPr>
      <w:r>
        <w:t>(7)</w:t>
      </w:r>
      <w:r>
        <w:tab/>
      </w:r>
      <w:r>
        <w:rPr>
          <w:noProof/>
        </w:rPr>
        <w:t>The Board of Governors of the Joint Research Centre provided its prior opinion</w:t>
      </w:r>
      <w:r>
        <w:rPr>
          <w:rStyle w:val="FootnoteReference"/>
          <w:noProof/>
        </w:rPr>
        <w:footnoteReference w:id="3"/>
      </w:r>
      <w:r>
        <w:rPr>
          <w:noProof/>
        </w:rPr>
        <w:t xml:space="preserve"> pursuant to Article 4 of Commission Decision 96/282/Euratom</w:t>
      </w:r>
      <w:r>
        <w:rPr>
          <w:rStyle w:val="FootnoteReference"/>
          <w:noProof/>
        </w:rPr>
        <w:footnoteReference w:id="4"/>
      </w:r>
      <w:r>
        <w:rPr>
          <w:noProof/>
        </w:rPr>
        <w:t>.</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supplementary research programme on the operation of the High Flux Reactor at Petten (‘HFR’) (‘the programme’), the objectives of which are set out in Annex I, shall be adopted for a period of four years, starting on 1 January 2020.</w:t>
      </w:r>
    </w:p>
    <w:p>
      <w:pPr>
        <w:rPr>
          <w:noProof/>
        </w:rPr>
      </w:pPr>
    </w:p>
    <w:p>
      <w:pPr>
        <w:jc w:val="center"/>
        <w:rPr>
          <w:noProof/>
        </w:rPr>
      </w:pPr>
      <w:r>
        <w:rPr>
          <w:i/>
          <w:noProof/>
        </w:rPr>
        <w:t>Article 2</w:t>
      </w:r>
    </w:p>
    <w:p>
      <w:pPr>
        <w:rPr>
          <w:noProof/>
        </w:rPr>
      </w:pPr>
      <w:r>
        <w:rPr>
          <w:noProof/>
        </w:rPr>
        <w:t>The costs for the execution of the programme, estimated at EUR 27 854 000, shall be financed entirely out of contributions from France and the Netherlands, through the CEA and NRG, respectively. The breakdown of this amount is set out in Annex II. This contribution shall be considered as assigned revenue in accordance with Article 21(2) of Regulation (EU, Euratom) 2018/1046 of the European Parliament and of the Council</w:t>
      </w:r>
      <w:r>
        <w:rPr>
          <w:rStyle w:val="FootnoteReference"/>
          <w:noProof/>
        </w:rPr>
        <w:footnoteReference w:id="5"/>
      </w:r>
      <w:r>
        <w:rPr>
          <w:noProof/>
        </w:rPr>
        <w:t>.</w:t>
      </w:r>
    </w:p>
    <w:p>
      <w:pPr>
        <w:rPr>
          <w:noProof/>
        </w:rPr>
      </w:pPr>
    </w:p>
    <w:p>
      <w:pPr>
        <w:jc w:val="center"/>
        <w:rPr>
          <w:noProof/>
        </w:rPr>
      </w:pPr>
      <w:r>
        <w:rPr>
          <w:i/>
          <w:noProof/>
        </w:rPr>
        <w:t>Article 3</w:t>
      </w:r>
    </w:p>
    <w:p>
      <w:pPr>
        <w:pStyle w:val="ManualNumPar1"/>
        <w:rPr>
          <w:noProof/>
        </w:rPr>
      </w:pPr>
      <w:r>
        <w:t>1.</w:t>
      </w:r>
      <w:r>
        <w:tab/>
      </w:r>
      <w:r>
        <w:rPr>
          <w:noProof/>
        </w:rPr>
        <w:t>The Commission shall be in charge of the management of the programme. To this end, it shall call upon the services of the Joint Research Centre.</w:t>
      </w:r>
    </w:p>
    <w:p>
      <w:pPr>
        <w:pStyle w:val="ManualNumPar1"/>
        <w:rPr>
          <w:noProof/>
        </w:rPr>
      </w:pPr>
      <w:r>
        <w:t>2.</w:t>
      </w:r>
      <w:r>
        <w:tab/>
      </w:r>
      <w:r>
        <w:rPr>
          <w:noProof/>
        </w:rPr>
        <w:t>The Commission shall keep the Board of Governors of the Joint Research Centre  informed of the implementation of the programme.</w:t>
      </w:r>
    </w:p>
    <w:p>
      <w:pPr>
        <w:pStyle w:val="Titrearticle"/>
        <w:rPr>
          <w:noProof/>
        </w:rPr>
      </w:pPr>
      <w:r>
        <w:rPr>
          <w:noProof/>
        </w:rPr>
        <w:t>Article 4</w:t>
      </w:r>
    </w:p>
    <w:p>
      <w:pPr>
        <w:rPr>
          <w:noProof/>
          <w:szCs w:val="24"/>
        </w:rPr>
      </w:pPr>
      <w:r>
        <w:rPr>
          <w:noProof/>
          <w:szCs w:val="24"/>
        </w:rPr>
        <w:t>In the event that the NRG officially notifies the definitive shutdown of the HFR to the Dutch national regulatory authority (prior to the declaration of a safe conservation state), the obligations on the part of France and the Netherlands, through the CEA and NRG, respectively, to make further payments shall be suspended as shall any calls for funds by the Commission under this Decision.</w:t>
      </w:r>
    </w:p>
    <w:p>
      <w:pPr>
        <w:pStyle w:val="Titrearticle"/>
        <w:rPr>
          <w:noProof/>
        </w:rPr>
      </w:pPr>
      <w:r>
        <w:rPr>
          <w:noProof/>
        </w:rPr>
        <w:lastRenderedPageBreak/>
        <w:t>Article 5</w:t>
      </w:r>
    </w:p>
    <w:p>
      <w:pPr>
        <w:rPr>
          <w:noProof/>
          <w:sz w:val="22"/>
        </w:rPr>
      </w:pPr>
    </w:p>
    <w:p>
      <w:pPr>
        <w:rPr>
          <w:noProof/>
        </w:rPr>
      </w:pPr>
      <w:r>
        <w:rPr>
          <w:noProof/>
        </w:rPr>
        <w:t>The Commission shall submit a final report on the implementation of this Decision to the European Parliament and to the Council after the end of the 2020-2023 HFR supplementary research programme.</w:t>
      </w:r>
    </w:p>
    <w:p>
      <w:pPr>
        <w:pStyle w:val="Titrearticle"/>
        <w:keepNext w:val="0"/>
        <w:rPr>
          <w:noProof/>
        </w:rPr>
      </w:pPr>
      <w:r>
        <w:rPr>
          <w:noProof/>
        </w:rPr>
        <w:t>Article 6</w:t>
      </w:r>
    </w:p>
    <w:p>
      <w:pPr>
        <w:pStyle w:val="ListParagraph"/>
        <w:keepLines/>
        <w:ind w:left="360"/>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ListParagraph"/>
        <w:keepLines/>
        <w:ind w:left="360"/>
        <w:rPr>
          <w:noProof/>
        </w:rPr>
      </w:pPr>
    </w:p>
    <w:p>
      <w:pPr>
        <w:keepLines/>
        <w:ind w:left="360"/>
        <w:rPr>
          <w:noProof/>
        </w:rPr>
      </w:pPr>
      <w:r>
        <w:rPr>
          <w:noProof/>
        </w:rPr>
        <w:t>It shall apply from 1 January 2020.</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pStyle w:val="Fichefinanciretitre"/>
        <w:rPr>
          <w:noProof/>
          <w:lang w:eastAsia="en-GB"/>
        </w:rPr>
      </w:pPr>
      <w:r>
        <w:rPr>
          <w:noProof/>
        </w:rPr>
        <w:br w:type="page"/>
      </w:r>
      <w:r>
        <w:rPr>
          <w:noProof/>
          <w:lang w:eastAsia="en-GB"/>
        </w:rPr>
        <w:lastRenderedPageBreak/>
        <w:t>LEGISLATIVE FINANCIAL STATEMENT</w:t>
      </w:r>
    </w:p>
    <w:p>
      <w:pPr>
        <w:pStyle w:val="ManualHeading1"/>
        <w:rPr>
          <w:noProof/>
          <w:lang w:eastAsia="en-GB"/>
        </w:rPr>
      </w:pPr>
      <w:bookmarkStart w:id="1" w:name="_Toc514938007"/>
      <w:bookmarkStart w:id="2" w:name="_Toc520485025"/>
      <w:r>
        <w:t>1.</w:t>
      </w:r>
      <w:r>
        <w:tab/>
      </w:r>
      <w:r>
        <w:rPr>
          <w:noProof/>
          <w:lang w:eastAsia="en-GB"/>
        </w:rPr>
        <w:t>FRAMEWORK OF THE PROPOSAL/INITIATIVE</w:t>
      </w:r>
      <w:bookmarkEnd w:id="1"/>
      <w:bookmarkEnd w:id="2"/>
      <w:r>
        <w:rPr>
          <w:noProof/>
          <w:lang w:eastAsia="en-GB"/>
        </w:rPr>
        <w:t xml:space="preserve"> </w:t>
      </w:r>
    </w:p>
    <w:p>
      <w:pPr>
        <w:pStyle w:val="ManualHeading2"/>
        <w:rPr>
          <w:noProof/>
          <w:lang w:eastAsia="en-GB"/>
        </w:rPr>
      </w:pPr>
      <w:bookmarkStart w:id="3" w:name="_Toc514938008"/>
      <w:bookmarkStart w:id="4" w:name="_Toc520485026"/>
      <w:r>
        <w:t>1.1.</w:t>
      </w:r>
      <w:r>
        <w:tab/>
      </w:r>
      <w:r>
        <w:rPr>
          <w:noProof/>
          <w:lang w:eastAsia="en-GB"/>
        </w:rPr>
        <w:t>Title of the proposal/initiative</w:t>
      </w:r>
      <w:bookmarkEnd w:id="3"/>
      <w:bookmarkEnd w:id="4"/>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bookmarkStart w:id="5" w:name="_Toc514938011"/>
      <w:bookmarkStart w:id="6" w:name="_Toc520485027"/>
      <w:r>
        <w:rPr>
          <w:rFonts w:eastAsia="Times New Roman"/>
          <w:noProof/>
          <w:szCs w:val="24"/>
          <w:lang w:eastAsia="en-GB"/>
        </w:rPr>
        <w:t>The 2020-2023 High Flux Reactor supplementary research programme to be implemented by the Joint Research Centre for the European Atomic Energy Community</w:t>
      </w:r>
    </w:p>
    <w:p>
      <w:pPr>
        <w:pStyle w:val="ManualHeading2"/>
        <w:rPr>
          <w:i/>
          <w:noProof/>
          <w:lang w:eastAsia="en-GB"/>
        </w:rPr>
      </w:pPr>
      <w:r>
        <w:t>1.2.</w:t>
      </w:r>
      <w:r>
        <w:tab/>
      </w:r>
      <w:r>
        <w:rPr>
          <w:noProof/>
          <w:lang w:eastAsia="en-GB"/>
        </w:rPr>
        <w:t>Policy area(s) concerned</w:t>
      </w:r>
      <w:bookmarkEnd w:id="5"/>
      <w:bookmarkEnd w:id="6"/>
      <w:r>
        <w:rPr>
          <w:i/>
          <w:noProof/>
          <w:lang w:eastAsia="en-GB"/>
        </w:rPr>
        <w:t xml:space="preserve">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bookmarkStart w:id="7" w:name="_Toc514938014"/>
      <w:bookmarkStart w:id="8" w:name="_Toc520485028"/>
      <w:r>
        <w:rPr>
          <w:rFonts w:eastAsia="Times New Roman"/>
          <w:noProof/>
          <w:szCs w:val="24"/>
          <w:lang w:eastAsia="en-GB"/>
        </w:rPr>
        <w:t>Title 10:</w:t>
      </w:r>
      <w:r>
        <w:rPr>
          <w:rFonts w:eastAsia="Times New Roman"/>
          <w:noProof/>
          <w:szCs w:val="24"/>
          <w:lang w:eastAsia="en-GB"/>
        </w:rPr>
        <w:tab/>
      </w:r>
      <w:r>
        <w:rPr>
          <w:rFonts w:eastAsia="Times New Roman"/>
          <w:noProof/>
          <w:szCs w:val="24"/>
          <w:lang w:eastAsia="en-GB"/>
        </w:rPr>
        <w:tab/>
        <w:t>Direct Research Activity</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Chapter 10 04:</w:t>
      </w:r>
      <w:r>
        <w:rPr>
          <w:rFonts w:eastAsia="Times New Roman"/>
          <w:noProof/>
          <w:szCs w:val="24"/>
          <w:lang w:eastAsia="en-GB"/>
        </w:rPr>
        <w:tab/>
        <w:t>Other activities of the Joint Research Centre</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bCs/>
          <w:noProof/>
          <w:szCs w:val="24"/>
          <w:lang w:eastAsia="en-GB"/>
        </w:rPr>
        <w:t>Article 10 04 04:</w:t>
      </w:r>
      <w:r>
        <w:rPr>
          <w:rFonts w:eastAsia="Times New Roman"/>
          <w:bCs/>
          <w:noProof/>
          <w:szCs w:val="24"/>
          <w:lang w:eastAsia="en-GB"/>
        </w:rPr>
        <w:tab/>
        <w:t>Operation of the high-flux reactor (HFR)</w:t>
      </w:r>
    </w:p>
    <w:p>
      <w:pPr>
        <w:pStyle w:val="ManualHeading2"/>
        <w:rPr>
          <w:noProof/>
          <w:szCs w:val="24"/>
          <w:lang w:eastAsia="en-GB"/>
        </w:rPr>
      </w:pPr>
      <w:r>
        <w:t>1.3.</w:t>
      </w:r>
      <w:r>
        <w:tab/>
      </w:r>
      <w:r>
        <w:rPr>
          <w:noProof/>
          <w:lang w:eastAsia="en-GB"/>
        </w:rPr>
        <w:t>The proposal/initiative relates to:</w:t>
      </w:r>
      <w:bookmarkEnd w:id="7"/>
      <w:bookmarkEnd w:id="8"/>
      <w:r>
        <w:rPr>
          <w:noProof/>
          <w:lang w:eastAsia="en-GB"/>
        </w:rPr>
        <w:t xml:space="preserve"> </w:t>
      </w:r>
    </w:p>
    <w:p>
      <w:pPr>
        <w:pStyle w:val="Text1"/>
        <w:rPr>
          <w:noProof/>
          <w:lang w:eastAsia="en-GB"/>
        </w:rPr>
      </w:pPr>
      <w:r>
        <w:rPr>
          <w:noProof/>
          <w:lang w:eastAsia="en-GB"/>
        </w:rPr>
        <w:sym w:font="Wingdings" w:char="F0A8"/>
      </w:r>
      <w:r>
        <w:rPr>
          <w:i/>
          <w:noProof/>
          <w:lang w:eastAsia="en-GB"/>
        </w:rPr>
        <w:t xml:space="preserve"> </w:t>
      </w:r>
      <w:r>
        <w:rPr>
          <w:noProof/>
          <w:lang w:eastAsia="en-GB"/>
        </w:rPr>
        <w:t xml:space="preserve">a new action </w:t>
      </w:r>
    </w:p>
    <w:p>
      <w:pPr>
        <w:pStyle w:val="Text1"/>
        <w:rPr>
          <w:noProof/>
          <w:lang w:eastAsia="en-GB"/>
        </w:rPr>
      </w:pPr>
      <w:r>
        <w:rPr>
          <w:noProof/>
          <w:lang w:eastAsia="en-GB"/>
        </w:rPr>
        <w:sym w:font="Wingdings" w:char="F0A8"/>
      </w:r>
      <w:r>
        <w:rPr>
          <w:i/>
          <w:noProof/>
          <w:lang w:eastAsia="en-GB"/>
        </w:rPr>
        <w:t xml:space="preserve"> </w:t>
      </w:r>
      <w:r>
        <w:rPr>
          <w:noProof/>
          <w:lang w:eastAsia="en-GB"/>
        </w:rPr>
        <w:t>a new action following a pilot project/preparatory action</w:t>
      </w:r>
      <w:r>
        <w:rPr>
          <w:rStyle w:val="FootnoteReference"/>
          <w:noProof/>
        </w:rPr>
        <w:footnoteReference w:id="6"/>
      </w:r>
      <w:r>
        <w:rPr>
          <w:noProof/>
          <w:lang w:eastAsia="en-GB"/>
        </w:rPr>
        <w:t xml:space="preserve"> </w:t>
      </w:r>
    </w:p>
    <w:p>
      <w:pPr>
        <w:pStyle w:val="Text1"/>
        <w:rPr>
          <w:noProof/>
          <w:lang w:eastAsia="en-GB"/>
        </w:rPr>
      </w:pPr>
      <w:r>
        <w:rPr>
          <w:noProof/>
          <w:lang w:eastAsia="en-GB"/>
        </w:rPr>
        <w:sym w:font="Wingdings" w:char="F078"/>
      </w:r>
      <w:r>
        <w:rPr>
          <w:i/>
          <w:noProof/>
          <w:lang w:eastAsia="en-GB"/>
        </w:rPr>
        <w:t xml:space="preserve"> </w:t>
      </w:r>
      <w:r>
        <w:rPr>
          <w:noProof/>
          <w:lang w:eastAsia="en-GB"/>
        </w:rPr>
        <w:t xml:space="preserve">the extension of an existing action </w:t>
      </w:r>
    </w:p>
    <w:p>
      <w:pPr>
        <w:pStyle w:val="Text1"/>
        <w:rPr>
          <w:noProof/>
          <w:lang w:eastAsia="en-GB"/>
        </w:rPr>
      </w:pPr>
      <w:r>
        <w:rPr>
          <w:noProof/>
          <w:lang w:eastAsia="en-GB"/>
        </w:rPr>
        <w:sym w:font="Wingdings" w:char="F0A8"/>
      </w:r>
      <w:r>
        <w:rPr>
          <w:i/>
          <w:noProof/>
          <w:lang w:eastAsia="en-GB"/>
        </w:rPr>
        <w:t xml:space="preserve"> </w:t>
      </w:r>
      <w:r>
        <w:rPr>
          <w:noProof/>
          <w:lang w:eastAsia="en-GB"/>
        </w:rPr>
        <w:t xml:space="preserve">a merger or redirection of one or more actions towards another/a new action </w:t>
      </w:r>
    </w:p>
    <w:p>
      <w:pPr>
        <w:pStyle w:val="ManualHeading2"/>
        <w:rPr>
          <w:noProof/>
          <w:szCs w:val="24"/>
          <w:lang w:eastAsia="en-GB"/>
        </w:rPr>
      </w:pPr>
      <w:bookmarkStart w:id="9" w:name="_Toc514938015"/>
      <w:bookmarkStart w:id="10" w:name="_Toc520485029"/>
      <w:r>
        <w:t>1.4.</w:t>
      </w:r>
      <w:r>
        <w:tab/>
      </w:r>
      <w:r>
        <w:rPr>
          <w:noProof/>
          <w:lang w:eastAsia="en-GB"/>
        </w:rPr>
        <w:t>Objective(s)</w:t>
      </w:r>
      <w:bookmarkEnd w:id="9"/>
      <w:bookmarkEnd w:id="10"/>
    </w:p>
    <w:p>
      <w:pPr>
        <w:pStyle w:val="ManualHeading3"/>
        <w:rPr>
          <w:noProof/>
          <w:lang w:eastAsia="en-GB"/>
        </w:rPr>
      </w:pPr>
      <w:bookmarkStart w:id="11" w:name="_Toc514938016"/>
      <w:bookmarkStart w:id="12" w:name="_Toc520485030"/>
      <w:r>
        <w:t>1.4.1.</w:t>
      </w:r>
      <w:r>
        <w:tab/>
      </w:r>
      <w:r>
        <w:rPr>
          <w:noProof/>
          <w:lang w:eastAsia="en-GB"/>
        </w:rPr>
        <w:t>General objective(s)</w:t>
      </w:r>
      <w:bookmarkEnd w:id="11"/>
      <w:bookmarkEnd w:id="12"/>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The High-Flux-Reactor (HFR) plays an important role in the European Union in support to medical radioisotope production, in the research fields related to the safety of nuclear plants ageing and life extension, improvement of the fuel safety, safe nuclear waste management as well as training.</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Moreover, fundamental research makes use of neutron beams for the study of the structure of materials. This activity is under permanent development and contributes to the understanding of degradation mechanisms and their mitigation relevant to the safety of existing plants. In the framework of thermonuclear fusion, several projects are implemented to test structural and breeding materials for future fusion reactors.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p>
    <w:p>
      <w:pPr>
        <w:pStyle w:val="ManualHeading3"/>
        <w:rPr>
          <w:noProof/>
          <w:szCs w:val="24"/>
          <w:lang w:eastAsia="en-GB"/>
        </w:rPr>
      </w:pPr>
      <w:bookmarkStart w:id="13" w:name="_Toc514938018"/>
      <w:bookmarkStart w:id="14" w:name="_Toc520485031"/>
      <w:r>
        <w:t>1.4.2.</w:t>
      </w:r>
      <w:r>
        <w:tab/>
      </w:r>
      <w:r>
        <w:rPr>
          <w:noProof/>
          <w:lang w:eastAsia="en-GB"/>
        </w:rPr>
        <w:t>Specific objective(s)</w:t>
      </w:r>
      <w:bookmarkEnd w:id="13"/>
      <w:bookmarkEnd w:id="14"/>
    </w:p>
    <w:p>
      <w:pPr>
        <w:pBdr>
          <w:top w:val="single" w:sz="4" w:space="1" w:color="auto"/>
          <w:left w:val="single" w:sz="4" w:space="4" w:color="auto"/>
          <w:bottom w:val="single" w:sz="4" w:space="1" w:color="auto"/>
          <w:right w:val="single" w:sz="4" w:space="4" w:color="auto"/>
        </w:pBdr>
        <w:ind w:left="850"/>
        <w:rPr>
          <w:noProof/>
          <w:u w:val="single"/>
          <w:lang w:eastAsia="en-GB"/>
        </w:rPr>
      </w:pPr>
      <w:r>
        <w:rPr>
          <w:noProof/>
          <w:u w:val="single"/>
          <w:lang w:eastAsia="en-GB"/>
        </w:rPr>
        <w:t>Specific objective No</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The main objective of the HFR Supplementary Programme is the safe and reliable operation of the HFR. This activity involves the normal use of the installation for a maximum operational period, and the delivery of a neutron flux for experiments and medical isotope production.</w:t>
      </w:r>
    </w:p>
    <w:p>
      <w:pPr>
        <w:rPr>
          <w:rFonts w:eastAsiaTheme="majorEastAsia"/>
          <w:bCs/>
          <w:i/>
          <w:noProof/>
          <w:lang w:eastAsia="en-GB"/>
        </w:rPr>
      </w:pPr>
      <w:bookmarkStart w:id="15" w:name="_Toc514938019"/>
      <w:bookmarkStart w:id="16" w:name="_Toc520485032"/>
      <w:r>
        <w:rPr>
          <w:noProof/>
          <w:lang w:eastAsia="en-GB"/>
        </w:rPr>
        <w:br w:type="page"/>
      </w:r>
    </w:p>
    <w:p>
      <w:pPr>
        <w:pStyle w:val="ManualHeading3"/>
        <w:rPr>
          <w:noProof/>
          <w:lang w:eastAsia="en-GB"/>
        </w:rPr>
      </w:pPr>
      <w:r>
        <w:t>1.4.3.</w:t>
      </w:r>
      <w:r>
        <w:tab/>
      </w:r>
      <w:r>
        <w:rPr>
          <w:noProof/>
          <w:lang w:eastAsia="en-GB"/>
        </w:rPr>
        <w:t>Expected result(s) and impact</w:t>
      </w:r>
      <w:bookmarkEnd w:id="15"/>
      <w:bookmarkEnd w:id="16"/>
    </w:p>
    <w:p>
      <w:pPr>
        <w:ind w:left="850"/>
        <w:rPr>
          <w:i/>
          <w:noProof/>
          <w:sz w:val="20"/>
          <w:lang w:eastAsia="en-GB"/>
        </w:rPr>
      </w:pPr>
      <w:r>
        <w:rPr>
          <w:i/>
          <w:noProof/>
          <w:sz w:val="20"/>
          <w:lang w:eastAsia="en-GB"/>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bookmarkStart w:id="17" w:name="_Toc514938023"/>
      <w:bookmarkStart w:id="18" w:name="_Toc520485033"/>
      <w:r>
        <w:rPr>
          <w:rFonts w:eastAsia="Times New Roman"/>
          <w:noProof/>
          <w:szCs w:val="24"/>
          <w:lang w:eastAsia="en-GB"/>
        </w:rPr>
        <w:t>Irradiation data and experimental results in a broad range of disciplines such as: safety of nuclear reactors, the development and production of radio-isotopes for medical use and research, research on fusion reactor materials, fundamental nuclear research and training, waste management issues and nuclear fuels for new safer generation of reactor systems.</w:t>
      </w:r>
    </w:p>
    <w:p>
      <w:pPr>
        <w:pStyle w:val="ManualHeading3"/>
        <w:rPr>
          <w:noProof/>
          <w:szCs w:val="24"/>
          <w:lang w:eastAsia="en-GB"/>
        </w:rPr>
      </w:pPr>
      <w:r>
        <w:t>1.4.4.</w:t>
      </w:r>
      <w:r>
        <w:tab/>
      </w:r>
      <w:r>
        <w:rPr>
          <w:noProof/>
          <w:lang w:eastAsia="en-GB"/>
        </w:rPr>
        <w:t>Indicators of performance</w:t>
      </w:r>
      <w:bookmarkEnd w:id="17"/>
      <w:bookmarkEnd w:id="18"/>
    </w:p>
    <w:p>
      <w:pPr>
        <w:ind w:left="850"/>
        <w:rPr>
          <w:i/>
          <w:noProof/>
          <w:sz w:val="20"/>
          <w:lang w:eastAsia="en-GB"/>
        </w:rPr>
      </w:pPr>
      <w:r>
        <w:rPr>
          <w:i/>
          <w:noProof/>
          <w:sz w:val="20"/>
          <w:lang w:eastAsia="en-GB"/>
        </w:rPr>
        <w:t>Specify the indicators for monitoring progress and achievements.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xml:space="preserve">The obligations of the Commission consist in managing the supplementary research programme and consequently in reporting on the technical status of the reactor operation, its scientific use, and its budgetary situation. A final report will be prepared by JRC and will cover the following items: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technical reporting providing the HFR operational data;</w:t>
      </w:r>
    </w:p>
    <w:p>
      <w:pPr>
        <w:numPr>
          <w:ilvl w:val="2"/>
          <w:numId w:val="0"/>
        </w:numPr>
        <w:pBdr>
          <w:top w:val="single" w:sz="4" w:space="1" w:color="auto"/>
          <w:left w:val="single" w:sz="4" w:space="4" w:color="auto"/>
          <w:bottom w:val="single" w:sz="4" w:space="1" w:color="auto"/>
          <w:right w:val="single" w:sz="4" w:space="4" w:color="auto"/>
        </w:pBdr>
        <w:tabs>
          <w:tab w:val="num" w:pos="1417"/>
        </w:tabs>
        <w:ind w:left="1417" w:hanging="567"/>
        <w:rPr>
          <w:rFonts w:eastAsia="Times New Roman"/>
          <w:noProof/>
          <w:szCs w:val="24"/>
          <w:lang w:eastAsia="en-GB"/>
        </w:rPr>
      </w:pPr>
      <w:r>
        <w:rPr>
          <w:rFonts w:eastAsia="Times New Roman"/>
          <w:noProof/>
          <w:szCs w:val="24"/>
          <w:lang w:eastAsia="en-GB"/>
        </w:rPr>
        <w:t>- summary description of the main scientific achievements;</w:t>
      </w:r>
    </w:p>
    <w:p>
      <w:pPr>
        <w:numPr>
          <w:ilvl w:val="2"/>
          <w:numId w:val="0"/>
        </w:numPr>
        <w:pBdr>
          <w:top w:val="single" w:sz="4" w:space="1" w:color="auto"/>
          <w:left w:val="single" w:sz="4" w:space="4" w:color="auto"/>
          <w:bottom w:val="single" w:sz="4" w:space="1" w:color="auto"/>
          <w:right w:val="single" w:sz="4" w:space="4" w:color="auto"/>
        </w:pBdr>
        <w:tabs>
          <w:tab w:val="num" w:pos="1417"/>
        </w:tabs>
        <w:ind w:left="1417" w:hanging="567"/>
        <w:rPr>
          <w:rFonts w:eastAsia="Times New Roman"/>
          <w:noProof/>
          <w:szCs w:val="24"/>
          <w:lang w:eastAsia="en-GB"/>
        </w:rPr>
      </w:pPr>
      <w:r>
        <w:rPr>
          <w:rFonts w:eastAsia="Times New Roman"/>
          <w:noProof/>
          <w:szCs w:val="24"/>
          <w:lang w:eastAsia="en-GB"/>
        </w:rPr>
        <w:t>- status of the maintenance and repair activities;</w:t>
      </w:r>
    </w:p>
    <w:p>
      <w:pPr>
        <w:numPr>
          <w:ilvl w:val="2"/>
          <w:numId w:val="0"/>
        </w:numPr>
        <w:pBdr>
          <w:top w:val="single" w:sz="4" w:space="1" w:color="auto"/>
          <w:left w:val="single" w:sz="4" w:space="4" w:color="auto"/>
          <w:bottom w:val="single" w:sz="4" w:space="1" w:color="auto"/>
          <w:right w:val="single" w:sz="4" w:space="4" w:color="auto"/>
        </w:pBdr>
        <w:tabs>
          <w:tab w:val="num" w:pos="1134"/>
        </w:tabs>
        <w:ind w:left="993" w:hanging="143"/>
        <w:rPr>
          <w:rFonts w:eastAsia="Times New Roman"/>
          <w:noProof/>
          <w:szCs w:val="24"/>
          <w:lang w:eastAsia="en-GB"/>
        </w:rPr>
      </w:pPr>
      <w:r>
        <w:rPr>
          <w:rFonts w:eastAsia="Times New Roman"/>
          <w:noProof/>
          <w:szCs w:val="24"/>
          <w:lang w:eastAsia="en-GB"/>
        </w:rPr>
        <w:t xml:space="preserve">- budgetary status as far as the income from Member States and the use of the supplementary research programme budget is concerned (including provisions for decommissioning, management costs, payment to the operator, etc.). </w:t>
      </w:r>
    </w:p>
    <w:p>
      <w:pPr>
        <w:numPr>
          <w:ilvl w:val="2"/>
          <w:numId w:val="0"/>
        </w:numPr>
        <w:pBdr>
          <w:top w:val="single" w:sz="4" w:space="1" w:color="auto"/>
          <w:left w:val="single" w:sz="4" w:space="4" w:color="auto"/>
          <w:bottom w:val="single" w:sz="4" w:space="1" w:color="auto"/>
          <w:right w:val="single" w:sz="4" w:space="4" w:color="auto"/>
        </w:pBdr>
        <w:tabs>
          <w:tab w:val="num" w:pos="1134"/>
        </w:tabs>
        <w:ind w:left="993" w:hanging="143"/>
        <w:rPr>
          <w:rFonts w:eastAsia="Times New Roman"/>
          <w:noProof/>
          <w:szCs w:val="24"/>
          <w:lang w:eastAsia="en-GB"/>
        </w:rPr>
      </w:pPr>
    </w:p>
    <w:p>
      <w:pPr>
        <w:pStyle w:val="ManualHeading2"/>
        <w:rPr>
          <w:noProof/>
          <w:szCs w:val="24"/>
          <w:lang w:eastAsia="en-GB"/>
        </w:rPr>
      </w:pPr>
      <w:bookmarkStart w:id="19" w:name="_Toc514938025"/>
      <w:bookmarkStart w:id="20" w:name="_Toc520485034"/>
      <w:r>
        <w:t>1.5.</w:t>
      </w:r>
      <w:r>
        <w:tab/>
      </w:r>
      <w:r>
        <w:rPr>
          <w:noProof/>
          <w:lang w:eastAsia="en-GB"/>
        </w:rPr>
        <w:t>Grounds for the proposal/initiative</w:t>
      </w:r>
      <w:bookmarkEnd w:id="19"/>
      <w:bookmarkEnd w:id="20"/>
      <w:r>
        <w:rPr>
          <w:noProof/>
          <w:lang w:eastAsia="en-GB"/>
        </w:rPr>
        <w:t xml:space="preserve"> </w:t>
      </w:r>
    </w:p>
    <w:p>
      <w:pPr>
        <w:pStyle w:val="ManualHeading3"/>
        <w:rPr>
          <w:noProof/>
          <w:lang w:eastAsia="en-GB"/>
        </w:rPr>
      </w:pPr>
      <w:bookmarkStart w:id="21" w:name="_Toc514938026"/>
      <w:bookmarkStart w:id="22" w:name="_Toc520485035"/>
      <w:r>
        <w:t>1.5.1.</w:t>
      </w:r>
      <w:r>
        <w:tab/>
      </w:r>
      <w:r>
        <w:rPr>
          <w:noProof/>
          <w:lang w:eastAsia="en-GB"/>
        </w:rPr>
        <w:t>Requirement(s) to be met in the short or long term including a detailed timeline for roll-out of the implementation of the initiative</w:t>
      </w:r>
      <w:bookmarkEnd w:id="21"/>
      <w:bookmarkEnd w:id="22"/>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bookmarkStart w:id="23" w:name="_Toc514938029"/>
      <w:bookmarkStart w:id="24" w:name="_Toc520485036"/>
      <w:r>
        <w:rPr>
          <w:rFonts w:eastAsia="Times New Roman"/>
          <w:noProof/>
          <w:szCs w:val="24"/>
          <w:lang w:eastAsia="en-GB"/>
        </w:rPr>
        <w:t xml:space="preserve">The HFR aims to support research and development activities of the participant Member States in the fields of: safety of nuclear installations and fuel cycle, waste management, thermonuclear fusion, fundamental research and training capabilities.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The HFR remains active in improving safety of reactors. The co-ordination of efforts, dissemination of results and support to harmonisation are carried out through European networks.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The HFR also aims to provide medical radioisotopes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p>
    <w:p>
      <w:pPr>
        <w:pStyle w:val="ManualHeading3"/>
        <w:rPr>
          <w:noProof/>
          <w:szCs w:val="24"/>
          <w:lang w:eastAsia="en-GB"/>
        </w:rPr>
      </w:pPr>
      <w:r>
        <w:t>1.5.2.</w:t>
      </w:r>
      <w:r>
        <w:tab/>
      </w:r>
      <w:r>
        <w:rPr>
          <w:noProof/>
          <w:lang w:eastAsia="en-GB"/>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3"/>
      <w:bookmarkEnd w:id="24"/>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xml:space="preserve">The added value of HFR research activities is linked to cross border effects, economies of scale, contributing to the reduction of national investments in research.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xml:space="preserve">The reactor is also used for the commercial production of radio-isotopes for more than 60% of the 10 million medical diagnoses executed each year in Europe. It is a very important facility for the European Medical Sector (hospitals, clinics, doctors…) as the radio-isotopes are used in various medical fields but mostly for the diagnosis, prevention and treatment of cancer. There are very few alternatives, as it produces the most currently used short-life isotopes. Through its location in Europe, the production of the reactor is rapidly directed to the European medical centres.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Intervention at European level is also justified due to the limited number of nuclear research reactors available in the EU.</w:t>
      </w:r>
    </w:p>
    <w:p>
      <w:pPr>
        <w:pStyle w:val="ManualHeading3"/>
        <w:rPr>
          <w:noProof/>
          <w:lang w:eastAsia="en-GB"/>
        </w:rPr>
      </w:pPr>
      <w:bookmarkStart w:id="25" w:name="_Toc514938030"/>
      <w:bookmarkStart w:id="26" w:name="_Toc520485037"/>
      <w:r>
        <w:t>1.5.3.</w:t>
      </w:r>
      <w:r>
        <w:tab/>
      </w:r>
      <w:r>
        <w:rPr>
          <w:noProof/>
          <w:lang w:eastAsia="en-GB"/>
        </w:rPr>
        <w:t>Lessons learned from similar experiences in the past</w:t>
      </w:r>
      <w:bookmarkEnd w:id="25"/>
      <w:bookmarkEnd w:id="26"/>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bookmarkStart w:id="27" w:name="_Toc514938033"/>
      <w:bookmarkStart w:id="28" w:name="_Toc520485038"/>
      <w:r>
        <w:rPr>
          <w:rFonts w:eastAsia="Times New Roman"/>
          <w:noProof/>
          <w:szCs w:val="24"/>
          <w:lang w:val="en-US" w:eastAsia="en-GB"/>
        </w:rPr>
        <w:t xml:space="preserve">The current Technetium (Tc-99m) supply for medical purposes relies on an unsustainably low number of production reactors among which the HFR. </w:t>
      </w:r>
      <w:r>
        <w:rPr>
          <w:rFonts w:eastAsia="Times New Roman"/>
          <w:noProof/>
          <w:spacing w:val="-3"/>
          <w:szCs w:val="24"/>
          <w:lang w:val="en-US" w:eastAsia="en-GB"/>
        </w:rPr>
        <w:t xml:space="preserve">As those reactors were constructed in the </w:t>
      </w:r>
      <w:r>
        <w:rPr>
          <w:rFonts w:eastAsia="Times New Roman"/>
          <w:noProof/>
          <w:spacing w:val="-3"/>
          <w:szCs w:val="24"/>
          <w:lang w:val="mt-MT" w:eastAsia="en-GB"/>
        </w:rPr>
        <w:t xml:space="preserve">1950s </w:t>
      </w:r>
      <w:r>
        <w:rPr>
          <w:rFonts w:eastAsia="Times New Roman"/>
          <w:noProof/>
          <w:spacing w:val="-3"/>
          <w:szCs w:val="24"/>
          <w:lang w:val="en-US" w:eastAsia="en-GB"/>
        </w:rPr>
        <w:t xml:space="preserve">and </w:t>
      </w:r>
      <w:r>
        <w:rPr>
          <w:rFonts w:eastAsia="Times New Roman"/>
          <w:noProof/>
          <w:spacing w:val="-3"/>
          <w:szCs w:val="24"/>
          <w:lang w:val="mt-MT" w:eastAsia="en-GB"/>
        </w:rPr>
        <w:t xml:space="preserve">1960s, </w:t>
      </w:r>
      <w:r>
        <w:rPr>
          <w:rFonts w:eastAsia="Times New Roman"/>
          <w:noProof/>
          <w:spacing w:val="-3"/>
          <w:szCs w:val="24"/>
          <w:lang w:val="en-US" w:eastAsia="en-GB"/>
        </w:rPr>
        <w:t xml:space="preserve">they are approaching the end of their lifespan, which causes an increasing need for planned maintenance shutdowns and a </w:t>
      </w:r>
      <w:r>
        <w:rPr>
          <w:rFonts w:eastAsia="Times New Roman"/>
          <w:noProof/>
          <w:spacing w:val="-4"/>
          <w:szCs w:val="24"/>
          <w:lang w:val="en-US" w:eastAsia="en-GB"/>
        </w:rPr>
        <w:t xml:space="preserve">growing frequency of unplanned production interruptions. </w:t>
      </w:r>
      <w:r>
        <w:rPr>
          <w:rFonts w:eastAsia="Times New Roman"/>
          <w:noProof/>
          <w:szCs w:val="24"/>
          <w:lang w:eastAsia="en-GB"/>
        </w:rPr>
        <w:t>In mid-May 2009, the Canadian NRU Reactor (a medical isotope producer) went out of operation and remained unavailable for the rest of 2009, triggering a continuous worldwide medical isotope shortage. In 2010, the HFR was shutdown for a repair to the Bottom Plug Liner. In 2015, the French Osiris research reactor was definitely shutdown. These events disrupted the supply of medical isotopes.</w:t>
      </w:r>
    </w:p>
    <w:p>
      <w:pPr>
        <w:pStyle w:val="ManualHeading3"/>
        <w:rPr>
          <w:noProof/>
          <w:lang w:eastAsia="en-GB"/>
        </w:rPr>
      </w:pPr>
      <w:r>
        <w:t>1.5.4.</w:t>
      </w:r>
      <w:r>
        <w:tab/>
      </w:r>
      <w:r>
        <w:rPr>
          <w:noProof/>
          <w:lang w:eastAsia="en-GB"/>
        </w:rPr>
        <w:t>Compatibility with the Multiannual Financial Framework and possible synergies with other appropriate instruments</w:t>
      </w:r>
      <w:bookmarkEnd w:id="27"/>
      <w:bookmarkEnd w:id="28"/>
    </w:p>
    <w:p>
      <w:pPr>
        <w:pBdr>
          <w:top w:val="single" w:sz="4" w:space="0" w:color="auto"/>
          <w:left w:val="single" w:sz="4" w:space="4" w:color="auto"/>
          <w:bottom w:val="single" w:sz="4" w:space="1" w:color="auto"/>
          <w:right w:val="single" w:sz="4" w:space="4" w:color="auto"/>
        </w:pBdr>
        <w:ind w:left="720"/>
        <w:rPr>
          <w:rFonts w:eastAsia="Times New Roman"/>
          <w:noProof/>
          <w:szCs w:val="24"/>
          <w:lang w:eastAsia="en-GB"/>
        </w:rPr>
      </w:pPr>
      <w:bookmarkStart w:id="29" w:name="_Toc514938036"/>
      <w:bookmarkStart w:id="30" w:name="_Toc520485039"/>
      <w:r>
        <w:rPr>
          <w:rFonts w:eastAsia="Times New Roman"/>
          <w:noProof/>
          <w:szCs w:val="24"/>
          <w:lang w:eastAsia="en-GB"/>
        </w:rPr>
        <w:t>The proposed Supplementary Research Programme will address different scientific and technological challenges related to safety of nuclear technologies. It will have activities closely linked to the extension (2019-2020) of Horizon 2020 Euratom Research and Training Programme as well as the new Horizon Europe Euratom Research and Training Programme (2021-2025).</w:t>
      </w:r>
    </w:p>
    <w:p>
      <w:pPr>
        <w:pBdr>
          <w:top w:val="single" w:sz="4" w:space="0" w:color="auto"/>
          <w:left w:val="single" w:sz="4" w:space="4" w:color="auto"/>
          <w:bottom w:val="single" w:sz="4" w:space="1" w:color="auto"/>
          <w:right w:val="single" w:sz="4" w:space="4" w:color="auto"/>
        </w:pBdr>
        <w:ind w:left="720"/>
        <w:rPr>
          <w:rFonts w:eastAsia="Times New Roman"/>
          <w:noProof/>
          <w:szCs w:val="24"/>
          <w:lang w:eastAsia="en-GB"/>
        </w:rPr>
      </w:pPr>
      <w:r>
        <w:rPr>
          <w:rFonts w:eastAsia="Times New Roman"/>
          <w:noProof/>
          <w:szCs w:val="24"/>
          <w:lang w:eastAsia="en-GB"/>
        </w:rPr>
        <w:t>The eventual decommissioning of the HFR, as a nuclear research installation of the JRC is currently addressed in the Commission proposal for a Council Regulation of the Decommissioning of Nuclear Facilities and Management of Radioactive Waste for the period 2021-2027. The Supplementary Programme deals exclusively with the safe operation of the reactor, and does not impact and is not impacted neither in scope nor in budget by the aforementioned proposed Council Regulation.</w:t>
      </w:r>
    </w:p>
    <w:p>
      <w:pPr>
        <w:pStyle w:val="ManualHeading3"/>
        <w:rPr>
          <w:noProof/>
          <w:lang w:eastAsia="en-GB"/>
        </w:rPr>
      </w:pPr>
      <w:r>
        <w:t>1.5.5.</w:t>
      </w:r>
      <w:r>
        <w:tab/>
      </w:r>
      <w:r>
        <w:rPr>
          <w:noProof/>
          <w:lang w:eastAsia="en-GB"/>
        </w:rPr>
        <w:t>Assessment of the different available financing options, including scope for redeployment</w:t>
      </w:r>
      <w:bookmarkEnd w:id="29"/>
      <w:bookmarkEnd w:id="30"/>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Not applicable </w:t>
      </w:r>
    </w:p>
    <w:p>
      <w:pPr>
        <w:pStyle w:val="ManualHeading2"/>
        <w:rPr>
          <w:noProof/>
          <w:szCs w:val="24"/>
          <w:lang w:eastAsia="en-GB"/>
        </w:rPr>
      </w:pPr>
      <w:r>
        <w:rPr>
          <w:noProof/>
          <w:lang w:eastAsia="en-GB"/>
        </w:rPr>
        <w:br w:type="page"/>
      </w:r>
      <w:bookmarkStart w:id="31" w:name="_Toc514938039"/>
      <w:bookmarkStart w:id="32" w:name="_Toc520485040"/>
      <w:r>
        <w:t>1.6.</w:t>
      </w:r>
      <w:r>
        <w:tab/>
      </w:r>
      <w:r>
        <w:rPr>
          <w:noProof/>
          <w:lang w:eastAsia="en-GB"/>
        </w:rPr>
        <w:t>Duration and financial impact of the proposal/initiative</w:t>
      </w:r>
      <w:bookmarkEnd w:id="31"/>
      <w:bookmarkEnd w:id="32"/>
    </w:p>
    <w:p>
      <w:pPr>
        <w:pStyle w:val="Text1"/>
        <w:rPr>
          <w:noProof/>
          <w:lang w:eastAsia="en-GB"/>
        </w:rPr>
      </w:pPr>
      <w:r>
        <w:rPr>
          <w:noProof/>
          <w:lang w:eastAsia="en-GB"/>
        </w:rPr>
        <w:sym w:font="Wingdings" w:char="F078"/>
      </w:r>
      <w:r>
        <w:rPr>
          <w:i/>
          <w:noProof/>
          <w:lang w:eastAsia="en-GB"/>
        </w:rPr>
        <w:t xml:space="preserve"> </w:t>
      </w:r>
      <w:r>
        <w:rPr>
          <w:noProof/>
          <w:lang w:eastAsia="en-GB"/>
        </w:rPr>
        <w:t xml:space="preserve">limited duration </w:t>
      </w:r>
    </w:p>
    <w:p>
      <w:pPr>
        <w:pStyle w:val="Text1"/>
        <w:rPr>
          <w:noProof/>
          <w:lang w:eastAsia="en-GB"/>
        </w:rPr>
      </w:pPr>
      <w:r>
        <w:rPr>
          <w:noProof/>
          <w:lang w:eastAsia="en-GB"/>
        </w:rPr>
        <w:sym w:font="Wingdings" w:char="F078"/>
      </w:r>
      <w:r>
        <w:rPr>
          <w:noProof/>
          <w:lang w:eastAsia="en-GB"/>
        </w:rPr>
        <w:tab/>
        <w:t xml:space="preserve">in effect from 01/01/2020 to 31/12/2023 </w:t>
      </w:r>
    </w:p>
    <w:p>
      <w:pPr>
        <w:pStyle w:val="Text1"/>
        <w:rPr>
          <w:noProof/>
          <w:lang w:eastAsia="en-GB"/>
        </w:rPr>
      </w:pPr>
      <w:r>
        <w:rPr>
          <w:noProof/>
          <w:lang w:eastAsia="en-GB"/>
        </w:rPr>
        <w:sym w:font="Wingdings" w:char="F078"/>
      </w:r>
      <w:r>
        <w:rPr>
          <w:noProof/>
          <w:lang w:eastAsia="en-GB"/>
        </w:rPr>
        <w:tab/>
        <w:t xml:space="preserve">Financial impact from 2020 to 2023 for commitment appropriations and from 2020 to 2024 for payment appropriations. </w:t>
      </w:r>
    </w:p>
    <w:p>
      <w:pPr>
        <w:pStyle w:val="Text1"/>
        <w:rPr>
          <w:noProof/>
          <w:lang w:eastAsia="en-GB"/>
        </w:rPr>
      </w:pPr>
      <w:r>
        <w:rPr>
          <w:noProof/>
          <w:lang w:eastAsia="en-GB"/>
        </w:rPr>
        <w:sym w:font="Wingdings" w:char="F0A8"/>
      </w:r>
      <w:r>
        <w:rPr>
          <w:noProof/>
          <w:lang w:eastAsia="en-GB"/>
        </w:rPr>
        <w:t xml:space="preserve"> unlimited duration</w:t>
      </w:r>
    </w:p>
    <w:p>
      <w:pPr>
        <w:tabs>
          <w:tab w:val="num" w:pos="1134"/>
        </w:tabs>
        <w:ind w:left="1134" w:hanging="283"/>
        <w:rPr>
          <w:noProof/>
          <w:lang w:eastAsia="en-GB"/>
        </w:rPr>
      </w:pPr>
      <w:r>
        <w:rPr>
          <w:noProof/>
          <w:lang w:eastAsia="en-GB"/>
        </w:rPr>
        <w:t>Implementation with a start-up period from YYYY to YYYY,</w:t>
      </w:r>
    </w:p>
    <w:p>
      <w:pPr>
        <w:tabs>
          <w:tab w:val="num" w:pos="1134"/>
        </w:tabs>
        <w:ind w:left="1134" w:hanging="283"/>
        <w:rPr>
          <w:noProof/>
          <w:lang w:eastAsia="en-GB"/>
        </w:rPr>
      </w:pPr>
      <w:r>
        <w:rPr>
          <w:noProof/>
          <w:lang w:eastAsia="en-GB"/>
        </w:rPr>
        <w:t>followed by full-scale operation.</w:t>
      </w:r>
    </w:p>
    <w:p>
      <w:pPr>
        <w:pStyle w:val="ManualHeading2"/>
        <w:rPr>
          <w:noProof/>
          <w:szCs w:val="24"/>
          <w:lang w:eastAsia="en-GB"/>
        </w:rPr>
      </w:pPr>
      <w:bookmarkStart w:id="33" w:name="_Toc514938040"/>
      <w:bookmarkStart w:id="34" w:name="_Toc520485041"/>
      <w:r>
        <w:t>1.7.</w:t>
      </w:r>
      <w:r>
        <w:tab/>
      </w:r>
      <w:r>
        <w:rPr>
          <w:noProof/>
          <w:lang w:eastAsia="en-GB"/>
        </w:rPr>
        <w:t>Management mode(s) planned</w:t>
      </w:r>
      <w:r>
        <w:rPr>
          <w:rStyle w:val="FootnoteReference"/>
          <w:noProof/>
        </w:rPr>
        <w:footnoteReference w:id="7"/>
      </w:r>
      <w:bookmarkEnd w:id="33"/>
      <w:bookmarkEnd w:id="34"/>
    </w:p>
    <w:p>
      <w:pPr>
        <w:pStyle w:val="Text1"/>
        <w:rPr>
          <w:noProof/>
          <w:lang w:eastAsia="en-GB"/>
        </w:rPr>
      </w:pPr>
      <w:r>
        <w:rPr>
          <w:noProof/>
          <w:lang w:eastAsia="en-GB"/>
        </w:rPr>
        <w:sym w:font="Wingdings" w:char="F078"/>
      </w:r>
      <w:r>
        <w:rPr>
          <w:noProof/>
          <w:lang w:eastAsia="en-GB"/>
        </w:rPr>
        <w:t xml:space="preserve"> Direct management by the Commission</w:t>
      </w:r>
    </w:p>
    <w:p>
      <w:pPr>
        <w:pStyle w:val="Text1"/>
        <w:rPr>
          <w:noProof/>
          <w:lang w:eastAsia="en-GB"/>
        </w:rPr>
      </w:pPr>
      <w:r>
        <w:rPr>
          <w:noProof/>
          <w:lang w:eastAsia="en-GB"/>
        </w:rPr>
        <w:sym w:font="Wingdings" w:char="F078"/>
      </w:r>
      <w:r>
        <w:rPr>
          <w:noProof/>
          <w:lang w:eastAsia="en-GB"/>
        </w:rPr>
        <w:t xml:space="preserve"> by its departments, including by its staff in the Union delegations; </w:t>
      </w:r>
    </w:p>
    <w:p>
      <w:pPr>
        <w:pStyle w:val="Text1"/>
        <w:rPr>
          <w:noProof/>
          <w:lang w:eastAsia="en-GB"/>
        </w:rPr>
      </w:pPr>
      <w:r>
        <w:rPr>
          <w:noProof/>
          <w:lang w:eastAsia="en-GB"/>
        </w:rPr>
        <w:sym w:font="Wingdings" w:char="F0A8"/>
      </w:r>
      <w:r>
        <w:rPr>
          <w:noProof/>
          <w:lang w:eastAsia="en-GB"/>
        </w:rPr>
        <w:tab/>
        <w:t xml:space="preserve">by the executive agencies </w:t>
      </w:r>
    </w:p>
    <w:p>
      <w:pPr>
        <w:pStyle w:val="Text1"/>
        <w:rPr>
          <w:noProof/>
          <w:lang w:eastAsia="en-GB"/>
        </w:rPr>
      </w:pPr>
      <w:r>
        <w:rPr>
          <w:noProof/>
          <w:lang w:eastAsia="en-GB"/>
        </w:rPr>
        <w:sym w:font="Wingdings" w:char="F0A8"/>
      </w:r>
      <w:r>
        <w:rPr>
          <w:noProof/>
          <w:lang w:eastAsia="en-GB"/>
        </w:rPr>
        <w:t xml:space="preserve"> Shared management with the Member States </w:t>
      </w:r>
    </w:p>
    <w:p>
      <w:pPr>
        <w:pStyle w:val="Text1"/>
        <w:rPr>
          <w:noProof/>
          <w:lang w:eastAsia="en-GB"/>
        </w:rPr>
      </w:pPr>
      <w:r>
        <w:rPr>
          <w:noProof/>
          <w:lang w:eastAsia="en-GB"/>
        </w:rPr>
        <w:sym w:font="Wingdings" w:char="F0A8"/>
      </w:r>
      <w:r>
        <w:rPr>
          <w:noProof/>
          <w:lang w:eastAsia="en-GB"/>
        </w:rPr>
        <w:t xml:space="preserve"> Indirect management by entrusting budget implementation tasks to:</w:t>
      </w:r>
    </w:p>
    <w:p>
      <w:pPr>
        <w:pStyle w:val="Text1"/>
        <w:rPr>
          <w:noProof/>
          <w:lang w:eastAsia="en-GB"/>
        </w:rPr>
      </w:pPr>
      <w:r>
        <w:rPr>
          <w:noProof/>
          <w:lang w:eastAsia="en-GB"/>
        </w:rPr>
        <w:sym w:font="Wingdings" w:char="F0A8"/>
      </w:r>
      <w:r>
        <w:rPr>
          <w:noProof/>
          <w:lang w:eastAsia="en-GB"/>
        </w:rPr>
        <w:t xml:space="preserve"> third countries or the bodies they have designated;</w:t>
      </w:r>
    </w:p>
    <w:p>
      <w:pPr>
        <w:pStyle w:val="Text1"/>
        <w:rPr>
          <w:noProof/>
          <w:lang w:eastAsia="en-GB"/>
        </w:rPr>
      </w:pPr>
      <w:r>
        <w:rPr>
          <w:noProof/>
          <w:lang w:eastAsia="en-GB"/>
        </w:rPr>
        <w:sym w:font="Wingdings" w:char="F0A8"/>
      </w:r>
      <w:r>
        <w:rPr>
          <w:noProof/>
          <w:lang w:eastAsia="en-GB"/>
        </w:rPr>
        <w:t xml:space="preserve"> international organisations and their agencies (to be specified);</w:t>
      </w:r>
    </w:p>
    <w:p>
      <w:pPr>
        <w:pStyle w:val="Text1"/>
        <w:rPr>
          <w:noProof/>
          <w:lang w:eastAsia="en-GB"/>
        </w:rPr>
      </w:pPr>
      <w:r>
        <w:rPr>
          <w:noProof/>
          <w:lang w:eastAsia="en-GB"/>
        </w:rPr>
        <w:sym w:font="Wingdings" w:char="F0A8"/>
      </w:r>
      <w:r>
        <w:rPr>
          <w:noProof/>
          <w:lang w:eastAsia="en-GB"/>
        </w:rPr>
        <w:t xml:space="preserve"> the EIB and the European Investment Fund;</w:t>
      </w:r>
    </w:p>
    <w:p>
      <w:pPr>
        <w:pStyle w:val="Text1"/>
        <w:rPr>
          <w:noProof/>
          <w:lang w:eastAsia="en-GB"/>
        </w:rPr>
      </w:pPr>
      <w:r>
        <w:rPr>
          <w:noProof/>
          <w:lang w:eastAsia="en-GB"/>
        </w:rPr>
        <w:sym w:font="Wingdings" w:char="F0A8"/>
      </w:r>
      <w:r>
        <w:rPr>
          <w:noProof/>
          <w:lang w:eastAsia="en-GB"/>
        </w:rPr>
        <w:t xml:space="preserve"> bodies referred to in Articles 70 and 71 of the Financial Regulation;</w:t>
      </w:r>
    </w:p>
    <w:p>
      <w:pPr>
        <w:pStyle w:val="Text1"/>
        <w:rPr>
          <w:noProof/>
          <w:lang w:eastAsia="en-GB"/>
        </w:rPr>
      </w:pPr>
      <w:r>
        <w:rPr>
          <w:noProof/>
          <w:lang w:eastAsia="en-GB"/>
        </w:rPr>
        <w:sym w:font="Wingdings" w:char="F0A8"/>
      </w:r>
      <w:r>
        <w:rPr>
          <w:noProof/>
          <w:lang w:eastAsia="en-GB"/>
        </w:rPr>
        <w:t xml:space="preserve"> public law bodies;</w:t>
      </w:r>
    </w:p>
    <w:p>
      <w:pPr>
        <w:pStyle w:val="Text1"/>
        <w:rPr>
          <w:noProof/>
          <w:lang w:eastAsia="en-GB"/>
        </w:rPr>
      </w:pPr>
      <w:r>
        <w:rPr>
          <w:noProof/>
          <w:lang w:eastAsia="en-GB"/>
        </w:rPr>
        <w:sym w:font="Wingdings" w:char="F0A8"/>
      </w:r>
      <w:r>
        <w:rPr>
          <w:noProof/>
          <w:lang w:eastAsia="en-GB"/>
        </w:rPr>
        <w:t xml:space="preserve"> bodies governed by private law with a public service mission to the extent that they provide adequate financial guarantees;</w:t>
      </w:r>
    </w:p>
    <w:p>
      <w:pPr>
        <w:pStyle w:val="Text1"/>
        <w:rPr>
          <w:noProof/>
          <w:lang w:eastAsia="en-GB"/>
        </w:rPr>
      </w:pPr>
      <w:r>
        <w:rPr>
          <w:noProof/>
          <w:lang w:eastAsia="en-GB"/>
        </w:rPr>
        <w:sym w:font="Wingdings" w:char="F0A8"/>
      </w:r>
      <w:r>
        <w:rPr>
          <w:noProof/>
          <w:lang w:eastAsia="en-GB"/>
        </w:rPr>
        <w:t xml:space="preserve"> bodies governed by the private law of a </w:t>
      </w:r>
      <w:smartTag w:uri="urn:schemas-microsoft-com:office:smarttags" w:element="place">
        <w:smartTag w:uri="urn:schemas-microsoft-com:office:smarttags" w:element="PlaceName">
          <w:r>
            <w:rPr>
              <w:noProof/>
              <w:lang w:eastAsia="en-GB"/>
            </w:rPr>
            <w:t>Member</w:t>
          </w:r>
        </w:smartTag>
        <w:r>
          <w:rPr>
            <w:noProof/>
            <w:lang w:eastAsia="en-GB"/>
          </w:rPr>
          <w:t xml:space="preserve"> </w:t>
        </w:r>
        <w:smartTag w:uri="urn:schemas-microsoft-com:office:smarttags" w:element="PlaceType">
          <w:r>
            <w:rPr>
              <w:noProof/>
              <w:lang w:eastAsia="en-GB"/>
            </w:rPr>
            <w:t>State</w:t>
          </w:r>
        </w:smartTag>
      </w:smartTag>
      <w:r>
        <w:rPr>
          <w:noProof/>
          <w:lang w:eastAsia="en-GB"/>
        </w:rPr>
        <w:t xml:space="preserve"> that are entrusted with the implementation of a public-private partnership and that provide adequate financial guarantees;</w:t>
      </w:r>
    </w:p>
    <w:p>
      <w:pPr>
        <w:pStyle w:val="Text1"/>
        <w:rPr>
          <w:noProof/>
          <w:lang w:eastAsia="en-GB"/>
        </w:rPr>
      </w:pPr>
      <w:r>
        <w:rPr>
          <w:noProof/>
          <w:lang w:eastAsia="en-GB"/>
        </w:rPr>
        <w:sym w:font="Wingdings" w:char="F0A8"/>
      </w:r>
      <w:r>
        <w:rPr>
          <w:noProof/>
          <w:lang w:eastAsia="en-GB"/>
        </w:rPr>
        <w:t xml:space="preserve"> persons entrusted with the implementation of specific actions in the CFSP pursuant to Title V of the TEU, and identified in the relevant basic act.</w:t>
      </w:r>
    </w:p>
    <w:p>
      <w:pPr>
        <w:tabs>
          <w:tab w:val="num" w:pos="1134"/>
        </w:tabs>
        <w:ind w:left="1134" w:hanging="283"/>
        <w:rPr>
          <w:i/>
          <w:noProof/>
          <w:sz w:val="18"/>
          <w:u w:val="single"/>
          <w:lang w:eastAsia="en-GB"/>
        </w:rPr>
      </w:pPr>
      <w:r>
        <w:rPr>
          <w:i/>
          <w:noProof/>
          <w:sz w:val="18"/>
          <w:lang w:eastAsia="en-GB"/>
        </w:rPr>
        <w:t>If more than one management mode is indicated, please provide details in the ‘Comments’ section.</w:t>
      </w:r>
    </w:p>
    <w:p>
      <w:pPr>
        <w:rPr>
          <w:noProof/>
          <w:lang w:eastAsia="en-GB"/>
        </w:rPr>
      </w:pPr>
      <w:r>
        <w:rPr>
          <w:noProof/>
          <w:lang w:eastAsia="en-GB"/>
        </w:rPr>
        <w:t xml:space="preserve">Comments </w:t>
      </w:r>
    </w:p>
    <w:p>
      <w:pPr>
        <w:pBdr>
          <w:top w:val="single" w:sz="4" w:space="1" w:color="auto"/>
          <w:left w:val="single" w:sz="4" w:space="4" w:color="auto"/>
          <w:bottom w:val="single" w:sz="4" w:space="1" w:color="auto"/>
          <w:right w:val="single" w:sz="4" w:space="4" w:color="auto"/>
        </w:pBdr>
        <w:rPr>
          <w:noProof/>
          <w:lang w:eastAsia="en-GB"/>
        </w:rPr>
      </w:pPr>
      <w:r>
        <w:rPr>
          <w:noProof/>
          <w:lang w:eastAsia="en-GB"/>
        </w:rPr>
        <w:t xml:space="preserve">The Commission is the owner of the HFR in accordance with the agreement between Euratom and The Netherlands of 25 July 1961 (lease of 99 years). The operation of the HFR lies under the responsibility of the operation licence holder NRG (NL) which allows an operation/exploitation based on an independent and sustainable legal regime. The supplementary research programme, managed by the JRC, provides extra income dedicated to research for the financing Member States. </w:t>
      </w:r>
    </w:p>
    <w:p>
      <w:pPr>
        <w:rPr>
          <w:noProof/>
          <w:lang w:eastAsia="en-GB"/>
        </w:rPr>
        <w:sectPr>
          <w:pgSz w:w="11907" w:h="16840" w:code="9"/>
          <w:pgMar w:top="1134" w:right="1418" w:bottom="1134" w:left="1418" w:header="709" w:footer="709" w:gutter="0"/>
          <w:cols w:space="708"/>
          <w:docGrid w:linePitch="360"/>
        </w:sectPr>
      </w:pPr>
    </w:p>
    <w:p>
      <w:pPr>
        <w:pStyle w:val="ManualHeading1"/>
        <w:rPr>
          <w:noProof/>
          <w:szCs w:val="24"/>
          <w:lang w:eastAsia="en-GB"/>
        </w:rPr>
      </w:pPr>
      <w:bookmarkStart w:id="35" w:name="_Toc514938041"/>
      <w:bookmarkStart w:id="36" w:name="_Toc520485042"/>
      <w:r>
        <w:t>2.</w:t>
      </w:r>
      <w:r>
        <w:tab/>
      </w:r>
      <w:r>
        <w:rPr>
          <w:noProof/>
          <w:lang w:eastAsia="en-GB"/>
        </w:rPr>
        <w:t>MANAGEMENT MEASURES</w:t>
      </w:r>
      <w:bookmarkEnd w:id="35"/>
      <w:bookmarkEnd w:id="36"/>
      <w:r>
        <w:rPr>
          <w:noProof/>
          <w:lang w:eastAsia="en-GB"/>
        </w:rPr>
        <w:t xml:space="preserve"> </w:t>
      </w:r>
    </w:p>
    <w:p>
      <w:pPr>
        <w:pStyle w:val="ManualHeading2"/>
        <w:rPr>
          <w:noProof/>
          <w:lang w:eastAsia="en-GB"/>
        </w:rPr>
      </w:pPr>
      <w:bookmarkStart w:id="37" w:name="_Toc514938042"/>
      <w:bookmarkStart w:id="38" w:name="_Toc520485043"/>
      <w:r>
        <w:t>2.1.</w:t>
      </w:r>
      <w:r>
        <w:tab/>
      </w:r>
      <w:r>
        <w:rPr>
          <w:noProof/>
          <w:lang w:eastAsia="en-GB"/>
        </w:rPr>
        <w:t>Monitoring and reporting rules</w:t>
      </w:r>
      <w:bookmarkEnd w:id="37"/>
      <w:bookmarkEnd w:id="38"/>
      <w:r>
        <w:rPr>
          <w:noProof/>
          <w:lang w:eastAsia="en-GB"/>
        </w:rPr>
        <w:t xml:space="preserve"> </w:t>
      </w:r>
    </w:p>
    <w:p>
      <w:pPr>
        <w:ind w:left="850"/>
        <w:rPr>
          <w:i/>
          <w:noProof/>
          <w:sz w:val="20"/>
          <w:lang w:eastAsia="en-GB"/>
        </w:rPr>
      </w:pPr>
      <w:r>
        <w:rPr>
          <w:i/>
          <w:noProof/>
          <w:sz w:val="20"/>
          <w:lang w:eastAsia="en-GB"/>
        </w:rPr>
        <w:t>Specify frequency and conditions.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The obligations of the Commission consist in managing the supplementary research programme and consequently in reporting yearly on:</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xml:space="preserve">(i) the technical status of the reactor operation,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xml:space="preserve">(ii) its scientific use,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xml:space="preserve">(iii) its budgetary situation as regard the financial income from Member States and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(iv) the payments made.</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The programme is included in the planning cycle of the JRC and in the Annual Management Plan. As a consequence the monitoring of stated objectives will be included in the JRC Annual Activity Report.</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xml:space="preserve">In addition an final report will be prepared by JRC. It will be dedicated to the management of the supplementary research programme, and will cover the following items: </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technical reporting providing the HFR operational data;</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summary description of the main scientific achievements;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status of the maintenance activities;</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xml:space="preserve">- budgetary status as far as the income from Member States and the use of the supplementary research programme budget is concerned (including provisions for decommissioning, management costs, etc.). </w:t>
      </w:r>
    </w:p>
    <w:p>
      <w:pPr>
        <w:pStyle w:val="ManualHeading2"/>
        <w:rPr>
          <w:noProof/>
          <w:szCs w:val="24"/>
          <w:lang w:eastAsia="en-GB"/>
        </w:rPr>
      </w:pPr>
      <w:bookmarkStart w:id="39" w:name="_Toc514938045"/>
      <w:bookmarkStart w:id="40" w:name="_Toc520485044"/>
      <w:r>
        <w:t>2.2.</w:t>
      </w:r>
      <w:r>
        <w:tab/>
      </w:r>
      <w:r>
        <w:rPr>
          <w:noProof/>
          <w:lang w:eastAsia="en-GB"/>
        </w:rPr>
        <w:t>Management and control system(s)</w:t>
      </w:r>
      <w:bookmarkEnd w:id="39"/>
      <w:bookmarkEnd w:id="40"/>
      <w:r>
        <w:rPr>
          <w:noProof/>
          <w:lang w:eastAsia="en-GB"/>
        </w:rPr>
        <w:t xml:space="preserve"> </w:t>
      </w:r>
    </w:p>
    <w:p>
      <w:pPr>
        <w:pStyle w:val="ManualHeading3"/>
        <w:rPr>
          <w:noProof/>
          <w:lang w:eastAsia="en-GB"/>
        </w:rPr>
      </w:pPr>
      <w:bookmarkStart w:id="41" w:name="_Toc514938046"/>
      <w:bookmarkStart w:id="42" w:name="_Toc520485045"/>
      <w:r>
        <w:t>2.2.1.</w:t>
      </w:r>
      <w:r>
        <w:tab/>
      </w:r>
      <w:r>
        <w:rPr>
          <w:noProof/>
          <w:lang w:eastAsia="en-GB"/>
        </w:rPr>
        <w:t>Justification of the management mode(s), the funding implementation mechanism(s), the payment modalities and the control strategy proposed</w:t>
      </w:r>
      <w:bookmarkEnd w:id="41"/>
      <w:bookmarkEnd w:id="42"/>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 xml:space="preserve">This program is the continuation of a previous supplementary research programme. The preparation of it was the subject of an internal assessment by the participant Member States who evaluated the risks to participate in it. </w:t>
      </w:r>
    </w:p>
    <w:p>
      <w:pPr>
        <w:pStyle w:val="ManualHeading3"/>
        <w:rPr>
          <w:noProof/>
          <w:szCs w:val="24"/>
          <w:lang w:eastAsia="en-GB"/>
        </w:rPr>
      </w:pPr>
      <w:bookmarkStart w:id="43" w:name="_Toc514938047"/>
      <w:bookmarkStart w:id="44" w:name="_Toc520485046"/>
      <w:r>
        <w:t>2.2.2.</w:t>
      </w:r>
      <w:r>
        <w:tab/>
      </w:r>
      <w:r>
        <w:rPr>
          <w:noProof/>
          <w:lang w:eastAsia="en-GB"/>
        </w:rPr>
        <w:t>Information concerning the risks identified and the internal control system(s) set up to mitigate them</w:t>
      </w:r>
      <w:bookmarkEnd w:id="43"/>
      <w:bookmarkEnd w:id="44"/>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The reporting will be dedicated to the management of the supplementary research programme, and will cover the technical, scientific and budgetary issues (including provisions for decommissioning, etc.).</w:t>
      </w:r>
    </w:p>
    <w:p>
      <w:pPr>
        <w:pStyle w:val="ManualHeading3"/>
        <w:rPr>
          <w:noProof/>
          <w:lang w:eastAsia="en-GB"/>
        </w:rPr>
      </w:pPr>
      <w:bookmarkStart w:id="45" w:name="_Toc514938048"/>
      <w:bookmarkStart w:id="46" w:name="_Toc520485047"/>
      <w:r>
        <w:t>2.2.3.</w:t>
      </w:r>
      <w:r>
        <w:tab/>
      </w:r>
      <w:r>
        <w:rPr>
          <w:noProof/>
          <w:lang w:eastAsia="en-GB"/>
        </w:rPr>
        <w:t>Estimation and justification of the cost-effectiveness of the controls (ratio of "control costs ÷ value of the related funds managed"), and assessment of the expected levels of risk of error (at payment &amp; at closure)</w:t>
      </w:r>
      <w:bookmarkEnd w:id="45"/>
      <w:bookmarkEnd w:id="46"/>
      <w:r>
        <w:rPr>
          <w:noProof/>
          <w:lang w:eastAsia="en-GB"/>
        </w:rPr>
        <w:t xml:space="preserve">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 xml:space="preserve">Not applicable </w:t>
      </w:r>
    </w:p>
    <w:p>
      <w:pPr>
        <w:pStyle w:val="ManualHeading2"/>
        <w:rPr>
          <w:noProof/>
          <w:szCs w:val="24"/>
          <w:lang w:eastAsia="en-GB"/>
        </w:rPr>
      </w:pPr>
      <w:bookmarkStart w:id="47" w:name="_Toc514938049"/>
      <w:bookmarkStart w:id="48" w:name="_Toc520485048"/>
      <w:r>
        <w:t>2.3.</w:t>
      </w:r>
      <w:r>
        <w:tab/>
      </w:r>
      <w:r>
        <w:rPr>
          <w:noProof/>
          <w:lang w:eastAsia="en-GB"/>
        </w:rPr>
        <w:t>Measures to prevent fraud and irregularities</w:t>
      </w:r>
      <w:bookmarkEnd w:id="47"/>
      <w:bookmarkEnd w:id="48"/>
      <w:r>
        <w:rPr>
          <w:noProof/>
          <w:lang w:eastAsia="en-GB"/>
        </w:rPr>
        <w:t xml:space="preserve"> </w:t>
      </w:r>
    </w:p>
    <w:p>
      <w:pPr>
        <w:ind w:left="850"/>
        <w:rPr>
          <w:i/>
          <w:noProof/>
          <w:sz w:val="20"/>
          <w:lang w:eastAsia="en-GB"/>
        </w:rPr>
      </w:pPr>
      <w:r>
        <w:rPr>
          <w:i/>
          <w:noProof/>
          <w:sz w:val="20"/>
          <w:lang w:eastAsia="en-GB"/>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noProof/>
          <w:lang w:eastAsia="en-GB"/>
        </w:rPr>
      </w:pPr>
      <w:r>
        <w:rPr>
          <w:rFonts w:eastAsia="Times New Roman"/>
          <w:noProof/>
          <w:szCs w:val="24"/>
          <w:lang w:eastAsia="en-GB"/>
        </w:rPr>
        <w:t xml:space="preserve">Audit and internal control of the reporting mentioned above are carried out by JRC officers, covering both the technical and budgetary aspects. </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legislation will ensure that audits and on-the-spot checks can be carried out by the Commission services, including OLAF, using the standard provisions recommended by OLAF.</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JRC Anti-Fraud Strategy has been updated in December 2017 in order to contribute to the update of the Commission Anti-Fraud Strategy to take into account the latest OLAF methodology.</w:t>
      </w:r>
    </w:p>
    <w:p>
      <w:pPr>
        <w:pBdr>
          <w:top w:val="single" w:sz="4" w:space="1" w:color="auto"/>
          <w:left w:val="single" w:sz="4" w:space="4" w:color="auto"/>
          <w:bottom w:val="single" w:sz="4" w:space="1" w:color="auto"/>
          <w:right w:val="single" w:sz="4" w:space="4" w:color="auto"/>
        </w:pBdr>
        <w:ind w:left="850"/>
        <w:rPr>
          <w:rFonts w:eastAsia="Times New Roman"/>
          <w:noProof/>
          <w:szCs w:val="24"/>
          <w:lang w:eastAsia="en-GB"/>
        </w:rPr>
      </w:pPr>
      <w:r>
        <w:rPr>
          <w:rFonts w:eastAsia="Times New Roman"/>
          <w:noProof/>
          <w:szCs w:val="24"/>
          <w:lang w:eastAsia="en-GB"/>
        </w:rPr>
        <w:t>Control of the circulation of fissile materials is covered by Euratom and the IAEA.</w:t>
      </w:r>
    </w:p>
    <w:p>
      <w:pPr>
        <w:pBdr>
          <w:top w:val="single" w:sz="4" w:space="1" w:color="auto"/>
          <w:left w:val="single" w:sz="4" w:space="4" w:color="auto"/>
          <w:bottom w:val="single" w:sz="4" w:space="1" w:color="auto"/>
          <w:right w:val="single" w:sz="4" w:space="4" w:color="auto"/>
        </w:pBdr>
        <w:ind w:left="850"/>
        <w:rPr>
          <w:noProof/>
          <w:lang w:eastAsia="en-GB"/>
        </w:rPr>
        <w:sectPr>
          <w:pgSz w:w="11907" w:h="16840" w:code="9"/>
          <w:pgMar w:top="1134" w:right="1418" w:bottom="1134" w:left="1418" w:header="709" w:footer="709" w:gutter="0"/>
          <w:cols w:space="708"/>
          <w:docGrid w:linePitch="360"/>
        </w:sectPr>
      </w:pPr>
    </w:p>
    <w:p>
      <w:pPr>
        <w:pStyle w:val="ManualHeading1"/>
        <w:rPr>
          <w:noProof/>
          <w:szCs w:val="24"/>
          <w:lang w:eastAsia="en-GB"/>
        </w:rPr>
      </w:pPr>
      <w:bookmarkStart w:id="49" w:name="_Toc514938050"/>
      <w:bookmarkStart w:id="50" w:name="_Toc520485049"/>
      <w:r>
        <w:t>3.</w:t>
      </w:r>
      <w:r>
        <w:tab/>
      </w:r>
      <w:r>
        <w:rPr>
          <w:noProof/>
          <w:lang w:eastAsia="en-GB"/>
        </w:rPr>
        <w:t>ESTIMATED FINANCIAL IMPACT OF THE PROPOSAL/INITIATIVE</w:t>
      </w:r>
      <w:bookmarkEnd w:id="49"/>
      <w:bookmarkEnd w:id="50"/>
      <w:r>
        <w:rPr>
          <w:noProof/>
          <w:lang w:eastAsia="en-GB"/>
        </w:rPr>
        <w:t xml:space="preserve"> </w:t>
      </w:r>
    </w:p>
    <w:p>
      <w:pPr>
        <w:pStyle w:val="ManualHeading2"/>
        <w:rPr>
          <w:noProof/>
          <w:lang w:eastAsia="en-GB"/>
        </w:rPr>
      </w:pPr>
      <w:bookmarkStart w:id="51" w:name="_Toc514938051"/>
      <w:bookmarkStart w:id="52" w:name="_Toc520485050"/>
      <w:r>
        <w:t>3.1.</w:t>
      </w:r>
      <w:r>
        <w:tab/>
      </w:r>
      <w:r>
        <w:rPr>
          <w:noProof/>
          <w:lang w:eastAsia="en-GB"/>
        </w:rPr>
        <w:t>Heading(s) of the multiannual financial framework and expenditure budget line(s) affected</w:t>
      </w:r>
      <w:bookmarkEnd w:id="51"/>
      <w:bookmarkEnd w:id="52"/>
      <w:r>
        <w:rPr>
          <w:noProof/>
          <w:lang w:eastAsia="en-GB"/>
        </w:rPr>
        <w:t xml:space="preserve"> </w:t>
      </w:r>
    </w:p>
    <w:p>
      <w:pPr>
        <w:tabs>
          <w:tab w:val="num" w:pos="1134"/>
        </w:tabs>
        <w:ind w:left="1134" w:hanging="283"/>
        <w:rPr>
          <w:noProof/>
          <w:lang w:eastAsia="en-GB"/>
        </w:rPr>
      </w:pPr>
      <w:r>
        <w:rPr>
          <w:noProof/>
          <w:lang w:eastAsia="en-GB"/>
        </w:rPr>
        <w:t xml:space="preserve">Existing budget lines </w:t>
      </w:r>
    </w:p>
    <w:p>
      <w:pPr>
        <w:ind w:left="850"/>
        <w:rPr>
          <w:i/>
          <w:noProof/>
          <w:lang w:eastAsia="en-GB"/>
        </w:rPr>
      </w:pPr>
      <w:r>
        <w:rPr>
          <w:i/>
          <w:noProof/>
          <w:u w:val="single"/>
          <w:lang w:eastAsia="en-GB"/>
        </w:rPr>
        <w:t>In order</w:t>
      </w:r>
      <w:r>
        <w:rPr>
          <w:i/>
          <w:noProof/>
          <w:lang w:eastAsia="en-GB"/>
        </w:rPr>
        <w:t xml:space="preserve"> of multiannual financial framework headings and budget lines.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gridCol w:w="116"/>
      </w:tblGrid>
      <w:tr>
        <w:trPr>
          <w:gridAfter w:val="1"/>
          <w:wAfter w:w="116" w:type="dxa"/>
        </w:trPr>
        <w:tc>
          <w:tcPr>
            <w:tcW w:w="1080" w:type="dxa"/>
            <w:vMerge w:val="restart"/>
            <w:vAlign w:val="center"/>
          </w:tcPr>
          <w:p>
            <w:pPr>
              <w:spacing w:before="60" w:after="60"/>
              <w:jc w:val="center"/>
              <w:rPr>
                <w:noProof/>
                <w:lang w:eastAsia="en-GB"/>
              </w:rPr>
            </w:pPr>
            <w:r>
              <w:rPr>
                <w:noProof/>
                <w:sz w:val="18"/>
                <w:lang w:eastAsia="en-GB"/>
              </w:rPr>
              <w:t>Heading of multiannual financial framework</w:t>
            </w:r>
          </w:p>
        </w:tc>
        <w:tc>
          <w:tcPr>
            <w:tcW w:w="3960" w:type="dxa"/>
            <w:vAlign w:val="center"/>
          </w:tcPr>
          <w:p>
            <w:pPr>
              <w:spacing w:before="60" w:after="60"/>
              <w:jc w:val="center"/>
              <w:rPr>
                <w:noProof/>
                <w:lang w:eastAsia="en-GB"/>
              </w:rPr>
            </w:pPr>
            <w:r>
              <w:rPr>
                <w:noProof/>
                <w:sz w:val="20"/>
                <w:lang w:eastAsia="en-GB"/>
              </w:rPr>
              <w:t>Budget line</w:t>
            </w:r>
          </w:p>
        </w:tc>
        <w:tc>
          <w:tcPr>
            <w:tcW w:w="1080" w:type="dxa"/>
            <w:vAlign w:val="center"/>
          </w:tcPr>
          <w:p>
            <w:pPr>
              <w:spacing w:before="60" w:after="60"/>
              <w:jc w:val="center"/>
              <w:rPr>
                <w:noProof/>
                <w:lang w:eastAsia="en-GB"/>
              </w:rPr>
            </w:pPr>
            <w:r>
              <w:rPr>
                <w:noProof/>
                <w:sz w:val="18"/>
                <w:lang w:eastAsia="en-GB"/>
              </w:rPr>
              <w:t xml:space="preserve">Type of </w:t>
            </w:r>
            <w:r>
              <w:rPr>
                <w:noProof/>
                <w:lang w:eastAsia="en-GB"/>
              </w:rPr>
              <w:br/>
            </w:r>
            <w:r>
              <w:rPr>
                <w:noProof/>
                <w:sz w:val="18"/>
                <w:lang w:eastAsia="en-GB"/>
              </w:rPr>
              <w:t>expenditure</w:t>
            </w:r>
          </w:p>
        </w:tc>
        <w:tc>
          <w:tcPr>
            <w:tcW w:w="4440" w:type="dxa"/>
            <w:gridSpan w:val="4"/>
            <w:vAlign w:val="center"/>
          </w:tcPr>
          <w:p>
            <w:pPr>
              <w:spacing w:before="60" w:after="60"/>
              <w:jc w:val="center"/>
              <w:rPr>
                <w:noProof/>
                <w:lang w:eastAsia="en-GB"/>
              </w:rPr>
            </w:pPr>
            <w:r>
              <w:rPr>
                <w:noProof/>
                <w:sz w:val="20"/>
                <w:lang w:eastAsia="en-GB"/>
              </w:rPr>
              <w:t xml:space="preserve">Contribution </w:t>
            </w:r>
          </w:p>
        </w:tc>
      </w:tr>
      <w:tr>
        <w:trPr>
          <w:gridAfter w:val="1"/>
          <w:wAfter w:w="116" w:type="dxa"/>
        </w:trPr>
        <w:tc>
          <w:tcPr>
            <w:tcW w:w="1080" w:type="dxa"/>
            <w:vMerge/>
            <w:vAlign w:val="center"/>
          </w:tcPr>
          <w:p>
            <w:pPr>
              <w:jc w:val="center"/>
              <w:rPr>
                <w:noProof/>
                <w:lang w:eastAsia="en-GB"/>
              </w:rPr>
            </w:pPr>
          </w:p>
        </w:tc>
        <w:tc>
          <w:tcPr>
            <w:tcW w:w="3960" w:type="dxa"/>
            <w:vAlign w:val="center"/>
          </w:tcPr>
          <w:p>
            <w:pPr>
              <w:rPr>
                <w:noProof/>
                <w:lang w:eastAsia="en-GB"/>
              </w:rPr>
            </w:pPr>
            <w:r>
              <w:rPr>
                <w:noProof/>
                <w:sz w:val="20"/>
                <w:lang w:eastAsia="en-GB"/>
              </w:rPr>
              <w:t xml:space="preserve">Number </w:t>
            </w:r>
            <w:r>
              <w:rPr>
                <w:noProof/>
                <w:lang w:eastAsia="en-GB"/>
              </w:rPr>
              <w:br/>
            </w:r>
          </w:p>
        </w:tc>
        <w:tc>
          <w:tcPr>
            <w:tcW w:w="1080" w:type="dxa"/>
            <w:vAlign w:val="center"/>
          </w:tcPr>
          <w:p>
            <w:pPr>
              <w:jc w:val="center"/>
              <w:rPr>
                <w:noProof/>
                <w:lang w:eastAsia="en-GB"/>
              </w:rPr>
            </w:pPr>
            <w:r>
              <w:rPr>
                <w:noProof/>
                <w:sz w:val="18"/>
                <w:lang w:eastAsia="en-GB"/>
              </w:rPr>
              <w:t>Diff./Non-diff.</w:t>
            </w:r>
            <w:r>
              <w:rPr>
                <w:rStyle w:val="FootnoteReference"/>
                <w:noProof/>
              </w:rPr>
              <w:footnoteReference w:id="8"/>
            </w:r>
          </w:p>
        </w:tc>
        <w:tc>
          <w:tcPr>
            <w:tcW w:w="956" w:type="dxa"/>
            <w:vAlign w:val="center"/>
          </w:tcPr>
          <w:p>
            <w:pPr>
              <w:jc w:val="center"/>
              <w:rPr>
                <w:noProof/>
                <w:lang w:eastAsia="en-GB"/>
              </w:rPr>
            </w:pPr>
            <w:r>
              <w:rPr>
                <w:noProof/>
                <w:sz w:val="18"/>
                <w:lang w:eastAsia="en-GB"/>
              </w:rPr>
              <w:t>from EFTA countries</w:t>
            </w:r>
            <w:r>
              <w:rPr>
                <w:rStyle w:val="FootnoteReference"/>
                <w:noProof/>
              </w:rPr>
              <w:footnoteReference w:id="9"/>
            </w:r>
          </w:p>
          <w:p>
            <w:pPr>
              <w:spacing w:after="0"/>
              <w:jc w:val="center"/>
              <w:rPr>
                <w:b/>
                <w:noProof/>
                <w:sz w:val="18"/>
                <w:lang w:eastAsia="en-GB"/>
              </w:rPr>
            </w:pPr>
          </w:p>
        </w:tc>
        <w:tc>
          <w:tcPr>
            <w:tcW w:w="1080" w:type="dxa"/>
            <w:vAlign w:val="center"/>
          </w:tcPr>
          <w:p>
            <w:pPr>
              <w:jc w:val="center"/>
              <w:rPr>
                <w:noProof/>
                <w:lang w:eastAsia="en-GB"/>
              </w:rPr>
            </w:pPr>
            <w:r>
              <w:rPr>
                <w:noProof/>
                <w:sz w:val="18"/>
                <w:lang w:eastAsia="en-GB"/>
              </w:rPr>
              <w:t>from candidate countries</w:t>
            </w:r>
            <w:r>
              <w:rPr>
                <w:rStyle w:val="FootnoteReference"/>
                <w:noProof/>
              </w:rPr>
              <w:footnoteReference w:id="10"/>
            </w:r>
          </w:p>
          <w:p>
            <w:pPr>
              <w:spacing w:after="0"/>
              <w:jc w:val="center"/>
              <w:rPr>
                <w:noProof/>
                <w:sz w:val="18"/>
                <w:lang w:eastAsia="en-GB"/>
              </w:rPr>
            </w:pPr>
          </w:p>
        </w:tc>
        <w:tc>
          <w:tcPr>
            <w:tcW w:w="956" w:type="dxa"/>
            <w:vAlign w:val="center"/>
          </w:tcPr>
          <w:p>
            <w:pPr>
              <w:jc w:val="center"/>
              <w:rPr>
                <w:noProof/>
                <w:sz w:val="18"/>
                <w:lang w:eastAsia="en-GB"/>
              </w:rPr>
            </w:pPr>
            <w:r>
              <w:rPr>
                <w:noProof/>
                <w:sz w:val="18"/>
                <w:lang w:eastAsia="en-GB"/>
              </w:rPr>
              <w:t>from third countries</w:t>
            </w:r>
          </w:p>
        </w:tc>
        <w:tc>
          <w:tcPr>
            <w:tcW w:w="1448" w:type="dxa"/>
            <w:vAlign w:val="center"/>
          </w:tcPr>
          <w:p>
            <w:pPr>
              <w:jc w:val="center"/>
              <w:rPr>
                <w:noProof/>
                <w:lang w:eastAsia="en-GB"/>
              </w:rPr>
            </w:pPr>
            <w:r>
              <w:rPr>
                <w:noProof/>
                <w:sz w:val="16"/>
                <w:lang w:eastAsia="en-GB"/>
              </w:rPr>
              <w:t xml:space="preserve">within the meaning of Article 21(2)(b) of the Financial Regulation </w:t>
            </w:r>
          </w:p>
        </w:tc>
      </w:tr>
      <w:tr>
        <w:tc>
          <w:tcPr>
            <w:tcW w:w="1080" w:type="dxa"/>
            <w:vAlign w:val="center"/>
          </w:tcPr>
          <w:p>
            <w:pPr>
              <w:jc w:val="center"/>
              <w:rPr>
                <w:rFonts w:eastAsia="Times New Roman"/>
                <w:noProof/>
                <w:szCs w:val="24"/>
                <w:lang w:eastAsia="en-GB"/>
              </w:rPr>
            </w:pPr>
            <w:r>
              <w:rPr>
                <w:rFonts w:eastAsia="Times New Roman"/>
                <w:noProof/>
                <w:color w:val="0000FF"/>
                <w:sz w:val="20"/>
                <w:szCs w:val="20"/>
                <w:lang w:eastAsia="en-GB"/>
              </w:rPr>
              <w:t>1a</w:t>
            </w:r>
          </w:p>
        </w:tc>
        <w:tc>
          <w:tcPr>
            <w:tcW w:w="3960" w:type="dxa"/>
            <w:vAlign w:val="center"/>
          </w:tcPr>
          <w:p>
            <w:pPr>
              <w:spacing w:before="60"/>
              <w:rPr>
                <w:rFonts w:eastAsia="Times New Roman"/>
                <w:noProof/>
                <w:sz w:val="20"/>
                <w:szCs w:val="20"/>
                <w:lang w:eastAsia="en-GB"/>
              </w:rPr>
            </w:pPr>
            <w:r>
              <w:rPr>
                <w:rFonts w:eastAsia="Times New Roman"/>
                <w:noProof/>
                <w:sz w:val="20"/>
                <w:szCs w:val="20"/>
                <w:lang w:eastAsia="en-GB"/>
              </w:rPr>
              <w:t>Article 10 04 04 - Operation of the high-flux reactor (HFR)</w:t>
            </w:r>
            <w:bookmarkStart w:id="53" w:name="N90541557176-1"/>
            <w:bookmarkEnd w:id="53"/>
            <w:r>
              <w:rPr>
                <w:rFonts w:eastAsia="Times New Roman"/>
                <w:noProof/>
                <w:sz w:val="20"/>
                <w:szCs w:val="20"/>
                <w:lang w:eastAsia="en-GB"/>
              </w:rPr>
              <w:t xml:space="preserve"> </w:t>
            </w:r>
          </w:p>
          <w:p>
            <w:pPr>
              <w:spacing w:after="60"/>
              <w:rPr>
                <w:rFonts w:eastAsia="Times New Roman"/>
                <w:noProof/>
                <w:color w:val="0000FF"/>
                <w:sz w:val="20"/>
                <w:szCs w:val="20"/>
                <w:lang w:eastAsia="en-GB"/>
              </w:rPr>
            </w:pPr>
            <w:r>
              <w:rPr>
                <w:rFonts w:eastAsia="Times New Roman"/>
                <w:noProof/>
                <w:sz w:val="20"/>
                <w:szCs w:val="20"/>
                <w:lang w:eastAsia="en-GB"/>
              </w:rPr>
              <w:t>Item 10 04 04 01 - Operation of the high-flux reactor (HFR) - Supplementary HFR programme</w:t>
            </w:r>
          </w:p>
        </w:tc>
        <w:tc>
          <w:tcPr>
            <w:tcW w:w="1080" w:type="dxa"/>
            <w:vAlign w:val="center"/>
          </w:tcPr>
          <w:p>
            <w:pPr>
              <w:jc w:val="center"/>
              <w:rPr>
                <w:rFonts w:eastAsia="Times New Roman"/>
                <w:noProof/>
                <w:szCs w:val="24"/>
                <w:lang w:eastAsia="en-GB"/>
              </w:rPr>
            </w:pPr>
            <w:r>
              <w:rPr>
                <w:rFonts w:eastAsia="Times New Roman"/>
                <w:noProof/>
                <w:color w:val="0000FF"/>
                <w:sz w:val="20"/>
                <w:szCs w:val="20"/>
                <w:lang w:eastAsia="en-GB"/>
              </w:rPr>
              <w:t>DA</w:t>
            </w:r>
          </w:p>
        </w:tc>
        <w:tc>
          <w:tcPr>
            <w:tcW w:w="956" w:type="dxa"/>
            <w:vAlign w:val="center"/>
          </w:tcPr>
          <w:p>
            <w:pPr>
              <w:jc w:val="center"/>
              <w:rPr>
                <w:rFonts w:eastAsia="Times New Roman"/>
                <w:noProof/>
                <w:color w:val="0000FF"/>
                <w:sz w:val="18"/>
                <w:szCs w:val="18"/>
                <w:lang w:eastAsia="en-GB"/>
              </w:rPr>
            </w:pPr>
            <w:r>
              <w:rPr>
                <w:rFonts w:eastAsia="Times New Roman"/>
                <w:noProof/>
                <w:color w:val="0000FF"/>
                <w:sz w:val="18"/>
                <w:szCs w:val="18"/>
                <w:lang w:eastAsia="en-GB"/>
              </w:rPr>
              <w:t>NO</w:t>
            </w:r>
          </w:p>
        </w:tc>
        <w:tc>
          <w:tcPr>
            <w:tcW w:w="1080" w:type="dxa"/>
            <w:vAlign w:val="center"/>
          </w:tcPr>
          <w:p>
            <w:pPr>
              <w:jc w:val="center"/>
              <w:rPr>
                <w:rFonts w:eastAsia="Times New Roman"/>
                <w:noProof/>
                <w:color w:val="0000FF"/>
                <w:sz w:val="18"/>
                <w:szCs w:val="18"/>
                <w:lang w:eastAsia="en-GB"/>
              </w:rPr>
            </w:pPr>
            <w:r>
              <w:rPr>
                <w:rFonts w:eastAsia="Times New Roman"/>
                <w:noProof/>
                <w:color w:val="0000FF"/>
                <w:sz w:val="18"/>
                <w:szCs w:val="18"/>
                <w:lang w:eastAsia="en-GB"/>
              </w:rPr>
              <w:t>NO</w:t>
            </w:r>
          </w:p>
        </w:tc>
        <w:tc>
          <w:tcPr>
            <w:tcW w:w="956" w:type="dxa"/>
            <w:vAlign w:val="center"/>
          </w:tcPr>
          <w:p>
            <w:pPr>
              <w:jc w:val="center"/>
              <w:rPr>
                <w:rFonts w:eastAsia="Times New Roman"/>
                <w:noProof/>
                <w:color w:val="0000FF"/>
                <w:sz w:val="18"/>
                <w:szCs w:val="18"/>
                <w:lang w:eastAsia="en-GB"/>
              </w:rPr>
            </w:pPr>
            <w:r>
              <w:rPr>
                <w:rFonts w:eastAsia="Times New Roman"/>
                <w:noProof/>
                <w:color w:val="0000FF"/>
                <w:sz w:val="18"/>
                <w:szCs w:val="18"/>
                <w:lang w:eastAsia="en-GB"/>
              </w:rPr>
              <w:t>NO</w:t>
            </w:r>
          </w:p>
        </w:tc>
        <w:tc>
          <w:tcPr>
            <w:tcW w:w="1564" w:type="dxa"/>
            <w:gridSpan w:val="2"/>
            <w:vAlign w:val="center"/>
          </w:tcPr>
          <w:p>
            <w:pPr>
              <w:jc w:val="center"/>
              <w:rPr>
                <w:rFonts w:eastAsia="Times New Roman"/>
                <w:noProof/>
                <w:color w:val="0000FF"/>
                <w:sz w:val="18"/>
                <w:szCs w:val="18"/>
                <w:lang w:eastAsia="en-GB"/>
              </w:rPr>
            </w:pPr>
            <w:r>
              <w:rPr>
                <w:rFonts w:eastAsia="Times New Roman"/>
                <w:noProof/>
                <w:color w:val="0000FF"/>
                <w:sz w:val="18"/>
                <w:szCs w:val="18"/>
                <w:lang w:eastAsia="en-GB"/>
              </w:rPr>
              <w:t>YES</w:t>
            </w:r>
          </w:p>
        </w:tc>
      </w:tr>
    </w:tbl>
    <w:p>
      <w:pPr>
        <w:tabs>
          <w:tab w:val="num" w:pos="1134"/>
        </w:tabs>
        <w:ind w:left="1134" w:hanging="283"/>
        <w:rPr>
          <w:noProof/>
          <w:lang w:eastAsia="en-GB"/>
        </w:rPr>
      </w:pPr>
      <w:r>
        <w:rPr>
          <w:noProof/>
          <w:lang w:eastAsia="en-GB"/>
        </w:rPr>
        <w:t>New budget lines requested not applicable</w:t>
      </w:r>
    </w:p>
    <w:p>
      <w:pPr>
        <w:ind w:left="850"/>
        <w:rPr>
          <w:i/>
          <w:noProof/>
          <w:sz w:val="20"/>
          <w:lang w:eastAsia="en-GB"/>
        </w:rPr>
      </w:pPr>
      <w:r>
        <w:rPr>
          <w:i/>
          <w:noProof/>
          <w:u w:val="single"/>
          <w:lang w:eastAsia="en-GB"/>
        </w:rPr>
        <w:t>In order</w:t>
      </w:r>
      <w:r>
        <w:rPr>
          <w:i/>
          <w:noProof/>
          <w:lang w:eastAsia="en-GB"/>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lang w:eastAsia="en-GB"/>
              </w:rPr>
            </w:pPr>
            <w:r>
              <w:rPr>
                <w:noProof/>
                <w:sz w:val="18"/>
                <w:lang w:eastAsia="en-GB"/>
              </w:rPr>
              <w:t>Heading of multiannual financial framework</w:t>
            </w:r>
          </w:p>
        </w:tc>
        <w:tc>
          <w:tcPr>
            <w:tcW w:w="3960" w:type="dxa"/>
            <w:vAlign w:val="center"/>
          </w:tcPr>
          <w:p>
            <w:pPr>
              <w:spacing w:before="60" w:after="60"/>
              <w:jc w:val="center"/>
              <w:rPr>
                <w:noProof/>
                <w:lang w:eastAsia="en-GB"/>
              </w:rPr>
            </w:pPr>
            <w:r>
              <w:rPr>
                <w:noProof/>
                <w:sz w:val="20"/>
                <w:lang w:eastAsia="en-GB"/>
              </w:rPr>
              <w:t>Budget line</w:t>
            </w:r>
          </w:p>
        </w:tc>
        <w:tc>
          <w:tcPr>
            <w:tcW w:w="1080" w:type="dxa"/>
            <w:vAlign w:val="center"/>
          </w:tcPr>
          <w:p>
            <w:pPr>
              <w:spacing w:before="60" w:after="60"/>
              <w:jc w:val="center"/>
              <w:rPr>
                <w:noProof/>
                <w:lang w:eastAsia="en-GB"/>
              </w:rPr>
            </w:pPr>
            <w:r>
              <w:rPr>
                <w:noProof/>
                <w:sz w:val="18"/>
                <w:lang w:eastAsia="en-GB"/>
              </w:rPr>
              <w:t>Type of</w:t>
            </w:r>
            <w:r>
              <w:rPr>
                <w:noProof/>
                <w:lang w:eastAsia="en-GB"/>
              </w:rPr>
              <w:br/>
            </w:r>
            <w:r>
              <w:rPr>
                <w:noProof/>
                <w:sz w:val="18"/>
                <w:lang w:eastAsia="en-GB"/>
              </w:rPr>
              <w:t>expenditure</w:t>
            </w:r>
          </w:p>
        </w:tc>
        <w:tc>
          <w:tcPr>
            <w:tcW w:w="4440" w:type="dxa"/>
            <w:gridSpan w:val="4"/>
            <w:vAlign w:val="center"/>
          </w:tcPr>
          <w:p>
            <w:pPr>
              <w:spacing w:before="60" w:after="60"/>
              <w:jc w:val="center"/>
              <w:rPr>
                <w:noProof/>
                <w:lang w:eastAsia="en-GB"/>
              </w:rPr>
            </w:pPr>
            <w:r>
              <w:rPr>
                <w:noProof/>
                <w:sz w:val="20"/>
                <w:lang w:eastAsia="en-GB"/>
              </w:rPr>
              <w:t xml:space="preserve">Contribution </w:t>
            </w:r>
          </w:p>
        </w:tc>
      </w:tr>
      <w:tr>
        <w:tc>
          <w:tcPr>
            <w:tcW w:w="1080" w:type="dxa"/>
            <w:vMerge/>
            <w:vAlign w:val="center"/>
          </w:tcPr>
          <w:p>
            <w:pPr>
              <w:jc w:val="center"/>
              <w:rPr>
                <w:noProof/>
                <w:lang w:eastAsia="en-GB"/>
              </w:rPr>
            </w:pPr>
          </w:p>
        </w:tc>
        <w:tc>
          <w:tcPr>
            <w:tcW w:w="3960" w:type="dxa"/>
            <w:vAlign w:val="center"/>
          </w:tcPr>
          <w:p>
            <w:pPr>
              <w:rPr>
                <w:noProof/>
                <w:lang w:eastAsia="en-GB"/>
              </w:rPr>
            </w:pPr>
            <w:r>
              <w:rPr>
                <w:noProof/>
                <w:sz w:val="20"/>
                <w:lang w:eastAsia="en-GB"/>
              </w:rPr>
              <w:t xml:space="preserve">Number </w:t>
            </w:r>
            <w:r>
              <w:rPr>
                <w:noProof/>
                <w:lang w:eastAsia="en-GB"/>
              </w:rPr>
              <w:br/>
            </w:r>
          </w:p>
        </w:tc>
        <w:tc>
          <w:tcPr>
            <w:tcW w:w="1080" w:type="dxa"/>
            <w:vAlign w:val="center"/>
          </w:tcPr>
          <w:p>
            <w:pPr>
              <w:jc w:val="center"/>
              <w:rPr>
                <w:noProof/>
                <w:lang w:eastAsia="en-GB"/>
              </w:rPr>
            </w:pPr>
            <w:r>
              <w:rPr>
                <w:noProof/>
                <w:sz w:val="18"/>
                <w:lang w:eastAsia="en-GB"/>
              </w:rPr>
              <w:t>Diff./Non-diff.</w:t>
            </w:r>
          </w:p>
        </w:tc>
        <w:tc>
          <w:tcPr>
            <w:tcW w:w="956" w:type="dxa"/>
            <w:vAlign w:val="center"/>
          </w:tcPr>
          <w:p>
            <w:pPr>
              <w:jc w:val="center"/>
              <w:rPr>
                <w:noProof/>
                <w:sz w:val="18"/>
                <w:lang w:eastAsia="en-GB"/>
              </w:rPr>
            </w:pPr>
            <w:r>
              <w:rPr>
                <w:noProof/>
                <w:sz w:val="18"/>
                <w:lang w:eastAsia="en-GB"/>
              </w:rPr>
              <w:t>from EFTA countries</w:t>
            </w:r>
          </w:p>
        </w:tc>
        <w:tc>
          <w:tcPr>
            <w:tcW w:w="1080" w:type="dxa"/>
            <w:vAlign w:val="center"/>
          </w:tcPr>
          <w:p>
            <w:pPr>
              <w:jc w:val="center"/>
              <w:rPr>
                <w:noProof/>
                <w:sz w:val="18"/>
                <w:lang w:eastAsia="en-GB"/>
              </w:rPr>
            </w:pPr>
            <w:r>
              <w:rPr>
                <w:noProof/>
                <w:sz w:val="18"/>
                <w:lang w:eastAsia="en-GB"/>
              </w:rPr>
              <w:t>from candidate countries</w:t>
            </w:r>
          </w:p>
        </w:tc>
        <w:tc>
          <w:tcPr>
            <w:tcW w:w="956" w:type="dxa"/>
            <w:vAlign w:val="center"/>
          </w:tcPr>
          <w:p>
            <w:pPr>
              <w:jc w:val="center"/>
              <w:rPr>
                <w:noProof/>
                <w:sz w:val="18"/>
                <w:lang w:eastAsia="en-GB"/>
              </w:rPr>
            </w:pPr>
            <w:r>
              <w:rPr>
                <w:noProof/>
                <w:sz w:val="18"/>
                <w:lang w:eastAsia="en-GB"/>
              </w:rPr>
              <w:t>from third countries</w:t>
            </w:r>
          </w:p>
        </w:tc>
        <w:tc>
          <w:tcPr>
            <w:tcW w:w="1448" w:type="dxa"/>
            <w:vAlign w:val="center"/>
          </w:tcPr>
          <w:p>
            <w:pPr>
              <w:jc w:val="center"/>
              <w:rPr>
                <w:noProof/>
                <w:lang w:eastAsia="en-GB"/>
              </w:rPr>
            </w:pPr>
            <w:r>
              <w:rPr>
                <w:noProof/>
                <w:sz w:val="16"/>
                <w:lang w:eastAsia="en-GB"/>
              </w:rPr>
              <w:t xml:space="preserve">within the meaning of Article 21(2)(b) of the Financial Regulation </w:t>
            </w:r>
          </w:p>
        </w:tc>
      </w:tr>
      <w:tr>
        <w:tc>
          <w:tcPr>
            <w:tcW w:w="1080" w:type="dxa"/>
            <w:vAlign w:val="center"/>
          </w:tcPr>
          <w:p>
            <w:pPr>
              <w:jc w:val="center"/>
              <w:rPr>
                <w:noProof/>
                <w:color w:val="0000FF"/>
                <w:lang w:eastAsia="en-GB"/>
              </w:rPr>
            </w:pPr>
          </w:p>
        </w:tc>
        <w:tc>
          <w:tcPr>
            <w:tcW w:w="3960" w:type="dxa"/>
            <w:vAlign w:val="center"/>
          </w:tcPr>
          <w:p>
            <w:pPr>
              <w:spacing w:before="60"/>
              <w:rPr>
                <w:noProof/>
                <w:lang w:eastAsia="en-GB"/>
              </w:rPr>
            </w:pPr>
            <w:r>
              <w:rPr>
                <w:noProof/>
                <w:lang w:eastAsia="en-GB"/>
              </w:rPr>
              <w:t>[XX.YY.YY.YY]</w:t>
            </w:r>
          </w:p>
          <w:p>
            <w:pPr>
              <w:spacing w:after="60"/>
              <w:rPr>
                <w:noProof/>
                <w:color w:val="0000FF"/>
                <w:lang w:eastAsia="en-GB"/>
              </w:rPr>
            </w:pPr>
          </w:p>
        </w:tc>
        <w:tc>
          <w:tcPr>
            <w:tcW w:w="1080" w:type="dxa"/>
            <w:vAlign w:val="center"/>
          </w:tcPr>
          <w:p>
            <w:pPr>
              <w:jc w:val="center"/>
              <w:rPr>
                <w:noProof/>
                <w:color w:val="0000FF"/>
                <w:lang w:eastAsia="en-GB"/>
              </w:rPr>
            </w:pPr>
          </w:p>
        </w:tc>
        <w:tc>
          <w:tcPr>
            <w:tcW w:w="956" w:type="dxa"/>
            <w:vAlign w:val="center"/>
          </w:tcPr>
          <w:p>
            <w:pPr>
              <w:jc w:val="center"/>
              <w:rPr>
                <w:noProof/>
                <w:sz w:val="20"/>
                <w:szCs w:val="20"/>
                <w:lang w:eastAsia="en-GB"/>
              </w:rPr>
            </w:pPr>
            <w:r>
              <w:rPr>
                <w:noProof/>
                <w:sz w:val="20"/>
                <w:szCs w:val="20"/>
                <w:lang w:eastAsia="en-GB"/>
              </w:rPr>
              <w:t>YES/NO</w:t>
            </w:r>
          </w:p>
        </w:tc>
        <w:tc>
          <w:tcPr>
            <w:tcW w:w="1080" w:type="dxa"/>
            <w:vAlign w:val="center"/>
          </w:tcPr>
          <w:p>
            <w:pPr>
              <w:jc w:val="center"/>
              <w:rPr>
                <w:noProof/>
                <w:color w:val="0000FF"/>
                <w:sz w:val="20"/>
                <w:szCs w:val="20"/>
                <w:lang w:eastAsia="en-GB"/>
              </w:rPr>
            </w:pPr>
            <w:r>
              <w:rPr>
                <w:noProof/>
                <w:sz w:val="20"/>
                <w:szCs w:val="20"/>
                <w:lang w:eastAsia="en-GB"/>
              </w:rPr>
              <w:t>YES/NO</w:t>
            </w:r>
          </w:p>
        </w:tc>
        <w:tc>
          <w:tcPr>
            <w:tcW w:w="956" w:type="dxa"/>
            <w:vAlign w:val="center"/>
          </w:tcPr>
          <w:p>
            <w:pPr>
              <w:jc w:val="center"/>
              <w:rPr>
                <w:noProof/>
                <w:color w:val="0000FF"/>
                <w:sz w:val="20"/>
                <w:szCs w:val="20"/>
                <w:lang w:eastAsia="en-GB"/>
              </w:rPr>
            </w:pPr>
            <w:r>
              <w:rPr>
                <w:noProof/>
                <w:sz w:val="20"/>
                <w:szCs w:val="20"/>
                <w:lang w:eastAsia="en-GB"/>
              </w:rPr>
              <w:t>YES/NO</w:t>
            </w:r>
          </w:p>
        </w:tc>
        <w:tc>
          <w:tcPr>
            <w:tcW w:w="1448" w:type="dxa"/>
            <w:vAlign w:val="center"/>
          </w:tcPr>
          <w:p>
            <w:pPr>
              <w:jc w:val="center"/>
              <w:rPr>
                <w:noProof/>
                <w:sz w:val="20"/>
                <w:szCs w:val="20"/>
                <w:lang w:eastAsia="en-GB"/>
              </w:rPr>
            </w:pPr>
            <w:r>
              <w:rPr>
                <w:noProof/>
                <w:sz w:val="20"/>
                <w:szCs w:val="20"/>
                <w:lang w:eastAsia="en-GB"/>
              </w:rPr>
              <w:t>YES/NO</w:t>
            </w:r>
          </w:p>
        </w:tc>
      </w:tr>
    </w:tbl>
    <w:p>
      <w:pPr>
        <w:rPr>
          <w:noProof/>
          <w:lang w:eastAsia="en-GB"/>
        </w:rPr>
        <w:sectPr>
          <w:pgSz w:w="11907" w:h="16840" w:code="1"/>
          <w:pgMar w:top="1134" w:right="1418" w:bottom="1134" w:left="1418" w:header="709" w:footer="709" w:gutter="0"/>
          <w:cols w:space="708"/>
          <w:docGrid w:linePitch="360"/>
        </w:sectPr>
      </w:pPr>
    </w:p>
    <w:p>
      <w:pPr>
        <w:pStyle w:val="ManualHeading2"/>
        <w:rPr>
          <w:noProof/>
          <w:szCs w:val="24"/>
          <w:lang w:eastAsia="en-GB"/>
        </w:rPr>
      </w:pPr>
      <w:bookmarkStart w:id="54" w:name="_Toc514938052"/>
      <w:bookmarkStart w:id="55" w:name="_Toc520485051"/>
      <w:r>
        <w:t>3.2.</w:t>
      </w:r>
      <w:r>
        <w:tab/>
      </w:r>
      <w:r>
        <w:rPr>
          <w:noProof/>
          <w:lang w:eastAsia="en-GB"/>
        </w:rPr>
        <w:t>Estimated financial impact of the proposal on appropriations</w:t>
      </w:r>
      <w:bookmarkEnd w:id="54"/>
      <w:bookmarkEnd w:id="55"/>
      <w:r>
        <w:rPr>
          <w:noProof/>
          <w:lang w:eastAsia="en-GB"/>
        </w:rPr>
        <w:t xml:space="preserve"> </w:t>
      </w:r>
    </w:p>
    <w:p>
      <w:pPr>
        <w:pStyle w:val="ManualHeading3"/>
        <w:rPr>
          <w:noProof/>
          <w:lang w:eastAsia="en-GB"/>
        </w:rPr>
      </w:pPr>
      <w:bookmarkStart w:id="56" w:name="_Toc514938053"/>
      <w:bookmarkStart w:id="57" w:name="_Toc520485052"/>
      <w:r>
        <w:t>3.2.1.</w:t>
      </w:r>
      <w:r>
        <w:tab/>
      </w:r>
      <w:r>
        <w:rPr>
          <w:noProof/>
          <w:lang w:eastAsia="en-GB"/>
        </w:rPr>
        <w:t>Summary of estimated impact on operational appropriations</w:t>
      </w:r>
      <w:bookmarkEnd w:id="56"/>
      <w:bookmarkEnd w:id="57"/>
      <w:r>
        <w:rPr>
          <w:noProof/>
          <w:lang w:eastAsia="en-GB"/>
        </w:rPr>
        <w:t xml:space="preserve"> </w:t>
      </w:r>
    </w:p>
    <w:p>
      <w:pPr>
        <w:pStyle w:val="Text1"/>
        <w:rPr>
          <w:noProof/>
          <w:lang w:eastAsia="en-GB"/>
        </w:rPr>
      </w:pPr>
      <w:r>
        <w:rPr>
          <w:noProof/>
          <w:lang w:eastAsia="en-GB"/>
        </w:rPr>
        <w:sym w:font="Wingdings" w:char="F078"/>
      </w:r>
      <w:r>
        <w:rPr>
          <w:noProof/>
          <w:lang w:eastAsia="en-GB"/>
        </w:rPr>
        <w:tab/>
        <w:t xml:space="preserve">The proposal/initiative does not require the use of operational appropriations </w:t>
      </w:r>
    </w:p>
    <w:p>
      <w:pPr>
        <w:pStyle w:val="Text1"/>
        <w:rPr>
          <w:noProof/>
          <w:lang w:eastAsia="en-GB"/>
        </w:rPr>
      </w:pPr>
      <w:r>
        <w:rPr>
          <w:noProof/>
          <w:lang w:eastAsia="en-GB"/>
        </w:rPr>
        <w:sym w:font="Wingdings" w:char="F0A8"/>
      </w:r>
      <w:r>
        <w:rPr>
          <w:noProof/>
          <w:lang w:eastAsia="en-GB"/>
        </w:rPr>
        <w:tab/>
        <w:t>The proposal/initiative requires the use of operational appropriations, as explained below:</w:t>
      </w:r>
    </w:p>
    <w:p>
      <w:pPr>
        <w:jc w:val="right"/>
        <w:rPr>
          <w:noProof/>
          <w:sz w:val="18"/>
          <w:szCs w:val="18"/>
          <w:lang w:eastAsia="en-GB"/>
        </w:rPr>
      </w:pPr>
      <w:r>
        <w:rPr>
          <w:noProof/>
          <w:sz w:val="18"/>
          <w:szCs w:val="18"/>
          <w:lang w:eastAsia="en-GB"/>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eastAsia="en-GB"/>
              </w:rPr>
            </w:pPr>
            <w:r>
              <w:rPr>
                <w:b/>
                <w:noProof/>
                <w:lang w:eastAsia="en-GB"/>
              </w:rPr>
              <w:t xml:space="preserve">Heading of multiannual financial </w:t>
            </w:r>
            <w:r>
              <w:rPr>
                <w:noProof/>
                <w:lang w:eastAsia="en-GB"/>
              </w:rPr>
              <w:br/>
            </w:r>
            <w:r>
              <w:rPr>
                <w:b/>
                <w:noProof/>
                <w:lang w:eastAsia="en-GB"/>
              </w:rPr>
              <w:t xml:space="preserve">framework </w:t>
            </w:r>
          </w:p>
        </w:tc>
        <w:tc>
          <w:tcPr>
            <w:tcW w:w="1080" w:type="dxa"/>
            <w:vAlign w:val="center"/>
          </w:tcPr>
          <w:p>
            <w:pPr>
              <w:spacing w:before="60" w:after="60"/>
              <w:jc w:val="center"/>
              <w:rPr>
                <w:noProof/>
                <w:lang w:eastAsia="en-GB"/>
              </w:rPr>
            </w:pPr>
            <w:r>
              <w:rPr>
                <w:noProof/>
                <w:lang w:eastAsia="en-GB"/>
              </w:rPr>
              <w:t>1a</w:t>
            </w:r>
          </w:p>
        </w:tc>
        <w:tc>
          <w:tcPr>
            <w:tcW w:w="7817" w:type="dxa"/>
            <w:vAlign w:val="center"/>
          </w:tcPr>
          <w:p>
            <w:pPr>
              <w:spacing w:before="60" w:after="60"/>
              <w:rPr>
                <w:noProof/>
                <w:lang w:eastAsia="en-GB"/>
              </w:rPr>
            </w:pPr>
            <w:r>
              <w:rPr>
                <w:rFonts w:eastAsia="Times New Roman"/>
                <w:bCs/>
                <w:noProof/>
                <w:color w:val="000000"/>
                <w:szCs w:val="24"/>
                <w:lang w:eastAsia="en-GB"/>
              </w:rPr>
              <w:t>Competitiveness for Growth and Jobs</w:t>
            </w:r>
          </w:p>
        </w:tc>
      </w:tr>
    </w:tbl>
    <w:p>
      <w:pPr>
        <w:jc w:val="center"/>
        <w:rPr>
          <w:noProof/>
          <w:sz w:val="16"/>
          <w:lang w:eastAsia="en-GB"/>
        </w:rPr>
      </w:pP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794"/>
        <w:gridCol w:w="992"/>
        <w:gridCol w:w="851"/>
        <w:gridCol w:w="850"/>
        <w:gridCol w:w="992"/>
        <w:gridCol w:w="993"/>
        <w:gridCol w:w="1701"/>
      </w:tblGrid>
      <w:tr>
        <w:tc>
          <w:tcPr>
            <w:tcW w:w="3960" w:type="dxa"/>
            <w:vAlign w:val="center"/>
          </w:tcPr>
          <w:p>
            <w:pPr>
              <w:jc w:val="center"/>
              <w:rPr>
                <w:noProof/>
                <w:lang w:eastAsia="en-GB"/>
              </w:rPr>
            </w:pPr>
            <w:r>
              <w:rPr>
                <w:noProof/>
                <w:lang w:eastAsia="en-GB"/>
              </w:rPr>
              <w:t>DG: JRC</w:t>
            </w:r>
          </w:p>
        </w:tc>
        <w:tc>
          <w:tcPr>
            <w:tcW w:w="1560" w:type="dxa"/>
            <w:gridSpan w:val="2"/>
          </w:tcPr>
          <w:p>
            <w:pPr>
              <w:rPr>
                <w:noProof/>
                <w:sz w:val="20"/>
                <w:lang w:eastAsia="en-GB"/>
              </w:rPr>
            </w:pPr>
          </w:p>
        </w:tc>
        <w:tc>
          <w:tcPr>
            <w:tcW w:w="794" w:type="dxa"/>
          </w:tcPr>
          <w:p>
            <w:pPr>
              <w:jc w:val="center"/>
              <w:rPr>
                <w:noProof/>
                <w:sz w:val="20"/>
                <w:lang w:eastAsia="en-GB"/>
              </w:rPr>
            </w:pPr>
          </w:p>
        </w:tc>
        <w:tc>
          <w:tcPr>
            <w:tcW w:w="992"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2020</w:t>
            </w:r>
            <w:r>
              <w:rPr>
                <w:rStyle w:val="FootnoteReference"/>
                <w:noProof/>
              </w:rPr>
              <w:footnoteReference w:id="11"/>
            </w:r>
          </w:p>
        </w:tc>
        <w:tc>
          <w:tcPr>
            <w:tcW w:w="851"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2021</w:t>
            </w:r>
          </w:p>
        </w:tc>
        <w:tc>
          <w:tcPr>
            <w:tcW w:w="850"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2022</w:t>
            </w:r>
          </w:p>
        </w:tc>
        <w:tc>
          <w:tcPr>
            <w:tcW w:w="992"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2023</w:t>
            </w:r>
          </w:p>
        </w:tc>
        <w:tc>
          <w:tcPr>
            <w:tcW w:w="993" w:type="dxa"/>
            <w:vAlign w:val="center"/>
          </w:tcPr>
          <w:p>
            <w:pPr>
              <w:jc w:val="center"/>
              <w:rPr>
                <w:b/>
                <w:noProof/>
                <w:sz w:val="20"/>
                <w:lang w:eastAsia="en-GB"/>
              </w:rPr>
            </w:pPr>
            <w:r>
              <w:rPr>
                <w:noProof/>
                <w:sz w:val="20"/>
                <w:lang w:eastAsia="en-GB"/>
              </w:rPr>
              <w:t>Year</w:t>
            </w:r>
            <w:r>
              <w:rPr>
                <w:noProof/>
                <w:lang w:eastAsia="en-GB"/>
              </w:rPr>
              <w:br/>
            </w:r>
            <w:r>
              <w:rPr>
                <w:b/>
                <w:noProof/>
                <w:sz w:val="20"/>
                <w:lang w:eastAsia="en-GB"/>
              </w:rPr>
              <w:t>&gt;-2023</w:t>
            </w:r>
          </w:p>
        </w:tc>
        <w:tc>
          <w:tcPr>
            <w:tcW w:w="1701" w:type="dxa"/>
            <w:vAlign w:val="center"/>
          </w:tcPr>
          <w:p>
            <w:pPr>
              <w:jc w:val="center"/>
              <w:rPr>
                <w:b/>
                <w:noProof/>
                <w:sz w:val="20"/>
                <w:lang w:eastAsia="en-GB"/>
              </w:rPr>
            </w:pPr>
            <w:r>
              <w:rPr>
                <w:b/>
                <w:noProof/>
                <w:sz w:val="20"/>
                <w:lang w:eastAsia="en-GB"/>
              </w:rPr>
              <w:t>TOTAL</w:t>
            </w:r>
          </w:p>
        </w:tc>
      </w:tr>
      <w:tr>
        <w:trPr>
          <w:trHeight w:val="213"/>
        </w:trPr>
        <w:tc>
          <w:tcPr>
            <w:tcW w:w="6314" w:type="dxa"/>
            <w:gridSpan w:val="4"/>
            <w:vAlign w:val="center"/>
          </w:tcPr>
          <w:p>
            <w:pPr>
              <w:spacing w:before="20" w:after="20"/>
              <w:rPr>
                <w:noProof/>
                <w:sz w:val="21"/>
                <w:lang w:eastAsia="en-GB"/>
              </w:rPr>
            </w:pPr>
            <w:r>
              <w:rPr>
                <w:noProof/>
                <w:sz w:val="21"/>
                <w:lang w:eastAsia="en-GB"/>
              </w:rPr>
              <w:sym w:font="Wingdings" w:char="F09F"/>
            </w:r>
            <w:r>
              <w:rPr>
                <w:noProof/>
                <w:sz w:val="21"/>
                <w:lang w:eastAsia="en-GB"/>
              </w:rPr>
              <w:t xml:space="preserve"> Operational appropriations </w:t>
            </w:r>
          </w:p>
        </w:tc>
        <w:tc>
          <w:tcPr>
            <w:tcW w:w="992" w:type="dxa"/>
            <w:vAlign w:val="center"/>
          </w:tcPr>
          <w:p>
            <w:pPr>
              <w:rPr>
                <w:noProof/>
                <w:sz w:val="20"/>
                <w:lang w:eastAsia="en-GB"/>
              </w:rPr>
            </w:pPr>
          </w:p>
        </w:tc>
        <w:tc>
          <w:tcPr>
            <w:tcW w:w="851" w:type="dxa"/>
            <w:vAlign w:val="center"/>
          </w:tcPr>
          <w:p>
            <w:pPr>
              <w:rPr>
                <w:noProof/>
                <w:sz w:val="20"/>
                <w:lang w:eastAsia="en-GB"/>
              </w:rPr>
            </w:pPr>
          </w:p>
        </w:tc>
        <w:tc>
          <w:tcPr>
            <w:tcW w:w="850" w:type="dxa"/>
            <w:vAlign w:val="center"/>
          </w:tcPr>
          <w:p>
            <w:pPr>
              <w:rPr>
                <w:noProof/>
                <w:sz w:val="20"/>
                <w:lang w:eastAsia="en-GB"/>
              </w:rPr>
            </w:pPr>
          </w:p>
        </w:tc>
        <w:tc>
          <w:tcPr>
            <w:tcW w:w="992" w:type="dxa"/>
            <w:vAlign w:val="center"/>
          </w:tcPr>
          <w:p>
            <w:pPr>
              <w:rPr>
                <w:noProof/>
                <w:sz w:val="20"/>
                <w:lang w:eastAsia="en-GB"/>
              </w:rPr>
            </w:pPr>
          </w:p>
        </w:tc>
        <w:tc>
          <w:tcPr>
            <w:tcW w:w="993" w:type="dxa"/>
          </w:tcPr>
          <w:p>
            <w:pPr>
              <w:rPr>
                <w:b/>
                <w:noProof/>
                <w:sz w:val="20"/>
                <w:lang w:eastAsia="en-GB"/>
              </w:rPr>
            </w:pPr>
          </w:p>
        </w:tc>
        <w:tc>
          <w:tcPr>
            <w:tcW w:w="1701" w:type="dxa"/>
            <w:vAlign w:val="center"/>
          </w:tcPr>
          <w:p>
            <w:pPr>
              <w:rPr>
                <w:b/>
                <w:noProof/>
                <w:sz w:val="20"/>
                <w:lang w:eastAsia="en-GB"/>
              </w:rPr>
            </w:pPr>
          </w:p>
        </w:tc>
      </w:tr>
      <w:tr>
        <w:trPr>
          <w:trHeight w:val="501"/>
        </w:trPr>
        <w:tc>
          <w:tcPr>
            <w:tcW w:w="3960" w:type="dxa"/>
            <w:vMerge w:val="restart"/>
            <w:vAlign w:val="center"/>
          </w:tcPr>
          <w:p>
            <w:pPr>
              <w:rPr>
                <w:noProof/>
                <w:lang w:eastAsia="en-GB"/>
              </w:rPr>
            </w:pPr>
            <w:r>
              <w:rPr>
                <w:noProof/>
                <w:sz w:val="20"/>
                <w:lang w:eastAsia="en-GB"/>
              </w:rPr>
              <w:t>Budget line</w:t>
            </w:r>
            <w:r>
              <w:rPr>
                <w:rStyle w:val="FootnoteReference"/>
                <w:noProof/>
              </w:rPr>
              <w:footnoteReference w:id="12"/>
            </w:r>
            <w:r>
              <w:rPr>
                <w:noProof/>
                <w:sz w:val="20"/>
                <w:lang w:eastAsia="en-GB"/>
              </w:rPr>
              <w:t xml:space="preserve"> 10 04 04 01</w:t>
            </w:r>
          </w:p>
        </w:tc>
        <w:tc>
          <w:tcPr>
            <w:tcW w:w="1440" w:type="dxa"/>
            <w:vAlign w:val="center"/>
          </w:tcPr>
          <w:p>
            <w:pPr>
              <w:spacing w:before="20" w:after="20"/>
              <w:rPr>
                <w:noProof/>
                <w:sz w:val="18"/>
                <w:lang w:eastAsia="en-GB"/>
              </w:rPr>
            </w:pPr>
            <w:r>
              <w:rPr>
                <w:noProof/>
                <w:sz w:val="18"/>
                <w:lang w:eastAsia="en-GB"/>
              </w:rPr>
              <w:t>Commitments</w:t>
            </w:r>
          </w:p>
        </w:tc>
        <w:tc>
          <w:tcPr>
            <w:tcW w:w="914" w:type="dxa"/>
            <w:gridSpan w:val="2"/>
            <w:vAlign w:val="center"/>
          </w:tcPr>
          <w:p>
            <w:pPr>
              <w:spacing w:before="20" w:after="20"/>
              <w:jc w:val="center"/>
              <w:rPr>
                <w:noProof/>
                <w:sz w:val="14"/>
                <w:lang w:eastAsia="en-GB"/>
              </w:rPr>
            </w:pPr>
            <w:r>
              <w:rPr>
                <w:noProof/>
                <w:sz w:val="14"/>
                <w:lang w:eastAsia="en-GB"/>
              </w:rPr>
              <w:t>(1a)</w:t>
            </w:r>
          </w:p>
        </w:tc>
        <w:tc>
          <w:tcPr>
            <w:tcW w:w="992" w:type="dxa"/>
            <w:vAlign w:val="center"/>
          </w:tcPr>
          <w:p>
            <w:pPr>
              <w:spacing w:before="20" w:after="20"/>
              <w:jc w:val="center"/>
              <w:rPr>
                <w:noProof/>
                <w:sz w:val="20"/>
                <w:lang w:eastAsia="en-GB"/>
              </w:rPr>
            </w:pPr>
            <w:r>
              <w:rPr>
                <w:rFonts w:eastAsia="Times New Roman"/>
                <w:noProof/>
                <w:sz w:val="20"/>
                <w:szCs w:val="20"/>
                <w:lang w:eastAsia="en-GB"/>
              </w:rPr>
              <w:t>p.m.</w:t>
            </w:r>
          </w:p>
        </w:tc>
        <w:tc>
          <w:tcPr>
            <w:tcW w:w="851" w:type="dxa"/>
            <w:vAlign w:val="center"/>
          </w:tcPr>
          <w:p>
            <w:pPr>
              <w:spacing w:before="20" w:after="20"/>
              <w:jc w:val="center"/>
              <w:rPr>
                <w:noProof/>
                <w:sz w:val="20"/>
                <w:lang w:eastAsia="en-GB"/>
              </w:rPr>
            </w:pPr>
            <w:r>
              <w:rPr>
                <w:rFonts w:eastAsia="Times New Roman"/>
                <w:noProof/>
                <w:sz w:val="20"/>
                <w:szCs w:val="20"/>
                <w:lang w:eastAsia="en-GB"/>
              </w:rPr>
              <w:t>p.m.</w:t>
            </w:r>
          </w:p>
        </w:tc>
        <w:tc>
          <w:tcPr>
            <w:tcW w:w="850" w:type="dxa"/>
            <w:vAlign w:val="center"/>
          </w:tcPr>
          <w:p>
            <w:pPr>
              <w:spacing w:before="20" w:after="20"/>
              <w:jc w:val="center"/>
              <w:rPr>
                <w:noProof/>
                <w:sz w:val="20"/>
                <w:lang w:eastAsia="en-GB"/>
              </w:rPr>
            </w:pPr>
            <w:r>
              <w:rPr>
                <w:rFonts w:eastAsia="Times New Roman"/>
                <w:noProof/>
                <w:sz w:val="20"/>
                <w:szCs w:val="20"/>
                <w:lang w:eastAsia="en-GB"/>
              </w:rPr>
              <w:t>p.m.</w:t>
            </w:r>
          </w:p>
        </w:tc>
        <w:tc>
          <w:tcPr>
            <w:tcW w:w="992" w:type="dxa"/>
            <w:vAlign w:val="center"/>
          </w:tcPr>
          <w:p>
            <w:pPr>
              <w:spacing w:before="20" w:after="20"/>
              <w:jc w:val="center"/>
              <w:rPr>
                <w:noProof/>
                <w:sz w:val="20"/>
                <w:lang w:eastAsia="en-GB"/>
              </w:rPr>
            </w:pPr>
            <w:r>
              <w:rPr>
                <w:rFonts w:eastAsia="Times New Roman"/>
                <w:noProof/>
                <w:sz w:val="20"/>
                <w:szCs w:val="20"/>
                <w:lang w:eastAsia="en-GB"/>
              </w:rPr>
              <w:t>p.m.</w:t>
            </w:r>
          </w:p>
        </w:tc>
        <w:tc>
          <w:tcPr>
            <w:tcW w:w="993" w:type="dxa"/>
            <w:vAlign w:val="center"/>
          </w:tcPr>
          <w:p>
            <w:pPr>
              <w:spacing w:before="20" w:after="20"/>
              <w:jc w:val="center"/>
              <w:rPr>
                <w:b/>
                <w:noProof/>
                <w:sz w:val="20"/>
                <w:lang w:eastAsia="en-GB"/>
              </w:rPr>
            </w:pPr>
          </w:p>
        </w:tc>
        <w:tc>
          <w:tcPr>
            <w:tcW w:w="1701" w:type="dxa"/>
            <w:vAlign w:val="center"/>
          </w:tcPr>
          <w:p>
            <w:pPr>
              <w:spacing w:before="20" w:after="20"/>
              <w:jc w:val="center"/>
              <w:rPr>
                <w:b/>
                <w:noProof/>
                <w:sz w:val="20"/>
                <w:lang w:eastAsia="en-GB"/>
              </w:rPr>
            </w:pPr>
            <w:r>
              <w:rPr>
                <w:b/>
                <w:noProof/>
                <w:sz w:val="20"/>
                <w:lang w:eastAsia="en-GB"/>
              </w:rPr>
              <w:t>p.m.</w:t>
            </w:r>
          </w:p>
        </w:tc>
      </w:tr>
      <w:tr>
        <w:trPr>
          <w:trHeight w:val="423"/>
        </w:trPr>
        <w:tc>
          <w:tcPr>
            <w:tcW w:w="3960" w:type="dxa"/>
            <w:vMerge/>
          </w:tcPr>
          <w:p>
            <w:pPr>
              <w:jc w:val="center"/>
              <w:rPr>
                <w:noProof/>
                <w:sz w:val="20"/>
                <w:lang w:eastAsia="en-GB"/>
              </w:rPr>
            </w:pPr>
          </w:p>
        </w:tc>
        <w:tc>
          <w:tcPr>
            <w:tcW w:w="1440" w:type="dxa"/>
            <w:vAlign w:val="center"/>
          </w:tcPr>
          <w:p>
            <w:pPr>
              <w:spacing w:before="20" w:after="20"/>
              <w:rPr>
                <w:noProof/>
                <w:sz w:val="18"/>
                <w:lang w:eastAsia="en-GB"/>
              </w:rPr>
            </w:pPr>
            <w:r>
              <w:rPr>
                <w:noProof/>
                <w:sz w:val="18"/>
                <w:lang w:eastAsia="en-GB"/>
              </w:rPr>
              <w:t>Payments</w:t>
            </w:r>
          </w:p>
        </w:tc>
        <w:tc>
          <w:tcPr>
            <w:tcW w:w="914" w:type="dxa"/>
            <w:gridSpan w:val="2"/>
            <w:vAlign w:val="center"/>
          </w:tcPr>
          <w:p>
            <w:pPr>
              <w:spacing w:before="20" w:after="20"/>
              <w:jc w:val="center"/>
              <w:rPr>
                <w:noProof/>
                <w:sz w:val="14"/>
                <w:lang w:eastAsia="en-GB"/>
              </w:rPr>
            </w:pPr>
            <w:r>
              <w:rPr>
                <w:noProof/>
                <w:sz w:val="14"/>
                <w:lang w:eastAsia="en-GB"/>
              </w:rPr>
              <w:t>(2a)</w:t>
            </w:r>
          </w:p>
        </w:tc>
        <w:tc>
          <w:tcPr>
            <w:tcW w:w="992" w:type="dxa"/>
            <w:vAlign w:val="center"/>
          </w:tcPr>
          <w:p>
            <w:pPr>
              <w:spacing w:before="20" w:after="20"/>
              <w:jc w:val="center"/>
              <w:rPr>
                <w:noProof/>
                <w:sz w:val="20"/>
                <w:lang w:eastAsia="en-GB"/>
              </w:rPr>
            </w:pPr>
            <w:r>
              <w:rPr>
                <w:rFonts w:eastAsia="Times New Roman"/>
                <w:noProof/>
                <w:sz w:val="20"/>
                <w:szCs w:val="20"/>
                <w:lang w:eastAsia="en-GB"/>
              </w:rPr>
              <w:t>p.m.</w:t>
            </w:r>
          </w:p>
        </w:tc>
        <w:tc>
          <w:tcPr>
            <w:tcW w:w="851" w:type="dxa"/>
            <w:vAlign w:val="center"/>
          </w:tcPr>
          <w:p>
            <w:pPr>
              <w:spacing w:before="20" w:after="20"/>
              <w:jc w:val="center"/>
              <w:rPr>
                <w:noProof/>
                <w:sz w:val="20"/>
                <w:lang w:eastAsia="en-GB"/>
              </w:rPr>
            </w:pPr>
            <w:r>
              <w:rPr>
                <w:rFonts w:eastAsia="Times New Roman"/>
                <w:noProof/>
                <w:sz w:val="20"/>
                <w:szCs w:val="20"/>
                <w:lang w:eastAsia="en-GB"/>
              </w:rPr>
              <w:t>p.m.</w:t>
            </w:r>
          </w:p>
        </w:tc>
        <w:tc>
          <w:tcPr>
            <w:tcW w:w="850" w:type="dxa"/>
            <w:vAlign w:val="center"/>
          </w:tcPr>
          <w:p>
            <w:pPr>
              <w:spacing w:before="20" w:after="20"/>
              <w:jc w:val="center"/>
              <w:rPr>
                <w:noProof/>
                <w:sz w:val="20"/>
                <w:lang w:eastAsia="en-GB"/>
              </w:rPr>
            </w:pPr>
            <w:r>
              <w:rPr>
                <w:rFonts w:eastAsia="Times New Roman"/>
                <w:noProof/>
                <w:sz w:val="20"/>
                <w:szCs w:val="20"/>
                <w:lang w:eastAsia="en-GB"/>
              </w:rPr>
              <w:t>p.m.</w:t>
            </w:r>
          </w:p>
        </w:tc>
        <w:tc>
          <w:tcPr>
            <w:tcW w:w="992" w:type="dxa"/>
            <w:vAlign w:val="center"/>
          </w:tcPr>
          <w:p>
            <w:pPr>
              <w:spacing w:before="20" w:after="20"/>
              <w:jc w:val="center"/>
              <w:rPr>
                <w:noProof/>
                <w:sz w:val="20"/>
                <w:lang w:eastAsia="en-GB"/>
              </w:rPr>
            </w:pPr>
            <w:r>
              <w:rPr>
                <w:rFonts w:eastAsia="Times New Roman"/>
                <w:noProof/>
                <w:sz w:val="20"/>
                <w:szCs w:val="20"/>
                <w:lang w:eastAsia="en-GB"/>
              </w:rPr>
              <w:t>p.m.</w:t>
            </w:r>
          </w:p>
        </w:tc>
        <w:tc>
          <w:tcPr>
            <w:tcW w:w="993" w:type="dxa"/>
            <w:vAlign w:val="center"/>
          </w:tcPr>
          <w:p>
            <w:pPr>
              <w:spacing w:before="20" w:after="20"/>
              <w:jc w:val="center"/>
              <w:rPr>
                <w:noProof/>
                <w:lang w:eastAsia="en-GB"/>
              </w:rPr>
            </w:pPr>
            <w:r>
              <w:rPr>
                <w:rFonts w:eastAsia="Times New Roman"/>
                <w:noProof/>
                <w:sz w:val="20"/>
                <w:szCs w:val="20"/>
                <w:lang w:eastAsia="en-GB"/>
              </w:rPr>
              <w:t>p.m.</w:t>
            </w:r>
          </w:p>
        </w:tc>
        <w:tc>
          <w:tcPr>
            <w:tcW w:w="1701" w:type="dxa"/>
            <w:vAlign w:val="center"/>
          </w:tcPr>
          <w:p>
            <w:pPr>
              <w:spacing w:before="20" w:after="20"/>
              <w:jc w:val="center"/>
              <w:rPr>
                <w:b/>
                <w:noProof/>
                <w:sz w:val="20"/>
                <w:lang w:eastAsia="en-GB"/>
              </w:rPr>
            </w:pPr>
            <w:r>
              <w:rPr>
                <w:b/>
                <w:noProof/>
                <w:sz w:val="20"/>
                <w:lang w:eastAsia="en-GB"/>
              </w:rPr>
              <w:t>p.m.</w:t>
            </w:r>
          </w:p>
        </w:tc>
      </w:tr>
      <w:tr>
        <w:trPr>
          <w:trHeight w:val="231"/>
        </w:trPr>
        <w:tc>
          <w:tcPr>
            <w:tcW w:w="6314" w:type="dxa"/>
            <w:gridSpan w:val="4"/>
            <w:vAlign w:val="center"/>
          </w:tcPr>
          <w:p>
            <w:pPr>
              <w:spacing w:before="20" w:after="20"/>
              <w:rPr>
                <w:noProof/>
                <w:lang w:eastAsia="en-GB"/>
              </w:rPr>
            </w:pPr>
            <w:r>
              <w:rPr>
                <w:noProof/>
                <w:sz w:val="21"/>
                <w:lang w:eastAsia="en-GB"/>
              </w:rPr>
              <w:t>Appropriations of an administrative nature financed from the envelope of specific programmes</w:t>
            </w:r>
            <w:r>
              <w:rPr>
                <w:rStyle w:val="FootnoteReference"/>
                <w:noProof/>
              </w:rPr>
              <w:footnoteReference w:id="13"/>
            </w:r>
            <w:r>
              <w:rPr>
                <w:noProof/>
                <w:sz w:val="21"/>
                <w:lang w:eastAsia="en-GB"/>
              </w:rPr>
              <w:t xml:space="preserve"> </w:t>
            </w:r>
          </w:p>
          <w:p>
            <w:pPr>
              <w:spacing w:after="0"/>
              <w:rPr>
                <w:noProof/>
                <w:lang w:eastAsia="en-GB"/>
              </w:rPr>
            </w:pPr>
          </w:p>
        </w:tc>
        <w:tc>
          <w:tcPr>
            <w:tcW w:w="992" w:type="dxa"/>
            <w:vAlign w:val="center"/>
          </w:tcPr>
          <w:p>
            <w:pPr>
              <w:jc w:val="center"/>
              <w:rPr>
                <w:b/>
                <w:noProof/>
                <w:sz w:val="20"/>
                <w:lang w:eastAsia="en-GB"/>
              </w:rPr>
            </w:pPr>
          </w:p>
        </w:tc>
        <w:tc>
          <w:tcPr>
            <w:tcW w:w="851" w:type="dxa"/>
            <w:vAlign w:val="center"/>
          </w:tcPr>
          <w:p>
            <w:pPr>
              <w:jc w:val="center"/>
              <w:rPr>
                <w:b/>
                <w:noProof/>
                <w:sz w:val="20"/>
                <w:lang w:eastAsia="en-GB"/>
              </w:rPr>
            </w:pPr>
          </w:p>
        </w:tc>
        <w:tc>
          <w:tcPr>
            <w:tcW w:w="850" w:type="dxa"/>
            <w:vAlign w:val="center"/>
          </w:tcPr>
          <w:p>
            <w:pPr>
              <w:jc w:val="center"/>
              <w:rPr>
                <w:b/>
                <w:noProof/>
                <w:sz w:val="20"/>
                <w:lang w:eastAsia="en-GB"/>
              </w:rPr>
            </w:pPr>
          </w:p>
        </w:tc>
        <w:tc>
          <w:tcPr>
            <w:tcW w:w="992" w:type="dxa"/>
            <w:vAlign w:val="center"/>
          </w:tcPr>
          <w:p>
            <w:pPr>
              <w:jc w:val="center"/>
              <w:rPr>
                <w:b/>
                <w:noProof/>
                <w:sz w:val="20"/>
                <w:lang w:eastAsia="en-GB"/>
              </w:rPr>
            </w:pPr>
          </w:p>
        </w:tc>
        <w:tc>
          <w:tcPr>
            <w:tcW w:w="993" w:type="dxa"/>
          </w:tcPr>
          <w:p>
            <w:pPr>
              <w:jc w:val="center"/>
              <w:rPr>
                <w:b/>
                <w:noProof/>
                <w:sz w:val="20"/>
                <w:lang w:eastAsia="en-GB"/>
              </w:rPr>
            </w:pPr>
          </w:p>
        </w:tc>
        <w:tc>
          <w:tcPr>
            <w:tcW w:w="1701" w:type="dxa"/>
            <w:vAlign w:val="center"/>
          </w:tcPr>
          <w:p>
            <w:pPr>
              <w:jc w:val="center"/>
              <w:rPr>
                <w:b/>
                <w:noProof/>
                <w:sz w:val="20"/>
                <w:lang w:eastAsia="en-GB"/>
              </w:rPr>
            </w:pPr>
          </w:p>
        </w:tc>
      </w:tr>
      <w:tr>
        <w:trPr>
          <w:trHeight w:val="319"/>
        </w:trPr>
        <w:tc>
          <w:tcPr>
            <w:tcW w:w="3960" w:type="dxa"/>
            <w:vAlign w:val="center"/>
          </w:tcPr>
          <w:p>
            <w:pPr>
              <w:spacing w:before="60" w:after="60"/>
              <w:rPr>
                <w:noProof/>
                <w:lang w:eastAsia="en-GB"/>
              </w:rPr>
            </w:pPr>
            <w:r>
              <w:rPr>
                <w:noProof/>
                <w:sz w:val="20"/>
                <w:lang w:eastAsia="en-GB"/>
              </w:rPr>
              <w:t>Budget line</w:t>
            </w:r>
          </w:p>
        </w:tc>
        <w:tc>
          <w:tcPr>
            <w:tcW w:w="1440" w:type="dxa"/>
            <w:vAlign w:val="center"/>
          </w:tcPr>
          <w:p>
            <w:pPr>
              <w:spacing w:before="40" w:after="40"/>
              <w:jc w:val="right"/>
              <w:rPr>
                <w:noProof/>
                <w:sz w:val="18"/>
                <w:lang w:eastAsia="en-GB"/>
              </w:rPr>
            </w:pPr>
          </w:p>
        </w:tc>
        <w:tc>
          <w:tcPr>
            <w:tcW w:w="914" w:type="dxa"/>
            <w:gridSpan w:val="2"/>
            <w:vAlign w:val="center"/>
          </w:tcPr>
          <w:p>
            <w:pPr>
              <w:spacing w:before="40" w:after="40"/>
              <w:jc w:val="center"/>
              <w:rPr>
                <w:noProof/>
                <w:sz w:val="14"/>
                <w:lang w:eastAsia="en-GB"/>
              </w:rPr>
            </w:pPr>
            <w:r>
              <w:rPr>
                <w:noProof/>
                <w:sz w:val="14"/>
                <w:lang w:eastAsia="en-GB"/>
              </w:rPr>
              <w:t>(3)</w:t>
            </w:r>
          </w:p>
        </w:tc>
        <w:tc>
          <w:tcPr>
            <w:tcW w:w="992" w:type="dxa"/>
            <w:vAlign w:val="center"/>
          </w:tcPr>
          <w:p>
            <w:pPr>
              <w:spacing w:before="40" w:after="40"/>
              <w:jc w:val="center"/>
              <w:rPr>
                <w:b/>
                <w:noProof/>
                <w:sz w:val="20"/>
                <w:lang w:eastAsia="en-GB"/>
              </w:rPr>
            </w:pPr>
            <w:r>
              <w:rPr>
                <w:rFonts w:eastAsia="Times New Roman"/>
                <w:noProof/>
                <w:sz w:val="20"/>
                <w:szCs w:val="20"/>
                <w:lang w:eastAsia="en-GB"/>
              </w:rPr>
              <w:t>p.m.</w:t>
            </w:r>
          </w:p>
        </w:tc>
        <w:tc>
          <w:tcPr>
            <w:tcW w:w="851" w:type="dxa"/>
            <w:vAlign w:val="center"/>
          </w:tcPr>
          <w:p>
            <w:pPr>
              <w:spacing w:before="40" w:after="40"/>
              <w:jc w:val="center"/>
              <w:rPr>
                <w:b/>
                <w:noProof/>
                <w:sz w:val="20"/>
                <w:lang w:eastAsia="en-GB"/>
              </w:rPr>
            </w:pPr>
            <w:r>
              <w:rPr>
                <w:rFonts w:eastAsia="Times New Roman"/>
                <w:noProof/>
                <w:sz w:val="20"/>
                <w:szCs w:val="20"/>
                <w:lang w:eastAsia="en-GB"/>
              </w:rPr>
              <w:t>p.m.</w:t>
            </w:r>
          </w:p>
        </w:tc>
        <w:tc>
          <w:tcPr>
            <w:tcW w:w="850" w:type="dxa"/>
            <w:vAlign w:val="center"/>
          </w:tcPr>
          <w:p>
            <w:pPr>
              <w:spacing w:before="40" w:after="40"/>
              <w:jc w:val="center"/>
              <w:rPr>
                <w:b/>
                <w:noProof/>
                <w:sz w:val="20"/>
                <w:lang w:eastAsia="en-GB"/>
              </w:rPr>
            </w:pPr>
            <w:r>
              <w:rPr>
                <w:rFonts w:eastAsia="Times New Roman"/>
                <w:noProof/>
                <w:sz w:val="20"/>
                <w:szCs w:val="20"/>
                <w:lang w:eastAsia="en-GB"/>
              </w:rPr>
              <w:t>p.m.</w:t>
            </w:r>
          </w:p>
        </w:tc>
        <w:tc>
          <w:tcPr>
            <w:tcW w:w="992" w:type="dxa"/>
            <w:vAlign w:val="center"/>
          </w:tcPr>
          <w:p>
            <w:pPr>
              <w:spacing w:before="40" w:after="40"/>
              <w:jc w:val="center"/>
              <w:rPr>
                <w:b/>
                <w:noProof/>
                <w:sz w:val="20"/>
                <w:lang w:eastAsia="en-GB"/>
              </w:rPr>
            </w:pPr>
            <w:r>
              <w:rPr>
                <w:rFonts w:eastAsia="Times New Roman"/>
                <w:noProof/>
                <w:sz w:val="20"/>
                <w:szCs w:val="20"/>
                <w:lang w:eastAsia="en-GB"/>
              </w:rPr>
              <w:t>p.m.</w:t>
            </w:r>
          </w:p>
        </w:tc>
        <w:tc>
          <w:tcPr>
            <w:tcW w:w="993" w:type="dxa"/>
            <w:vAlign w:val="center"/>
          </w:tcPr>
          <w:p>
            <w:pPr>
              <w:spacing w:before="40" w:after="40"/>
              <w:jc w:val="center"/>
              <w:rPr>
                <w:b/>
                <w:noProof/>
                <w:sz w:val="20"/>
                <w:lang w:eastAsia="en-GB"/>
              </w:rPr>
            </w:pPr>
          </w:p>
        </w:tc>
        <w:tc>
          <w:tcPr>
            <w:tcW w:w="1701" w:type="dxa"/>
            <w:vAlign w:val="center"/>
          </w:tcPr>
          <w:p>
            <w:pPr>
              <w:spacing w:before="40" w:after="40"/>
              <w:jc w:val="center"/>
              <w:rPr>
                <w:b/>
                <w:noProof/>
                <w:sz w:val="20"/>
                <w:lang w:eastAsia="en-GB"/>
              </w:rPr>
            </w:pPr>
            <w:r>
              <w:rPr>
                <w:b/>
                <w:noProof/>
                <w:sz w:val="20"/>
                <w:lang w:eastAsia="en-GB"/>
              </w:rPr>
              <w:t>p.m.</w:t>
            </w:r>
          </w:p>
        </w:tc>
      </w:tr>
      <w:tr>
        <w:tc>
          <w:tcPr>
            <w:tcW w:w="3960" w:type="dxa"/>
            <w:vMerge w:val="restart"/>
            <w:vAlign w:val="center"/>
          </w:tcPr>
          <w:p>
            <w:pPr>
              <w:jc w:val="center"/>
              <w:rPr>
                <w:b/>
                <w:noProof/>
                <w:lang w:eastAsia="en-GB"/>
              </w:rPr>
            </w:pPr>
            <w:r>
              <w:rPr>
                <w:b/>
                <w:noProof/>
                <w:lang w:eastAsia="en-GB"/>
              </w:rPr>
              <w:t>TOTAL appropriations</w:t>
            </w:r>
            <w:r>
              <w:rPr>
                <w:noProof/>
                <w:lang w:eastAsia="en-GB"/>
              </w:rPr>
              <w:br/>
            </w:r>
            <w:r>
              <w:rPr>
                <w:b/>
                <w:noProof/>
                <w:lang w:eastAsia="en-GB"/>
              </w:rPr>
              <w:t xml:space="preserve">for DG </w:t>
            </w:r>
            <w:r>
              <w:rPr>
                <w:noProof/>
                <w:lang w:eastAsia="en-GB"/>
              </w:rPr>
              <w:t>JRC</w:t>
            </w:r>
          </w:p>
        </w:tc>
        <w:tc>
          <w:tcPr>
            <w:tcW w:w="1440" w:type="dxa"/>
            <w:vAlign w:val="center"/>
          </w:tcPr>
          <w:p>
            <w:pPr>
              <w:rPr>
                <w:noProof/>
                <w:sz w:val="18"/>
                <w:lang w:eastAsia="en-GB"/>
              </w:rPr>
            </w:pPr>
            <w:r>
              <w:rPr>
                <w:noProof/>
                <w:sz w:val="18"/>
                <w:lang w:eastAsia="en-GB"/>
              </w:rPr>
              <w:t>Commitments</w:t>
            </w:r>
          </w:p>
        </w:tc>
        <w:tc>
          <w:tcPr>
            <w:tcW w:w="914" w:type="dxa"/>
            <w:gridSpan w:val="2"/>
            <w:vAlign w:val="center"/>
          </w:tcPr>
          <w:p>
            <w:pPr>
              <w:jc w:val="center"/>
              <w:rPr>
                <w:noProof/>
                <w:sz w:val="14"/>
                <w:lang w:eastAsia="en-GB"/>
              </w:rPr>
            </w:pPr>
            <w:r>
              <w:rPr>
                <w:noProof/>
                <w:sz w:val="14"/>
                <w:lang w:eastAsia="en-GB"/>
              </w:rPr>
              <w:t>=1a+1b +3</w:t>
            </w:r>
          </w:p>
        </w:tc>
        <w:tc>
          <w:tcPr>
            <w:tcW w:w="992" w:type="dxa"/>
            <w:vAlign w:val="center"/>
          </w:tcPr>
          <w:p>
            <w:pPr>
              <w:spacing w:before="20" w:after="20"/>
              <w:jc w:val="center"/>
              <w:rPr>
                <w:noProof/>
                <w:sz w:val="20"/>
                <w:lang w:eastAsia="en-GB"/>
              </w:rPr>
            </w:pPr>
            <w:r>
              <w:rPr>
                <w:rFonts w:eastAsia="Times New Roman"/>
                <w:noProof/>
                <w:sz w:val="20"/>
                <w:szCs w:val="20"/>
                <w:lang w:eastAsia="en-GB"/>
              </w:rPr>
              <w:t>p.m.</w:t>
            </w:r>
          </w:p>
        </w:tc>
        <w:tc>
          <w:tcPr>
            <w:tcW w:w="851" w:type="dxa"/>
            <w:vAlign w:val="center"/>
          </w:tcPr>
          <w:p>
            <w:pPr>
              <w:spacing w:before="20" w:after="20"/>
              <w:jc w:val="center"/>
              <w:rPr>
                <w:noProof/>
                <w:sz w:val="20"/>
                <w:lang w:eastAsia="en-GB"/>
              </w:rPr>
            </w:pPr>
            <w:r>
              <w:rPr>
                <w:rFonts w:eastAsia="Times New Roman"/>
                <w:noProof/>
                <w:sz w:val="20"/>
                <w:szCs w:val="20"/>
                <w:lang w:eastAsia="en-GB"/>
              </w:rPr>
              <w:t>p.m.</w:t>
            </w:r>
          </w:p>
        </w:tc>
        <w:tc>
          <w:tcPr>
            <w:tcW w:w="850" w:type="dxa"/>
            <w:vAlign w:val="center"/>
          </w:tcPr>
          <w:p>
            <w:pPr>
              <w:spacing w:before="20" w:after="20"/>
              <w:jc w:val="center"/>
              <w:rPr>
                <w:noProof/>
                <w:sz w:val="20"/>
                <w:lang w:eastAsia="en-GB"/>
              </w:rPr>
            </w:pPr>
            <w:r>
              <w:rPr>
                <w:rFonts w:eastAsia="Times New Roman"/>
                <w:noProof/>
                <w:sz w:val="20"/>
                <w:szCs w:val="20"/>
                <w:lang w:eastAsia="en-GB"/>
              </w:rPr>
              <w:t>p.m.</w:t>
            </w:r>
          </w:p>
        </w:tc>
        <w:tc>
          <w:tcPr>
            <w:tcW w:w="992" w:type="dxa"/>
            <w:vAlign w:val="center"/>
          </w:tcPr>
          <w:p>
            <w:pPr>
              <w:spacing w:before="20" w:after="20"/>
              <w:jc w:val="center"/>
              <w:rPr>
                <w:noProof/>
                <w:sz w:val="20"/>
                <w:lang w:eastAsia="en-GB"/>
              </w:rPr>
            </w:pPr>
            <w:r>
              <w:rPr>
                <w:rFonts w:eastAsia="Times New Roman"/>
                <w:noProof/>
                <w:sz w:val="20"/>
                <w:szCs w:val="20"/>
                <w:lang w:eastAsia="en-GB"/>
              </w:rPr>
              <w:t>p.m.</w:t>
            </w:r>
          </w:p>
        </w:tc>
        <w:tc>
          <w:tcPr>
            <w:tcW w:w="993" w:type="dxa"/>
            <w:vAlign w:val="center"/>
          </w:tcPr>
          <w:p>
            <w:pPr>
              <w:spacing w:before="20" w:after="20"/>
              <w:jc w:val="center"/>
              <w:rPr>
                <w:b/>
                <w:noProof/>
                <w:sz w:val="20"/>
                <w:lang w:eastAsia="en-GB"/>
              </w:rPr>
            </w:pPr>
            <w:r>
              <w:rPr>
                <w:rFonts w:eastAsia="Times New Roman"/>
                <w:noProof/>
                <w:sz w:val="20"/>
                <w:szCs w:val="20"/>
                <w:lang w:eastAsia="en-GB"/>
              </w:rPr>
              <w:t>.</w:t>
            </w:r>
          </w:p>
        </w:tc>
        <w:tc>
          <w:tcPr>
            <w:tcW w:w="1701" w:type="dxa"/>
            <w:vAlign w:val="center"/>
          </w:tcPr>
          <w:p>
            <w:pPr>
              <w:spacing w:before="20" w:after="20"/>
              <w:jc w:val="center"/>
              <w:rPr>
                <w:b/>
                <w:noProof/>
                <w:sz w:val="20"/>
                <w:lang w:eastAsia="en-GB"/>
              </w:rPr>
            </w:pPr>
            <w:r>
              <w:rPr>
                <w:b/>
                <w:noProof/>
                <w:sz w:val="20"/>
                <w:lang w:eastAsia="en-GB"/>
              </w:rPr>
              <w:t>p.m.</w:t>
            </w:r>
          </w:p>
        </w:tc>
      </w:tr>
      <w:tr>
        <w:tc>
          <w:tcPr>
            <w:tcW w:w="3960" w:type="dxa"/>
            <w:vMerge/>
          </w:tcPr>
          <w:p>
            <w:pPr>
              <w:rPr>
                <w:noProof/>
                <w:sz w:val="20"/>
                <w:lang w:eastAsia="en-GB"/>
              </w:rPr>
            </w:pPr>
          </w:p>
        </w:tc>
        <w:tc>
          <w:tcPr>
            <w:tcW w:w="1440" w:type="dxa"/>
            <w:vAlign w:val="center"/>
          </w:tcPr>
          <w:p>
            <w:pPr>
              <w:rPr>
                <w:noProof/>
                <w:sz w:val="18"/>
                <w:lang w:eastAsia="en-GB"/>
              </w:rPr>
            </w:pPr>
            <w:r>
              <w:rPr>
                <w:noProof/>
                <w:sz w:val="18"/>
                <w:lang w:eastAsia="en-GB"/>
              </w:rPr>
              <w:t>Payments</w:t>
            </w:r>
          </w:p>
        </w:tc>
        <w:tc>
          <w:tcPr>
            <w:tcW w:w="914" w:type="dxa"/>
            <w:gridSpan w:val="2"/>
            <w:vAlign w:val="center"/>
          </w:tcPr>
          <w:p>
            <w:pPr>
              <w:jc w:val="center"/>
              <w:rPr>
                <w:noProof/>
                <w:sz w:val="14"/>
                <w:lang w:eastAsia="en-GB"/>
              </w:rPr>
            </w:pPr>
            <w:r>
              <w:rPr>
                <w:noProof/>
                <w:sz w:val="14"/>
                <w:lang w:eastAsia="en-GB"/>
              </w:rPr>
              <w:t>=2a+2b</w:t>
            </w:r>
          </w:p>
          <w:p>
            <w:pPr>
              <w:jc w:val="center"/>
              <w:rPr>
                <w:noProof/>
                <w:sz w:val="14"/>
                <w:lang w:eastAsia="en-GB"/>
              </w:rPr>
            </w:pPr>
            <w:r>
              <w:rPr>
                <w:noProof/>
                <w:sz w:val="14"/>
                <w:lang w:eastAsia="en-GB"/>
              </w:rPr>
              <w:t>+3</w:t>
            </w:r>
          </w:p>
        </w:tc>
        <w:tc>
          <w:tcPr>
            <w:tcW w:w="992" w:type="dxa"/>
            <w:vAlign w:val="center"/>
          </w:tcPr>
          <w:p>
            <w:pPr>
              <w:spacing w:before="20" w:after="20"/>
              <w:jc w:val="center"/>
              <w:rPr>
                <w:noProof/>
                <w:sz w:val="20"/>
                <w:lang w:eastAsia="en-GB"/>
              </w:rPr>
            </w:pPr>
            <w:r>
              <w:rPr>
                <w:rFonts w:eastAsia="Times New Roman"/>
                <w:noProof/>
                <w:sz w:val="20"/>
                <w:szCs w:val="20"/>
                <w:lang w:eastAsia="en-GB"/>
              </w:rPr>
              <w:t>p.m.</w:t>
            </w:r>
          </w:p>
        </w:tc>
        <w:tc>
          <w:tcPr>
            <w:tcW w:w="851" w:type="dxa"/>
            <w:vAlign w:val="center"/>
          </w:tcPr>
          <w:p>
            <w:pPr>
              <w:spacing w:before="20" w:after="20"/>
              <w:jc w:val="center"/>
              <w:rPr>
                <w:noProof/>
                <w:sz w:val="20"/>
                <w:lang w:eastAsia="en-GB"/>
              </w:rPr>
            </w:pPr>
            <w:r>
              <w:rPr>
                <w:rFonts w:eastAsia="Times New Roman"/>
                <w:noProof/>
                <w:sz w:val="20"/>
                <w:szCs w:val="20"/>
                <w:lang w:eastAsia="en-GB"/>
              </w:rPr>
              <w:t>p.m.</w:t>
            </w:r>
          </w:p>
        </w:tc>
        <w:tc>
          <w:tcPr>
            <w:tcW w:w="850" w:type="dxa"/>
            <w:vAlign w:val="center"/>
          </w:tcPr>
          <w:p>
            <w:pPr>
              <w:spacing w:before="20" w:after="20"/>
              <w:jc w:val="center"/>
              <w:rPr>
                <w:noProof/>
                <w:sz w:val="20"/>
                <w:lang w:eastAsia="en-GB"/>
              </w:rPr>
            </w:pPr>
            <w:r>
              <w:rPr>
                <w:rFonts w:eastAsia="Times New Roman"/>
                <w:noProof/>
                <w:sz w:val="20"/>
                <w:szCs w:val="20"/>
                <w:lang w:eastAsia="en-GB"/>
              </w:rPr>
              <w:t>p.m.</w:t>
            </w:r>
          </w:p>
        </w:tc>
        <w:tc>
          <w:tcPr>
            <w:tcW w:w="992" w:type="dxa"/>
            <w:vAlign w:val="center"/>
          </w:tcPr>
          <w:p>
            <w:pPr>
              <w:spacing w:before="20" w:after="20"/>
              <w:jc w:val="center"/>
              <w:rPr>
                <w:noProof/>
                <w:sz w:val="20"/>
                <w:lang w:eastAsia="en-GB"/>
              </w:rPr>
            </w:pPr>
            <w:r>
              <w:rPr>
                <w:rFonts w:eastAsia="Times New Roman"/>
                <w:noProof/>
                <w:sz w:val="20"/>
                <w:szCs w:val="20"/>
                <w:lang w:eastAsia="en-GB"/>
              </w:rPr>
              <w:t>p.m.</w:t>
            </w:r>
          </w:p>
        </w:tc>
        <w:tc>
          <w:tcPr>
            <w:tcW w:w="993" w:type="dxa"/>
            <w:vAlign w:val="center"/>
          </w:tcPr>
          <w:p>
            <w:pPr>
              <w:spacing w:before="20" w:after="20"/>
              <w:jc w:val="center"/>
              <w:rPr>
                <w:b/>
                <w:noProof/>
                <w:sz w:val="20"/>
                <w:lang w:eastAsia="en-GB"/>
              </w:rPr>
            </w:pPr>
            <w:r>
              <w:rPr>
                <w:rFonts w:eastAsia="Times New Roman"/>
                <w:noProof/>
                <w:sz w:val="20"/>
                <w:szCs w:val="20"/>
                <w:lang w:eastAsia="en-GB"/>
              </w:rPr>
              <w:t>p.m</w:t>
            </w:r>
          </w:p>
        </w:tc>
        <w:tc>
          <w:tcPr>
            <w:tcW w:w="1701" w:type="dxa"/>
            <w:vAlign w:val="center"/>
          </w:tcPr>
          <w:p>
            <w:pPr>
              <w:spacing w:before="20" w:after="20"/>
              <w:jc w:val="center"/>
              <w:rPr>
                <w:b/>
                <w:noProof/>
                <w:sz w:val="20"/>
                <w:lang w:eastAsia="en-GB"/>
              </w:rPr>
            </w:pPr>
            <w:r>
              <w:rPr>
                <w:b/>
                <w:noProof/>
                <w:sz w:val="20"/>
                <w:lang w:eastAsia="en-GB"/>
              </w:rPr>
              <w:t>p.m.</w:t>
            </w:r>
          </w:p>
        </w:tc>
      </w:tr>
    </w:tbl>
    <w:p>
      <w:pPr>
        <w:rPr>
          <w:noProof/>
          <w:lang w:eastAsia="en-GB"/>
        </w:rPr>
      </w:pPr>
      <w:r>
        <w:rPr>
          <w:noProof/>
          <w:lang w:eastAsia="en-GB"/>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914"/>
        <w:gridCol w:w="850"/>
        <w:gridCol w:w="993"/>
        <w:gridCol w:w="850"/>
        <w:gridCol w:w="992"/>
        <w:gridCol w:w="992"/>
        <w:gridCol w:w="1702"/>
      </w:tblGrid>
      <w:tr>
        <w:trPr>
          <w:trHeight w:val="277"/>
        </w:trPr>
        <w:tc>
          <w:tcPr>
            <w:tcW w:w="3960" w:type="dxa"/>
            <w:vMerge w:val="restart"/>
            <w:vAlign w:val="center"/>
          </w:tcPr>
          <w:p>
            <w:pPr>
              <w:spacing w:before="20" w:after="20"/>
              <w:rPr>
                <w:noProof/>
                <w:lang w:eastAsia="en-GB"/>
              </w:rPr>
            </w:pPr>
            <w:r>
              <w:rPr>
                <w:noProof/>
                <w:lang w:eastAsia="en-GB"/>
              </w:rPr>
              <w:br w:type="page"/>
            </w:r>
            <w:r>
              <w:rPr>
                <w:noProof/>
                <w:sz w:val="21"/>
                <w:lang w:eastAsia="en-GB"/>
              </w:rPr>
              <w:sym w:font="Wingdings" w:char="F09F"/>
            </w:r>
            <w:r>
              <w:rPr>
                <w:noProof/>
                <w:sz w:val="21"/>
                <w:lang w:eastAsia="en-GB"/>
              </w:rPr>
              <w:t xml:space="preserve"> TOTAL operational appropriations </w:t>
            </w:r>
          </w:p>
        </w:tc>
        <w:tc>
          <w:tcPr>
            <w:tcW w:w="1440" w:type="dxa"/>
            <w:vAlign w:val="center"/>
          </w:tcPr>
          <w:p>
            <w:pPr>
              <w:spacing w:beforeLines="20" w:before="48" w:afterLines="20" w:after="48"/>
              <w:rPr>
                <w:noProof/>
                <w:sz w:val="18"/>
                <w:lang w:eastAsia="en-GB"/>
              </w:rPr>
            </w:pPr>
            <w:r>
              <w:rPr>
                <w:noProof/>
                <w:sz w:val="18"/>
                <w:lang w:eastAsia="en-GB"/>
              </w:rPr>
              <w:t>Commitments</w:t>
            </w:r>
          </w:p>
        </w:tc>
        <w:tc>
          <w:tcPr>
            <w:tcW w:w="914" w:type="dxa"/>
            <w:vAlign w:val="center"/>
          </w:tcPr>
          <w:p>
            <w:pPr>
              <w:spacing w:beforeLines="20" w:before="48" w:afterLines="20" w:after="48"/>
              <w:jc w:val="center"/>
              <w:rPr>
                <w:noProof/>
                <w:sz w:val="14"/>
                <w:lang w:eastAsia="en-GB"/>
              </w:rPr>
            </w:pPr>
            <w:r>
              <w:rPr>
                <w:noProof/>
                <w:sz w:val="14"/>
                <w:lang w:eastAsia="en-GB"/>
              </w:rPr>
              <w:t>(4)</w:t>
            </w:r>
          </w:p>
        </w:tc>
        <w:tc>
          <w:tcPr>
            <w:tcW w:w="850" w:type="dxa"/>
            <w:vAlign w:val="center"/>
          </w:tcPr>
          <w:p>
            <w:pPr>
              <w:spacing w:before="20" w:after="20"/>
              <w:jc w:val="right"/>
              <w:rPr>
                <w:noProof/>
                <w:sz w:val="20"/>
                <w:lang w:eastAsia="en-GB"/>
              </w:rPr>
            </w:pPr>
            <w:r>
              <w:rPr>
                <w:rFonts w:eastAsia="Times New Roman"/>
                <w:noProof/>
                <w:sz w:val="20"/>
                <w:szCs w:val="20"/>
                <w:lang w:eastAsia="en-GB"/>
              </w:rPr>
              <w:t>p.m.</w:t>
            </w:r>
          </w:p>
        </w:tc>
        <w:tc>
          <w:tcPr>
            <w:tcW w:w="993" w:type="dxa"/>
            <w:vAlign w:val="center"/>
          </w:tcPr>
          <w:p>
            <w:pPr>
              <w:spacing w:before="20" w:after="20"/>
              <w:jc w:val="right"/>
              <w:rPr>
                <w:noProof/>
                <w:sz w:val="20"/>
                <w:lang w:eastAsia="en-GB"/>
              </w:rPr>
            </w:pPr>
            <w:r>
              <w:rPr>
                <w:rFonts w:eastAsia="Times New Roman"/>
                <w:noProof/>
                <w:sz w:val="20"/>
                <w:szCs w:val="20"/>
                <w:lang w:eastAsia="en-GB"/>
              </w:rPr>
              <w:t>p.m.</w:t>
            </w:r>
          </w:p>
        </w:tc>
        <w:tc>
          <w:tcPr>
            <w:tcW w:w="850" w:type="dxa"/>
            <w:vAlign w:val="center"/>
          </w:tcPr>
          <w:p>
            <w:pPr>
              <w:spacing w:before="20" w:after="20"/>
              <w:jc w:val="right"/>
              <w:rPr>
                <w:noProof/>
                <w:sz w:val="20"/>
                <w:lang w:eastAsia="en-GB"/>
              </w:rPr>
            </w:pPr>
            <w:r>
              <w:rPr>
                <w:rFonts w:eastAsia="Times New Roman"/>
                <w:noProof/>
                <w:sz w:val="20"/>
                <w:szCs w:val="20"/>
                <w:lang w:eastAsia="en-GB"/>
              </w:rPr>
              <w:t>p.m.</w:t>
            </w:r>
          </w:p>
        </w:tc>
        <w:tc>
          <w:tcPr>
            <w:tcW w:w="992" w:type="dxa"/>
          </w:tcPr>
          <w:p>
            <w:pPr>
              <w:spacing w:before="20" w:after="20"/>
              <w:jc w:val="right"/>
              <w:rPr>
                <w:rFonts w:eastAsia="Times New Roman"/>
                <w:noProof/>
                <w:sz w:val="20"/>
                <w:szCs w:val="20"/>
                <w:lang w:eastAsia="en-GB"/>
              </w:rPr>
            </w:pPr>
            <w:r>
              <w:rPr>
                <w:rFonts w:eastAsia="Times New Roman"/>
                <w:noProof/>
                <w:sz w:val="20"/>
                <w:szCs w:val="20"/>
                <w:lang w:eastAsia="en-GB"/>
              </w:rPr>
              <w:t>p.m.</w:t>
            </w:r>
          </w:p>
        </w:tc>
        <w:tc>
          <w:tcPr>
            <w:tcW w:w="992" w:type="dxa"/>
            <w:vAlign w:val="center"/>
          </w:tcPr>
          <w:p>
            <w:pPr>
              <w:spacing w:before="20" w:after="20"/>
              <w:jc w:val="right"/>
              <w:rPr>
                <w:noProof/>
                <w:sz w:val="20"/>
                <w:lang w:eastAsia="en-GB"/>
              </w:rPr>
            </w:pPr>
          </w:p>
        </w:tc>
        <w:tc>
          <w:tcPr>
            <w:tcW w:w="1702" w:type="dxa"/>
            <w:vAlign w:val="center"/>
          </w:tcPr>
          <w:p>
            <w:pPr>
              <w:spacing w:before="20" w:after="20"/>
              <w:jc w:val="center"/>
              <w:rPr>
                <w:b/>
                <w:noProof/>
                <w:sz w:val="20"/>
                <w:lang w:eastAsia="en-GB"/>
              </w:rPr>
            </w:pPr>
            <w:r>
              <w:rPr>
                <w:rFonts w:eastAsia="Times New Roman"/>
                <w:b/>
                <w:noProof/>
                <w:sz w:val="20"/>
                <w:szCs w:val="20"/>
                <w:lang w:eastAsia="en-GB"/>
              </w:rPr>
              <w:t>p.m.</w:t>
            </w:r>
          </w:p>
        </w:tc>
      </w:tr>
      <w:tr>
        <w:tc>
          <w:tcPr>
            <w:tcW w:w="3960" w:type="dxa"/>
            <w:vMerge/>
          </w:tcPr>
          <w:p>
            <w:pPr>
              <w:jc w:val="center"/>
              <w:rPr>
                <w:noProof/>
                <w:sz w:val="20"/>
                <w:lang w:eastAsia="en-GB"/>
              </w:rPr>
            </w:pPr>
          </w:p>
        </w:tc>
        <w:tc>
          <w:tcPr>
            <w:tcW w:w="1440" w:type="dxa"/>
            <w:vAlign w:val="center"/>
          </w:tcPr>
          <w:p>
            <w:pPr>
              <w:spacing w:beforeLines="20" w:before="48" w:afterLines="20" w:after="48"/>
              <w:rPr>
                <w:noProof/>
                <w:sz w:val="18"/>
                <w:lang w:eastAsia="en-GB"/>
              </w:rPr>
            </w:pPr>
            <w:r>
              <w:rPr>
                <w:noProof/>
                <w:sz w:val="18"/>
                <w:lang w:eastAsia="en-GB"/>
              </w:rPr>
              <w:t>Payments</w:t>
            </w:r>
          </w:p>
        </w:tc>
        <w:tc>
          <w:tcPr>
            <w:tcW w:w="914" w:type="dxa"/>
            <w:vAlign w:val="center"/>
          </w:tcPr>
          <w:p>
            <w:pPr>
              <w:spacing w:beforeLines="20" w:before="48" w:afterLines="20" w:after="48"/>
              <w:jc w:val="center"/>
              <w:rPr>
                <w:noProof/>
                <w:sz w:val="14"/>
                <w:lang w:eastAsia="en-GB"/>
              </w:rPr>
            </w:pPr>
            <w:r>
              <w:rPr>
                <w:noProof/>
                <w:sz w:val="14"/>
                <w:lang w:eastAsia="en-GB"/>
              </w:rPr>
              <w:t>(5)</w:t>
            </w:r>
          </w:p>
        </w:tc>
        <w:tc>
          <w:tcPr>
            <w:tcW w:w="850" w:type="dxa"/>
            <w:vAlign w:val="center"/>
          </w:tcPr>
          <w:p>
            <w:pPr>
              <w:spacing w:before="20" w:after="20"/>
              <w:jc w:val="right"/>
              <w:rPr>
                <w:noProof/>
                <w:sz w:val="20"/>
                <w:lang w:eastAsia="en-GB"/>
              </w:rPr>
            </w:pPr>
            <w:r>
              <w:rPr>
                <w:rFonts w:eastAsia="Times New Roman"/>
                <w:noProof/>
                <w:sz w:val="20"/>
                <w:szCs w:val="20"/>
                <w:lang w:eastAsia="en-GB"/>
              </w:rPr>
              <w:t>p.m.</w:t>
            </w:r>
          </w:p>
        </w:tc>
        <w:tc>
          <w:tcPr>
            <w:tcW w:w="993" w:type="dxa"/>
            <w:vAlign w:val="center"/>
          </w:tcPr>
          <w:p>
            <w:pPr>
              <w:spacing w:before="20" w:after="20"/>
              <w:jc w:val="right"/>
              <w:rPr>
                <w:noProof/>
                <w:sz w:val="20"/>
                <w:lang w:eastAsia="en-GB"/>
              </w:rPr>
            </w:pPr>
            <w:r>
              <w:rPr>
                <w:rFonts w:eastAsia="Times New Roman"/>
                <w:noProof/>
                <w:sz w:val="20"/>
                <w:szCs w:val="20"/>
                <w:lang w:eastAsia="en-GB"/>
              </w:rPr>
              <w:t>p.m.</w:t>
            </w:r>
          </w:p>
        </w:tc>
        <w:tc>
          <w:tcPr>
            <w:tcW w:w="850" w:type="dxa"/>
            <w:vAlign w:val="center"/>
          </w:tcPr>
          <w:p>
            <w:pPr>
              <w:spacing w:before="20" w:after="20"/>
              <w:jc w:val="right"/>
              <w:rPr>
                <w:noProof/>
                <w:sz w:val="20"/>
                <w:lang w:eastAsia="en-GB"/>
              </w:rPr>
            </w:pPr>
            <w:r>
              <w:rPr>
                <w:rFonts w:eastAsia="Times New Roman"/>
                <w:noProof/>
                <w:sz w:val="20"/>
                <w:szCs w:val="20"/>
                <w:lang w:eastAsia="en-GB"/>
              </w:rPr>
              <w:t>p.m.</w:t>
            </w:r>
          </w:p>
        </w:tc>
        <w:tc>
          <w:tcPr>
            <w:tcW w:w="992" w:type="dxa"/>
          </w:tcPr>
          <w:p>
            <w:pPr>
              <w:spacing w:before="20" w:after="20"/>
              <w:jc w:val="right"/>
              <w:rPr>
                <w:rFonts w:eastAsia="Times New Roman"/>
                <w:noProof/>
                <w:sz w:val="20"/>
                <w:szCs w:val="20"/>
                <w:lang w:eastAsia="en-GB"/>
              </w:rPr>
            </w:pPr>
            <w:r>
              <w:rPr>
                <w:rFonts w:eastAsia="Times New Roman"/>
                <w:noProof/>
                <w:sz w:val="20"/>
                <w:szCs w:val="20"/>
                <w:lang w:eastAsia="en-GB"/>
              </w:rPr>
              <w:t>p.m.</w:t>
            </w:r>
          </w:p>
        </w:tc>
        <w:tc>
          <w:tcPr>
            <w:tcW w:w="992" w:type="dxa"/>
            <w:vAlign w:val="center"/>
          </w:tcPr>
          <w:p>
            <w:pPr>
              <w:spacing w:before="20" w:after="20"/>
              <w:jc w:val="right"/>
              <w:rPr>
                <w:noProof/>
                <w:sz w:val="20"/>
                <w:lang w:eastAsia="en-GB"/>
              </w:rPr>
            </w:pPr>
            <w:r>
              <w:rPr>
                <w:rFonts w:eastAsia="Times New Roman"/>
                <w:noProof/>
                <w:sz w:val="20"/>
                <w:szCs w:val="20"/>
                <w:lang w:eastAsia="en-GB"/>
              </w:rPr>
              <w:t>p.m.</w:t>
            </w:r>
          </w:p>
        </w:tc>
        <w:tc>
          <w:tcPr>
            <w:tcW w:w="1702" w:type="dxa"/>
            <w:vAlign w:val="center"/>
          </w:tcPr>
          <w:p>
            <w:pPr>
              <w:spacing w:before="20" w:after="20"/>
              <w:jc w:val="center"/>
              <w:rPr>
                <w:b/>
                <w:noProof/>
                <w:sz w:val="20"/>
                <w:lang w:eastAsia="en-GB"/>
              </w:rPr>
            </w:pPr>
            <w:r>
              <w:rPr>
                <w:rFonts w:eastAsia="Times New Roman"/>
                <w:b/>
                <w:noProof/>
                <w:sz w:val="20"/>
                <w:szCs w:val="20"/>
                <w:lang w:eastAsia="en-GB"/>
              </w:rPr>
              <w:t>p.m.</w:t>
            </w:r>
          </w:p>
        </w:tc>
      </w:tr>
      <w:tr>
        <w:trPr>
          <w:trHeight w:val="533"/>
        </w:trPr>
        <w:tc>
          <w:tcPr>
            <w:tcW w:w="5400" w:type="dxa"/>
            <w:gridSpan w:val="2"/>
            <w:vAlign w:val="center"/>
          </w:tcPr>
          <w:p>
            <w:pPr>
              <w:spacing w:beforeLines="20" w:before="48" w:afterLines="20" w:after="48"/>
              <w:rPr>
                <w:noProof/>
                <w:lang w:eastAsia="en-GB"/>
              </w:rPr>
            </w:pPr>
            <w:r>
              <w:rPr>
                <w:noProof/>
                <w:sz w:val="21"/>
                <w:lang w:eastAsia="en-GB"/>
              </w:rPr>
              <w:sym w:font="Wingdings" w:char="F09F"/>
            </w:r>
            <w:r>
              <w:rPr>
                <w:noProof/>
                <w:sz w:val="21"/>
                <w:lang w:eastAsia="en-GB"/>
              </w:rPr>
              <w:t xml:space="preserve"> TOTAL appropriations of an administrative nature financed from the envelope for specific programmes </w:t>
            </w:r>
          </w:p>
        </w:tc>
        <w:tc>
          <w:tcPr>
            <w:tcW w:w="914" w:type="dxa"/>
            <w:vAlign w:val="center"/>
          </w:tcPr>
          <w:p>
            <w:pPr>
              <w:spacing w:beforeLines="20" w:before="48" w:afterLines="20" w:after="48"/>
              <w:jc w:val="center"/>
              <w:rPr>
                <w:noProof/>
                <w:sz w:val="14"/>
                <w:lang w:eastAsia="en-GB"/>
              </w:rPr>
            </w:pPr>
            <w:r>
              <w:rPr>
                <w:noProof/>
                <w:sz w:val="14"/>
                <w:lang w:eastAsia="en-GB"/>
              </w:rPr>
              <w:t>(6)</w:t>
            </w:r>
          </w:p>
        </w:tc>
        <w:tc>
          <w:tcPr>
            <w:tcW w:w="850" w:type="dxa"/>
            <w:vAlign w:val="center"/>
          </w:tcPr>
          <w:p>
            <w:pPr>
              <w:spacing w:before="20" w:after="20"/>
              <w:jc w:val="right"/>
              <w:rPr>
                <w:noProof/>
                <w:sz w:val="20"/>
                <w:lang w:eastAsia="en-GB"/>
              </w:rPr>
            </w:pPr>
            <w:r>
              <w:rPr>
                <w:noProof/>
                <w:sz w:val="20"/>
                <w:lang w:eastAsia="en-GB"/>
              </w:rPr>
              <w:t>p.m.</w:t>
            </w:r>
          </w:p>
        </w:tc>
        <w:tc>
          <w:tcPr>
            <w:tcW w:w="993" w:type="dxa"/>
            <w:vAlign w:val="center"/>
          </w:tcPr>
          <w:p>
            <w:pPr>
              <w:spacing w:before="20" w:after="20"/>
              <w:jc w:val="right"/>
              <w:rPr>
                <w:b/>
                <w:noProof/>
                <w:sz w:val="20"/>
                <w:lang w:eastAsia="en-GB"/>
              </w:rPr>
            </w:pPr>
            <w:r>
              <w:rPr>
                <w:rFonts w:eastAsia="Times New Roman"/>
                <w:noProof/>
                <w:sz w:val="20"/>
                <w:szCs w:val="20"/>
                <w:lang w:eastAsia="en-GB"/>
              </w:rPr>
              <w:t>p.m.</w:t>
            </w:r>
          </w:p>
        </w:tc>
        <w:tc>
          <w:tcPr>
            <w:tcW w:w="850" w:type="dxa"/>
            <w:vAlign w:val="center"/>
          </w:tcPr>
          <w:p>
            <w:pPr>
              <w:spacing w:before="20" w:after="20"/>
              <w:jc w:val="right"/>
              <w:rPr>
                <w:b/>
                <w:noProof/>
                <w:sz w:val="20"/>
                <w:lang w:eastAsia="en-GB"/>
              </w:rPr>
            </w:pPr>
            <w:r>
              <w:rPr>
                <w:rFonts w:eastAsia="Times New Roman"/>
                <w:noProof/>
                <w:sz w:val="20"/>
                <w:szCs w:val="20"/>
                <w:lang w:eastAsia="en-GB"/>
              </w:rPr>
              <w:t>p.m.</w:t>
            </w:r>
          </w:p>
        </w:tc>
        <w:tc>
          <w:tcPr>
            <w:tcW w:w="992" w:type="dxa"/>
          </w:tcPr>
          <w:p>
            <w:pPr>
              <w:spacing w:before="20" w:after="20"/>
              <w:jc w:val="right"/>
              <w:rPr>
                <w:rFonts w:eastAsia="Times New Roman"/>
                <w:noProof/>
                <w:sz w:val="20"/>
                <w:szCs w:val="20"/>
                <w:lang w:eastAsia="en-GB"/>
              </w:rPr>
            </w:pPr>
            <w:r>
              <w:rPr>
                <w:rFonts w:eastAsia="Times New Roman"/>
                <w:noProof/>
                <w:sz w:val="20"/>
                <w:szCs w:val="20"/>
                <w:lang w:eastAsia="en-GB"/>
              </w:rPr>
              <w:t>p.m.</w:t>
            </w:r>
          </w:p>
        </w:tc>
        <w:tc>
          <w:tcPr>
            <w:tcW w:w="992" w:type="dxa"/>
            <w:vAlign w:val="center"/>
          </w:tcPr>
          <w:p>
            <w:pPr>
              <w:spacing w:before="20" w:after="20"/>
              <w:jc w:val="right"/>
              <w:rPr>
                <w:b/>
                <w:noProof/>
                <w:sz w:val="20"/>
                <w:lang w:eastAsia="en-GB"/>
              </w:rPr>
            </w:pPr>
            <w:r>
              <w:rPr>
                <w:rFonts w:eastAsia="Times New Roman"/>
                <w:noProof/>
                <w:sz w:val="20"/>
                <w:szCs w:val="20"/>
                <w:lang w:eastAsia="en-GB"/>
              </w:rPr>
              <w:t xml:space="preserve"> </w:t>
            </w:r>
          </w:p>
        </w:tc>
        <w:tc>
          <w:tcPr>
            <w:tcW w:w="1702" w:type="dxa"/>
            <w:vAlign w:val="center"/>
          </w:tcPr>
          <w:p>
            <w:pPr>
              <w:spacing w:before="20" w:after="20"/>
              <w:jc w:val="center"/>
              <w:rPr>
                <w:b/>
                <w:noProof/>
                <w:sz w:val="20"/>
                <w:lang w:eastAsia="en-GB"/>
              </w:rPr>
            </w:pPr>
            <w:r>
              <w:rPr>
                <w:rFonts w:eastAsia="Times New Roman"/>
                <w:b/>
                <w:noProof/>
                <w:sz w:val="20"/>
                <w:szCs w:val="20"/>
                <w:lang w:eastAsia="en-GB"/>
              </w:rPr>
              <w:t>p.m.</w:t>
            </w:r>
          </w:p>
        </w:tc>
      </w:tr>
      <w:tr>
        <w:tc>
          <w:tcPr>
            <w:tcW w:w="3960" w:type="dxa"/>
            <w:vMerge w:val="restart"/>
            <w:shd w:val="thinDiagStripe" w:color="C0C0C0" w:fill="auto"/>
            <w:vAlign w:val="center"/>
          </w:tcPr>
          <w:p>
            <w:pPr>
              <w:jc w:val="center"/>
              <w:rPr>
                <w:b/>
                <w:noProof/>
                <w:lang w:eastAsia="en-GB"/>
              </w:rPr>
            </w:pPr>
            <w:r>
              <w:rPr>
                <w:b/>
                <w:noProof/>
                <w:lang w:eastAsia="en-GB"/>
              </w:rPr>
              <w:t xml:space="preserve">TOTAL appropriations </w:t>
            </w:r>
            <w:r>
              <w:rPr>
                <w:noProof/>
                <w:lang w:eastAsia="en-GB"/>
              </w:rPr>
              <w:br/>
            </w:r>
            <w:r>
              <w:rPr>
                <w:b/>
                <w:noProof/>
                <w:lang w:eastAsia="en-GB"/>
              </w:rPr>
              <w:t>under HEADING 1a</w:t>
            </w:r>
          </w:p>
          <w:p>
            <w:pPr>
              <w:jc w:val="center"/>
              <w:rPr>
                <w:b/>
                <w:noProof/>
                <w:lang w:eastAsia="en-GB"/>
              </w:rPr>
            </w:pPr>
            <w:r>
              <w:rPr>
                <w:noProof/>
                <w:lang w:eastAsia="en-GB"/>
              </w:rPr>
              <w:t>of the multiannual financial framework</w:t>
            </w:r>
          </w:p>
        </w:tc>
        <w:tc>
          <w:tcPr>
            <w:tcW w:w="1440" w:type="dxa"/>
            <w:vAlign w:val="center"/>
          </w:tcPr>
          <w:p>
            <w:pPr>
              <w:rPr>
                <w:noProof/>
                <w:sz w:val="18"/>
                <w:lang w:eastAsia="en-GB"/>
              </w:rPr>
            </w:pPr>
            <w:r>
              <w:rPr>
                <w:noProof/>
                <w:sz w:val="18"/>
                <w:lang w:eastAsia="en-GB"/>
              </w:rPr>
              <w:t>Commitments</w:t>
            </w:r>
          </w:p>
        </w:tc>
        <w:tc>
          <w:tcPr>
            <w:tcW w:w="914" w:type="dxa"/>
            <w:vAlign w:val="center"/>
          </w:tcPr>
          <w:p>
            <w:pPr>
              <w:jc w:val="center"/>
              <w:rPr>
                <w:noProof/>
                <w:sz w:val="14"/>
                <w:lang w:eastAsia="en-GB"/>
              </w:rPr>
            </w:pPr>
            <w:r>
              <w:rPr>
                <w:noProof/>
                <w:sz w:val="14"/>
                <w:lang w:eastAsia="en-GB"/>
              </w:rPr>
              <w:t>=4+ 6</w:t>
            </w:r>
          </w:p>
        </w:tc>
        <w:tc>
          <w:tcPr>
            <w:tcW w:w="850" w:type="dxa"/>
            <w:vAlign w:val="center"/>
          </w:tcPr>
          <w:p>
            <w:pPr>
              <w:spacing w:before="20" w:after="20"/>
              <w:jc w:val="right"/>
              <w:rPr>
                <w:noProof/>
                <w:sz w:val="20"/>
                <w:lang w:eastAsia="en-GB"/>
              </w:rPr>
            </w:pPr>
            <w:r>
              <w:rPr>
                <w:rFonts w:eastAsia="Times New Roman"/>
                <w:noProof/>
                <w:sz w:val="20"/>
                <w:szCs w:val="20"/>
                <w:lang w:eastAsia="en-GB"/>
              </w:rPr>
              <w:t>p.m.</w:t>
            </w:r>
          </w:p>
        </w:tc>
        <w:tc>
          <w:tcPr>
            <w:tcW w:w="993" w:type="dxa"/>
            <w:vAlign w:val="center"/>
          </w:tcPr>
          <w:p>
            <w:pPr>
              <w:spacing w:before="20" w:after="20"/>
              <w:jc w:val="right"/>
              <w:rPr>
                <w:noProof/>
                <w:sz w:val="20"/>
                <w:lang w:eastAsia="en-GB"/>
              </w:rPr>
            </w:pPr>
            <w:r>
              <w:rPr>
                <w:rFonts w:eastAsia="Times New Roman"/>
                <w:noProof/>
                <w:sz w:val="20"/>
                <w:szCs w:val="20"/>
                <w:lang w:eastAsia="en-GB"/>
              </w:rPr>
              <w:t>p.m.</w:t>
            </w:r>
          </w:p>
        </w:tc>
        <w:tc>
          <w:tcPr>
            <w:tcW w:w="850" w:type="dxa"/>
            <w:vAlign w:val="center"/>
          </w:tcPr>
          <w:p>
            <w:pPr>
              <w:spacing w:before="20" w:after="20"/>
              <w:jc w:val="right"/>
              <w:rPr>
                <w:noProof/>
                <w:sz w:val="20"/>
                <w:lang w:eastAsia="en-GB"/>
              </w:rPr>
            </w:pPr>
            <w:r>
              <w:rPr>
                <w:rFonts w:eastAsia="Times New Roman"/>
                <w:noProof/>
                <w:sz w:val="20"/>
                <w:szCs w:val="20"/>
                <w:lang w:eastAsia="en-GB"/>
              </w:rPr>
              <w:t>p.m.</w:t>
            </w:r>
          </w:p>
        </w:tc>
        <w:tc>
          <w:tcPr>
            <w:tcW w:w="992" w:type="dxa"/>
          </w:tcPr>
          <w:p>
            <w:pPr>
              <w:spacing w:before="20" w:after="20"/>
              <w:jc w:val="right"/>
              <w:rPr>
                <w:rFonts w:eastAsia="Times New Roman"/>
                <w:noProof/>
                <w:sz w:val="20"/>
                <w:szCs w:val="20"/>
                <w:lang w:eastAsia="en-GB"/>
              </w:rPr>
            </w:pPr>
            <w:r>
              <w:rPr>
                <w:rFonts w:eastAsia="Times New Roman"/>
                <w:noProof/>
                <w:sz w:val="20"/>
                <w:szCs w:val="20"/>
                <w:lang w:eastAsia="en-GB"/>
              </w:rPr>
              <w:t>p.m.</w:t>
            </w:r>
          </w:p>
        </w:tc>
        <w:tc>
          <w:tcPr>
            <w:tcW w:w="992" w:type="dxa"/>
            <w:vAlign w:val="center"/>
          </w:tcPr>
          <w:p>
            <w:pPr>
              <w:spacing w:before="20" w:after="20"/>
              <w:jc w:val="right"/>
              <w:rPr>
                <w:noProof/>
                <w:sz w:val="20"/>
                <w:lang w:eastAsia="en-GB"/>
              </w:rPr>
            </w:pPr>
            <w:r>
              <w:rPr>
                <w:rFonts w:eastAsia="Times New Roman"/>
                <w:noProof/>
                <w:sz w:val="20"/>
                <w:szCs w:val="20"/>
                <w:lang w:eastAsia="en-GB"/>
              </w:rPr>
              <w:t xml:space="preserve"> </w:t>
            </w:r>
          </w:p>
        </w:tc>
        <w:tc>
          <w:tcPr>
            <w:tcW w:w="1702" w:type="dxa"/>
            <w:vAlign w:val="center"/>
          </w:tcPr>
          <w:p>
            <w:pPr>
              <w:spacing w:before="20" w:after="20"/>
              <w:jc w:val="center"/>
              <w:rPr>
                <w:b/>
                <w:noProof/>
                <w:sz w:val="20"/>
                <w:lang w:eastAsia="en-GB"/>
              </w:rPr>
            </w:pPr>
            <w:r>
              <w:rPr>
                <w:rFonts w:eastAsia="Times New Roman"/>
                <w:b/>
                <w:noProof/>
                <w:sz w:val="20"/>
                <w:szCs w:val="20"/>
                <w:lang w:eastAsia="en-GB"/>
              </w:rPr>
              <w:t>p.m.</w:t>
            </w:r>
          </w:p>
        </w:tc>
      </w:tr>
      <w:tr>
        <w:tc>
          <w:tcPr>
            <w:tcW w:w="3960" w:type="dxa"/>
            <w:vMerge/>
            <w:shd w:val="thinDiagStripe" w:color="C0C0C0" w:fill="auto"/>
          </w:tcPr>
          <w:p>
            <w:pPr>
              <w:rPr>
                <w:noProof/>
                <w:sz w:val="20"/>
                <w:lang w:eastAsia="en-GB"/>
              </w:rPr>
            </w:pPr>
          </w:p>
        </w:tc>
        <w:tc>
          <w:tcPr>
            <w:tcW w:w="1440" w:type="dxa"/>
            <w:vAlign w:val="center"/>
          </w:tcPr>
          <w:p>
            <w:pPr>
              <w:rPr>
                <w:noProof/>
                <w:sz w:val="18"/>
                <w:lang w:eastAsia="en-GB"/>
              </w:rPr>
            </w:pPr>
            <w:r>
              <w:rPr>
                <w:noProof/>
                <w:sz w:val="18"/>
                <w:lang w:eastAsia="en-GB"/>
              </w:rPr>
              <w:t>Payments</w:t>
            </w:r>
          </w:p>
        </w:tc>
        <w:tc>
          <w:tcPr>
            <w:tcW w:w="914" w:type="dxa"/>
            <w:vAlign w:val="center"/>
          </w:tcPr>
          <w:p>
            <w:pPr>
              <w:jc w:val="center"/>
              <w:rPr>
                <w:noProof/>
                <w:sz w:val="14"/>
                <w:lang w:eastAsia="en-GB"/>
              </w:rPr>
            </w:pPr>
            <w:r>
              <w:rPr>
                <w:noProof/>
                <w:sz w:val="14"/>
                <w:lang w:eastAsia="en-GB"/>
              </w:rPr>
              <w:t>=5+ 6</w:t>
            </w:r>
          </w:p>
        </w:tc>
        <w:tc>
          <w:tcPr>
            <w:tcW w:w="850" w:type="dxa"/>
            <w:vAlign w:val="center"/>
          </w:tcPr>
          <w:p>
            <w:pPr>
              <w:spacing w:before="20" w:after="20"/>
              <w:jc w:val="right"/>
              <w:rPr>
                <w:noProof/>
                <w:sz w:val="20"/>
                <w:lang w:eastAsia="en-GB"/>
              </w:rPr>
            </w:pPr>
            <w:r>
              <w:rPr>
                <w:rFonts w:eastAsia="Times New Roman"/>
                <w:noProof/>
                <w:sz w:val="20"/>
                <w:szCs w:val="20"/>
                <w:lang w:eastAsia="en-GB"/>
              </w:rPr>
              <w:t>p.m.</w:t>
            </w:r>
          </w:p>
        </w:tc>
        <w:tc>
          <w:tcPr>
            <w:tcW w:w="993" w:type="dxa"/>
            <w:vAlign w:val="center"/>
          </w:tcPr>
          <w:p>
            <w:pPr>
              <w:spacing w:before="20" w:after="20"/>
              <w:jc w:val="right"/>
              <w:rPr>
                <w:noProof/>
                <w:sz w:val="20"/>
                <w:lang w:eastAsia="en-GB"/>
              </w:rPr>
            </w:pPr>
            <w:r>
              <w:rPr>
                <w:rFonts w:eastAsia="Times New Roman"/>
                <w:noProof/>
                <w:sz w:val="20"/>
                <w:szCs w:val="20"/>
                <w:lang w:eastAsia="en-GB"/>
              </w:rPr>
              <w:t>p.m.</w:t>
            </w:r>
          </w:p>
        </w:tc>
        <w:tc>
          <w:tcPr>
            <w:tcW w:w="850" w:type="dxa"/>
            <w:vAlign w:val="center"/>
          </w:tcPr>
          <w:p>
            <w:pPr>
              <w:spacing w:before="20" w:after="20"/>
              <w:jc w:val="right"/>
              <w:rPr>
                <w:noProof/>
                <w:sz w:val="20"/>
                <w:lang w:eastAsia="en-GB"/>
              </w:rPr>
            </w:pPr>
            <w:r>
              <w:rPr>
                <w:rFonts w:eastAsia="Times New Roman"/>
                <w:noProof/>
                <w:sz w:val="20"/>
                <w:szCs w:val="20"/>
                <w:lang w:eastAsia="en-GB"/>
              </w:rPr>
              <w:t>p.m.</w:t>
            </w:r>
          </w:p>
        </w:tc>
        <w:tc>
          <w:tcPr>
            <w:tcW w:w="992" w:type="dxa"/>
          </w:tcPr>
          <w:p>
            <w:pPr>
              <w:spacing w:before="20" w:after="20"/>
              <w:jc w:val="right"/>
              <w:rPr>
                <w:rFonts w:eastAsia="Times New Roman"/>
                <w:noProof/>
                <w:sz w:val="20"/>
                <w:szCs w:val="20"/>
                <w:lang w:eastAsia="en-GB"/>
              </w:rPr>
            </w:pPr>
            <w:r>
              <w:rPr>
                <w:rFonts w:eastAsia="Times New Roman"/>
                <w:noProof/>
                <w:sz w:val="20"/>
                <w:szCs w:val="20"/>
                <w:lang w:eastAsia="en-GB"/>
              </w:rPr>
              <w:t>p.m.</w:t>
            </w:r>
          </w:p>
        </w:tc>
        <w:tc>
          <w:tcPr>
            <w:tcW w:w="992" w:type="dxa"/>
            <w:vAlign w:val="center"/>
          </w:tcPr>
          <w:p>
            <w:pPr>
              <w:spacing w:before="20" w:after="20"/>
              <w:jc w:val="right"/>
              <w:rPr>
                <w:noProof/>
                <w:sz w:val="20"/>
                <w:lang w:eastAsia="en-GB"/>
              </w:rPr>
            </w:pPr>
            <w:r>
              <w:rPr>
                <w:rFonts w:eastAsia="Times New Roman"/>
                <w:noProof/>
                <w:sz w:val="20"/>
                <w:szCs w:val="20"/>
                <w:lang w:eastAsia="en-GB"/>
              </w:rPr>
              <w:t>p.m.</w:t>
            </w:r>
          </w:p>
        </w:tc>
        <w:tc>
          <w:tcPr>
            <w:tcW w:w="1702" w:type="dxa"/>
            <w:vAlign w:val="center"/>
          </w:tcPr>
          <w:p>
            <w:pPr>
              <w:spacing w:before="20" w:after="20"/>
              <w:jc w:val="center"/>
              <w:rPr>
                <w:b/>
                <w:noProof/>
                <w:sz w:val="20"/>
                <w:lang w:eastAsia="en-GB"/>
              </w:rPr>
            </w:pPr>
            <w:r>
              <w:rPr>
                <w:rFonts w:eastAsia="Times New Roman"/>
                <w:b/>
                <w:noProof/>
                <w:sz w:val="20"/>
                <w:szCs w:val="20"/>
                <w:lang w:eastAsia="en-GB"/>
              </w:rPr>
              <w:t>p.m.</w:t>
            </w:r>
          </w:p>
        </w:tc>
      </w:tr>
    </w:tbl>
    <w:p>
      <w:pPr>
        <w:spacing w:after="40"/>
        <w:rPr>
          <w:b/>
          <w:noProof/>
          <w:u w:val="single"/>
          <w:lang w:eastAsia="en-GB"/>
        </w:rPr>
      </w:pPr>
      <w:r>
        <w:rPr>
          <w:b/>
          <w:noProof/>
          <w:u w:val="single"/>
          <w:lang w:eastAsia="en-GB"/>
        </w:rPr>
        <w:t>If more than one operational heading is affected by the proposal / initiative, repeat the section above: n/a</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914"/>
        <w:gridCol w:w="60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lang w:eastAsia="en-GB"/>
              </w:rPr>
            </w:pPr>
            <w:r>
              <w:rPr>
                <w:noProof/>
                <w:sz w:val="21"/>
                <w:lang w:eastAsia="en-GB"/>
              </w:rPr>
              <w:sym w:font="Wingdings" w:char="F09F"/>
            </w:r>
            <w:r>
              <w:rPr>
                <w:noProof/>
                <w:sz w:val="21"/>
                <w:lang w:eastAsia="en-GB"/>
              </w:rPr>
              <w:t xml:space="preserve"> TOTAL operational appropriations (all operational headings)</w:t>
            </w:r>
          </w:p>
        </w:tc>
        <w:tc>
          <w:tcPr>
            <w:tcW w:w="1440" w:type="dxa"/>
            <w:tcBorders>
              <w:top w:val="single" w:sz="4" w:space="0" w:color="auto"/>
            </w:tcBorders>
            <w:vAlign w:val="center"/>
          </w:tcPr>
          <w:p>
            <w:pPr>
              <w:spacing w:beforeLines="20" w:before="48" w:afterLines="20" w:after="48"/>
              <w:rPr>
                <w:noProof/>
                <w:sz w:val="18"/>
                <w:lang w:eastAsia="en-GB"/>
              </w:rPr>
            </w:pPr>
            <w:r>
              <w:rPr>
                <w:noProof/>
                <w:sz w:val="18"/>
                <w:lang w:eastAsia="en-GB"/>
              </w:rPr>
              <w:t>Commitments</w:t>
            </w:r>
          </w:p>
        </w:tc>
        <w:tc>
          <w:tcPr>
            <w:tcW w:w="914" w:type="dxa"/>
            <w:tcBorders>
              <w:top w:val="single" w:sz="4" w:space="0" w:color="auto"/>
            </w:tcBorders>
            <w:vAlign w:val="center"/>
          </w:tcPr>
          <w:p>
            <w:pPr>
              <w:spacing w:beforeLines="20" w:before="48" w:afterLines="20" w:after="48"/>
              <w:jc w:val="center"/>
              <w:rPr>
                <w:noProof/>
                <w:sz w:val="14"/>
                <w:lang w:eastAsia="en-GB"/>
              </w:rPr>
            </w:pPr>
            <w:r>
              <w:rPr>
                <w:noProof/>
                <w:sz w:val="14"/>
                <w:lang w:eastAsia="en-GB"/>
              </w:rPr>
              <w:t>(4)</w:t>
            </w:r>
          </w:p>
        </w:tc>
        <w:tc>
          <w:tcPr>
            <w:tcW w:w="60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noProof/>
                <w:sz w:val="20"/>
                <w:lang w:eastAsia="en-GB"/>
              </w:rPr>
            </w:pPr>
          </w:p>
        </w:tc>
        <w:tc>
          <w:tcPr>
            <w:tcW w:w="868" w:type="dxa"/>
            <w:tcBorders>
              <w:top w:val="single" w:sz="4" w:space="0" w:color="auto"/>
            </w:tcBorders>
            <w:vAlign w:val="center"/>
          </w:tcPr>
          <w:p>
            <w:pPr>
              <w:spacing w:before="20" w:after="20"/>
              <w:jc w:val="right"/>
              <w:rPr>
                <w:b/>
                <w:noProof/>
                <w:sz w:val="20"/>
                <w:lang w:eastAsia="en-GB"/>
              </w:rPr>
            </w:pPr>
          </w:p>
        </w:tc>
        <w:tc>
          <w:tcPr>
            <w:tcW w:w="1777" w:type="dxa"/>
            <w:tcBorders>
              <w:top w:val="single" w:sz="4" w:space="0" w:color="auto"/>
              <w:right w:val="single" w:sz="4" w:space="0" w:color="auto"/>
            </w:tcBorders>
            <w:vAlign w:val="center"/>
          </w:tcPr>
          <w:p>
            <w:pPr>
              <w:spacing w:before="20" w:after="20"/>
              <w:jc w:val="right"/>
              <w:rPr>
                <w:b/>
                <w:noProof/>
                <w:sz w:val="20"/>
                <w:lang w:eastAsia="en-GB"/>
              </w:rPr>
            </w:pPr>
          </w:p>
        </w:tc>
      </w:tr>
      <w:tr>
        <w:tc>
          <w:tcPr>
            <w:tcW w:w="3960" w:type="dxa"/>
            <w:vMerge/>
            <w:tcBorders>
              <w:top w:val="single" w:sz="4" w:space="0" w:color="FF0000"/>
              <w:left w:val="single" w:sz="4" w:space="0" w:color="auto"/>
              <w:bottom w:val="single" w:sz="4" w:space="0" w:color="FF0000"/>
            </w:tcBorders>
          </w:tcPr>
          <w:p>
            <w:pPr>
              <w:jc w:val="center"/>
              <w:rPr>
                <w:noProof/>
                <w:sz w:val="20"/>
                <w:lang w:eastAsia="en-GB"/>
              </w:rPr>
            </w:pPr>
          </w:p>
        </w:tc>
        <w:tc>
          <w:tcPr>
            <w:tcW w:w="1440" w:type="dxa"/>
            <w:vAlign w:val="center"/>
          </w:tcPr>
          <w:p>
            <w:pPr>
              <w:spacing w:beforeLines="20" w:before="48" w:afterLines="20" w:after="48"/>
              <w:rPr>
                <w:noProof/>
                <w:sz w:val="18"/>
                <w:lang w:eastAsia="en-GB"/>
              </w:rPr>
            </w:pPr>
            <w:r>
              <w:rPr>
                <w:noProof/>
                <w:sz w:val="18"/>
                <w:lang w:eastAsia="en-GB"/>
              </w:rPr>
              <w:t>Payments</w:t>
            </w:r>
          </w:p>
        </w:tc>
        <w:tc>
          <w:tcPr>
            <w:tcW w:w="914" w:type="dxa"/>
            <w:vAlign w:val="center"/>
          </w:tcPr>
          <w:p>
            <w:pPr>
              <w:spacing w:beforeLines="20" w:before="48" w:afterLines="20" w:after="48"/>
              <w:jc w:val="center"/>
              <w:rPr>
                <w:noProof/>
                <w:sz w:val="14"/>
                <w:lang w:eastAsia="en-GB"/>
              </w:rPr>
            </w:pPr>
            <w:r>
              <w:rPr>
                <w:noProof/>
                <w:sz w:val="14"/>
                <w:lang w:eastAsia="en-GB"/>
              </w:rPr>
              <w:t>(5)</w:t>
            </w:r>
          </w:p>
        </w:tc>
        <w:tc>
          <w:tcPr>
            <w:tcW w:w="60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b/>
                <w:noProof/>
                <w:sz w:val="20"/>
                <w:lang w:eastAsia="en-GB"/>
              </w:rPr>
            </w:pPr>
          </w:p>
        </w:tc>
        <w:tc>
          <w:tcPr>
            <w:tcW w:w="1777" w:type="dxa"/>
            <w:tcBorders>
              <w:right w:val="single" w:sz="4" w:space="0" w:color="auto"/>
            </w:tcBorders>
            <w:vAlign w:val="center"/>
          </w:tcPr>
          <w:p>
            <w:pPr>
              <w:spacing w:before="20" w:after="20"/>
              <w:jc w:val="right"/>
              <w:rPr>
                <w:b/>
                <w:noProof/>
                <w:sz w:val="20"/>
                <w:lang w:eastAsia="en-GB"/>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lang w:eastAsia="en-GB"/>
              </w:rPr>
            </w:pPr>
            <w:r>
              <w:rPr>
                <w:noProof/>
                <w:sz w:val="21"/>
                <w:lang w:eastAsia="en-GB"/>
              </w:rPr>
              <w:t xml:space="preserve"> TOTAL appropriations of an administrative nature financed from the envelope for specific programmes (all operational headings)</w:t>
            </w:r>
          </w:p>
        </w:tc>
        <w:tc>
          <w:tcPr>
            <w:tcW w:w="914" w:type="dxa"/>
            <w:vAlign w:val="center"/>
          </w:tcPr>
          <w:p>
            <w:pPr>
              <w:rPr>
                <w:noProof/>
                <w:lang w:eastAsia="en-GB"/>
              </w:rPr>
            </w:pPr>
          </w:p>
          <w:p>
            <w:pPr>
              <w:spacing w:beforeLines="20" w:before="48" w:afterLines="20" w:after="48"/>
              <w:jc w:val="center"/>
              <w:rPr>
                <w:noProof/>
                <w:sz w:val="14"/>
                <w:lang w:eastAsia="en-GB"/>
              </w:rPr>
            </w:pPr>
            <w:r>
              <w:rPr>
                <w:noProof/>
                <w:sz w:val="14"/>
                <w:lang w:eastAsia="en-GB"/>
              </w:rPr>
              <w:t>(6)</w:t>
            </w:r>
          </w:p>
        </w:tc>
        <w:tc>
          <w:tcPr>
            <w:tcW w:w="60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1777" w:type="dxa"/>
            <w:vAlign w:val="center"/>
          </w:tcPr>
          <w:p>
            <w:pPr>
              <w:spacing w:before="20" w:after="20"/>
              <w:jc w:val="right"/>
              <w:rPr>
                <w:b/>
                <w:noProof/>
                <w:sz w:val="20"/>
                <w:lang w:eastAsia="en-GB"/>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lang w:eastAsia="en-GB"/>
              </w:rPr>
            </w:pPr>
            <w:r>
              <w:rPr>
                <w:b/>
                <w:noProof/>
                <w:lang w:eastAsia="en-GB"/>
              </w:rPr>
              <w:t xml:space="preserve">TOTAL appropriations </w:t>
            </w:r>
            <w:r>
              <w:rPr>
                <w:noProof/>
                <w:lang w:eastAsia="en-GB"/>
              </w:rPr>
              <w:br/>
            </w:r>
            <w:r>
              <w:rPr>
                <w:b/>
                <w:noProof/>
                <w:lang w:eastAsia="en-GB"/>
              </w:rPr>
              <w:t>under HEADINGS 1 to 4</w:t>
            </w:r>
            <w:r>
              <w:rPr>
                <w:noProof/>
                <w:lang w:eastAsia="en-GB"/>
              </w:rPr>
              <w:br/>
              <w:t>of the multiannual financial framework</w:t>
            </w:r>
            <w:r>
              <w:rPr>
                <w:noProof/>
                <w:lang w:eastAsia="en-GB"/>
              </w:rPr>
              <w:br/>
            </w:r>
            <w:r>
              <w:rPr>
                <w:noProof/>
                <w:sz w:val="20"/>
                <w:lang w:eastAsia="en-GB"/>
              </w:rPr>
              <w:t>(Reference amount)</w:t>
            </w:r>
          </w:p>
        </w:tc>
        <w:tc>
          <w:tcPr>
            <w:tcW w:w="1440" w:type="dxa"/>
            <w:vAlign w:val="center"/>
          </w:tcPr>
          <w:p>
            <w:pPr>
              <w:rPr>
                <w:noProof/>
                <w:sz w:val="18"/>
                <w:lang w:eastAsia="en-GB"/>
              </w:rPr>
            </w:pPr>
            <w:r>
              <w:rPr>
                <w:noProof/>
                <w:sz w:val="18"/>
                <w:lang w:eastAsia="en-GB"/>
              </w:rPr>
              <w:t>Commitments</w:t>
            </w:r>
          </w:p>
        </w:tc>
        <w:tc>
          <w:tcPr>
            <w:tcW w:w="914" w:type="dxa"/>
            <w:vAlign w:val="center"/>
          </w:tcPr>
          <w:p>
            <w:pPr>
              <w:jc w:val="center"/>
              <w:rPr>
                <w:noProof/>
                <w:sz w:val="14"/>
                <w:lang w:eastAsia="en-GB"/>
              </w:rPr>
            </w:pPr>
            <w:r>
              <w:rPr>
                <w:noProof/>
                <w:sz w:val="14"/>
                <w:lang w:eastAsia="en-GB"/>
              </w:rPr>
              <w:t>=4+ 6</w:t>
            </w:r>
          </w:p>
        </w:tc>
        <w:tc>
          <w:tcPr>
            <w:tcW w:w="60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b/>
                <w:noProof/>
                <w:sz w:val="20"/>
                <w:lang w:eastAsia="en-GB"/>
              </w:rPr>
            </w:pPr>
          </w:p>
        </w:tc>
        <w:tc>
          <w:tcPr>
            <w:tcW w:w="1777" w:type="dxa"/>
            <w:tcBorders>
              <w:right w:val="single" w:sz="4" w:space="0" w:color="auto"/>
            </w:tcBorders>
            <w:vAlign w:val="center"/>
          </w:tcPr>
          <w:p>
            <w:pPr>
              <w:spacing w:before="20" w:after="20"/>
              <w:jc w:val="right"/>
              <w:rPr>
                <w:b/>
                <w:noProof/>
                <w:sz w:val="20"/>
                <w:lang w:eastAsia="en-GB"/>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lang w:eastAsia="en-GB"/>
              </w:rPr>
            </w:pPr>
          </w:p>
        </w:tc>
        <w:tc>
          <w:tcPr>
            <w:tcW w:w="1440" w:type="dxa"/>
            <w:tcBorders>
              <w:bottom w:val="single" w:sz="4" w:space="0" w:color="auto"/>
            </w:tcBorders>
            <w:vAlign w:val="center"/>
          </w:tcPr>
          <w:p>
            <w:pPr>
              <w:rPr>
                <w:noProof/>
                <w:sz w:val="18"/>
                <w:lang w:eastAsia="en-GB"/>
              </w:rPr>
            </w:pPr>
            <w:r>
              <w:rPr>
                <w:noProof/>
                <w:sz w:val="18"/>
                <w:lang w:eastAsia="en-GB"/>
              </w:rPr>
              <w:t>Payments</w:t>
            </w:r>
          </w:p>
        </w:tc>
        <w:tc>
          <w:tcPr>
            <w:tcW w:w="914" w:type="dxa"/>
            <w:tcBorders>
              <w:bottom w:val="single" w:sz="4" w:space="0" w:color="auto"/>
            </w:tcBorders>
            <w:vAlign w:val="center"/>
          </w:tcPr>
          <w:p>
            <w:pPr>
              <w:jc w:val="center"/>
              <w:rPr>
                <w:noProof/>
                <w:sz w:val="14"/>
                <w:lang w:eastAsia="en-GB"/>
              </w:rPr>
            </w:pPr>
            <w:r>
              <w:rPr>
                <w:noProof/>
                <w:sz w:val="14"/>
                <w:lang w:eastAsia="en-GB"/>
              </w:rPr>
              <w:t>=5+ 6</w:t>
            </w:r>
          </w:p>
        </w:tc>
        <w:tc>
          <w:tcPr>
            <w:tcW w:w="608" w:type="dxa"/>
            <w:tcBorders>
              <w:bottom w:val="single" w:sz="4" w:space="0" w:color="auto"/>
            </w:tcBorders>
            <w:vAlign w:val="center"/>
          </w:tcPr>
          <w:p>
            <w:pPr>
              <w:spacing w:before="20" w:after="20"/>
              <w:jc w:val="right"/>
              <w:rPr>
                <w:noProof/>
                <w:sz w:val="20"/>
                <w:lang w:eastAsia="en-GB"/>
              </w:rPr>
            </w:pPr>
          </w:p>
        </w:tc>
        <w:tc>
          <w:tcPr>
            <w:tcW w:w="868" w:type="dxa"/>
            <w:tcBorders>
              <w:bottom w:val="single" w:sz="4" w:space="0" w:color="auto"/>
            </w:tcBorders>
            <w:vAlign w:val="center"/>
          </w:tcPr>
          <w:p>
            <w:pPr>
              <w:spacing w:before="20" w:after="20"/>
              <w:jc w:val="right"/>
              <w:rPr>
                <w:noProof/>
                <w:sz w:val="20"/>
                <w:lang w:eastAsia="en-GB"/>
              </w:rPr>
            </w:pPr>
          </w:p>
        </w:tc>
        <w:tc>
          <w:tcPr>
            <w:tcW w:w="868" w:type="dxa"/>
            <w:tcBorders>
              <w:bottom w:val="single" w:sz="4" w:space="0" w:color="auto"/>
            </w:tcBorders>
            <w:vAlign w:val="center"/>
          </w:tcPr>
          <w:p>
            <w:pPr>
              <w:spacing w:before="20" w:after="20"/>
              <w:jc w:val="right"/>
              <w:rPr>
                <w:noProof/>
                <w:sz w:val="20"/>
                <w:lang w:eastAsia="en-GB"/>
              </w:rPr>
            </w:pPr>
          </w:p>
        </w:tc>
        <w:tc>
          <w:tcPr>
            <w:tcW w:w="868" w:type="dxa"/>
            <w:tcBorders>
              <w:bottom w:val="single" w:sz="4" w:space="0" w:color="auto"/>
            </w:tcBorders>
            <w:vAlign w:val="center"/>
          </w:tcPr>
          <w:p>
            <w:pPr>
              <w:spacing w:before="20" w:after="20"/>
              <w:jc w:val="right"/>
              <w:rPr>
                <w:noProof/>
                <w:sz w:val="20"/>
                <w:lang w:eastAsia="en-GB"/>
              </w:rPr>
            </w:pPr>
          </w:p>
        </w:tc>
        <w:tc>
          <w:tcPr>
            <w:tcW w:w="868" w:type="dxa"/>
            <w:tcBorders>
              <w:bottom w:val="single" w:sz="4" w:space="0" w:color="auto"/>
            </w:tcBorders>
            <w:vAlign w:val="center"/>
          </w:tcPr>
          <w:p>
            <w:pPr>
              <w:spacing w:before="20" w:after="20"/>
              <w:jc w:val="right"/>
              <w:rPr>
                <w:noProof/>
                <w:sz w:val="20"/>
                <w:lang w:eastAsia="en-GB"/>
              </w:rPr>
            </w:pPr>
          </w:p>
        </w:tc>
        <w:tc>
          <w:tcPr>
            <w:tcW w:w="868" w:type="dxa"/>
            <w:tcBorders>
              <w:bottom w:val="single" w:sz="4" w:space="0" w:color="auto"/>
            </w:tcBorders>
            <w:vAlign w:val="center"/>
          </w:tcPr>
          <w:p>
            <w:pPr>
              <w:spacing w:before="20" w:after="20"/>
              <w:jc w:val="right"/>
              <w:rPr>
                <w:noProof/>
                <w:sz w:val="20"/>
                <w:lang w:eastAsia="en-GB"/>
              </w:rPr>
            </w:pPr>
          </w:p>
        </w:tc>
        <w:tc>
          <w:tcPr>
            <w:tcW w:w="868" w:type="dxa"/>
            <w:tcBorders>
              <w:bottom w:val="single" w:sz="4" w:space="0" w:color="auto"/>
            </w:tcBorders>
            <w:vAlign w:val="center"/>
          </w:tcPr>
          <w:p>
            <w:pPr>
              <w:spacing w:before="20" w:after="20"/>
              <w:jc w:val="right"/>
              <w:rPr>
                <w:b/>
                <w:noProof/>
                <w:sz w:val="20"/>
                <w:lang w:eastAsia="en-GB"/>
              </w:rPr>
            </w:pPr>
          </w:p>
        </w:tc>
        <w:tc>
          <w:tcPr>
            <w:tcW w:w="1777" w:type="dxa"/>
            <w:tcBorders>
              <w:bottom w:val="single" w:sz="4" w:space="0" w:color="auto"/>
              <w:right w:val="single" w:sz="4" w:space="0" w:color="auto"/>
            </w:tcBorders>
            <w:vAlign w:val="center"/>
          </w:tcPr>
          <w:p>
            <w:pPr>
              <w:spacing w:before="20" w:after="20"/>
              <w:jc w:val="right"/>
              <w:rPr>
                <w:b/>
                <w:noProof/>
                <w:sz w:val="20"/>
                <w:lang w:eastAsia="en-GB"/>
              </w:rPr>
            </w:pPr>
          </w:p>
        </w:tc>
      </w:tr>
    </w:tbl>
    <w:p>
      <w:pPr>
        <w:rPr>
          <w:noProof/>
          <w:lang w:eastAsia="en-GB"/>
        </w:rPr>
      </w:pPr>
    </w:p>
    <w:p>
      <w:pPr>
        <w:spacing w:after="0"/>
        <w:rPr>
          <w:noProof/>
          <w:lang w:eastAsia="en-GB"/>
        </w:rPr>
      </w:pPr>
      <w:r>
        <w:rPr>
          <w:noProof/>
          <w:lang w:eastAsia="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eastAsia="en-GB"/>
              </w:rPr>
            </w:pPr>
            <w:r>
              <w:rPr>
                <w:noProof/>
                <w:lang w:eastAsia="en-GB"/>
              </w:rPr>
              <w:br w:type="page"/>
            </w:r>
            <w:r>
              <w:rPr>
                <w:b/>
                <w:noProof/>
                <w:lang w:eastAsia="en-GB"/>
              </w:rPr>
              <w:t xml:space="preserve">Heading of multiannual financial </w:t>
            </w:r>
            <w:r>
              <w:rPr>
                <w:noProof/>
                <w:lang w:eastAsia="en-GB"/>
              </w:rPr>
              <w:br/>
            </w:r>
            <w:r>
              <w:rPr>
                <w:b/>
                <w:noProof/>
                <w:lang w:eastAsia="en-GB"/>
              </w:rPr>
              <w:t xml:space="preserve">framework </w:t>
            </w:r>
          </w:p>
        </w:tc>
        <w:tc>
          <w:tcPr>
            <w:tcW w:w="1080" w:type="dxa"/>
            <w:shd w:val="thinDiagStripe" w:color="C0C0C0" w:fill="auto"/>
            <w:vAlign w:val="center"/>
          </w:tcPr>
          <w:p>
            <w:pPr>
              <w:spacing w:before="60" w:after="60"/>
              <w:jc w:val="center"/>
              <w:rPr>
                <w:noProof/>
                <w:lang w:eastAsia="en-GB"/>
              </w:rPr>
            </w:pPr>
            <w:r>
              <w:rPr>
                <w:b/>
                <w:noProof/>
                <w:lang w:eastAsia="en-GB"/>
              </w:rPr>
              <w:t>5</w:t>
            </w:r>
          </w:p>
        </w:tc>
        <w:tc>
          <w:tcPr>
            <w:tcW w:w="7817" w:type="dxa"/>
            <w:vAlign w:val="center"/>
          </w:tcPr>
          <w:p>
            <w:pPr>
              <w:spacing w:before="60" w:after="60"/>
              <w:rPr>
                <w:noProof/>
                <w:lang w:eastAsia="en-GB"/>
              </w:rPr>
            </w:pPr>
            <w:r>
              <w:rPr>
                <w:noProof/>
                <w:lang w:eastAsia="en-GB"/>
              </w:rPr>
              <w:t>‘Administrative expenditure’</w:t>
            </w:r>
          </w:p>
        </w:tc>
      </w:tr>
    </w:tbl>
    <w:p>
      <w:pPr>
        <w:rPr>
          <w:noProof/>
          <w:sz w:val="20"/>
          <w:lang w:eastAsia="en-GB"/>
        </w:rPr>
      </w:pPr>
      <w:r>
        <w:rPr>
          <w:noProof/>
          <w:lang w:eastAsia="en-GB"/>
        </w:rPr>
        <w:t xml:space="preserve">This section should be filled in using the 'budget data of an administrative nature' to be firstly introduced in the </w:t>
      </w:r>
      <w:hyperlink r:id="rId13" w:history="1">
        <w:r>
          <w:rPr>
            <w:noProof/>
            <w:color w:val="0000FF"/>
            <w:u w:val="single"/>
            <w:lang w:eastAsia="en-GB"/>
          </w:rPr>
          <w:t>Annex to the Legislative Financial Statement</w:t>
        </w:r>
      </w:hyperlink>
      <w:r>
        <w:rPr>
          <w:noProof/>
          <w:lang w:eastAsia="en-GB"/>
        </w:rPr>
        <w:t xml:space="preserve"> (Annex V to the internal rules), which is uploaded to DECIDE for interservice consultation purposes.</w:t>
      </w:r>
    </w:p>
    <w:p>
      <w:pPr>
        <w:jc w:val="right"/>
        <w:rPr>
          <w:noProof/>
          <w:sz w:val="20"/>
          <w:lang w:eastAsia="en-GB"/>
        </w:rPr>
      </w:pPr>
      <w:r>
        <w:rPr>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868"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N</w:t>
            </w:r>
          </w:p>
        </w:tc>
        <w:tc>
          <w:tcPr>
            <w:tcW w:w="868"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N+1</w:t>
            </w:r>
          </w:p>
        </w:tc>
        <w:tc>
          <w:tcPr>
            <w:tcW w:w="868"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N+2</w:t>
            </w:r>
          </w:p>
        </w:tc>
        <w:tc>
          <w:tcPr>
            <w:tcW w:w="868"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N+3</w:t>
            </w:r>
          </w:p>
        </w:tc>
        <w:tc>
          <w:tcPr>
            <w:tcW w:w="2604" w:type="dxa"/>
            <w:gridSpan w:val="3"/>
            <w:vAlign w:val="center"/>
          </w:tcPr>
          <w:p>
            <w:pPr>
              <w:jc w:val="center"/>
              <w:rPr>
                <w:b/>
                <w:noProof/>
                <w:sz w:val="18"/>
                <w:lang w:eastAsia="en-GB"/>
              </w:rPr>
            </w:pPr>
            <w:r>
              <w:rPr>
                <w:noProof/>
                <w:sz w:val="18"/>
                <w:lang w:eastAsia="en-GB"/>
              </w:rPr>
              <w:t xml:space="preserve">Enter as many years as necessary to show the duration of the impact (see point 1.6) </w:t>
            </w:r>
          </w:p>
        </w:tc>
        <w:tc>
          <w:tcPr>
            <w:tcW w:w="1777" w:type="dxa"/>
            <w:vAlign w:val="center"/>
          </w:tcPr>
          <w:p>
            <w:pPr>
              <w:jc w:val="center"/>
              <w:rPr>
                <w:b/>
                <w:noProof/>
                <w:sz w:val="20"/>
                <w:lang w:eastAsia="en-GB"/>
              </w:rPr>
            </w:pPr>
            <w:r>
              <w:rPr>
                <w:b/>
                <w:noProof/>
                <w:sz w:val="20"/>
                <w:lang w:eastAsia="en-GB"/>
              </w:rPr>
              <w:t>TOTAL</w:t>
            </w:r>
          </w:p>
        </w:tc>
      </w:tr>
      <w:tr>
        <w:trPr>
          <w:gridAfter w:val="10"/>
          <w:wAfter w:w="9947" w:type="dxa"/>
        </w:trPr>
        <w:tc>
          <w:tcPr>
            <w:tcW w:w="3960" w:type="dxa"/>
            <w:vAlign w:val="center"/>
          </w:tcPr>
          <w:p>
            <w:pPr>
              <w:spacing w:before="60" w:after="60"/>
              <w:jc w:val="center"/>
              <w:rPr>
                <w:noProof/>
                <w:lang w:eastAsia="en-GB"/>
              </w:rPr>
            </w:pPr>
            <w:r>
              <w:rPr>
                <w:noProof/>
                <w:lang w:eastAsia="en-GB"/>
              </w:rPr>
              <w:t>DG: &lt;…….&gt;</w:t>
            </w:r>
          </w:p>
        </w:tc>
      </w:tr>
      <w:tr>
        <w:trPr>
          <w:trHeight w:val="313"/>
        </w:trPr>
        <w:tc>
          <w:tcPr>
            <w:tcW w:w="6054" w:type="dxa"/>
            <w:gridSpan w:val="3"/>
            <w:vAlign w:val="center"/>
          </w:tcPr>
          <w:p>
            <w:pPr>
              <w:spacing w:before="20" w:after="20"/>
              <w:rPr>
                <w:noProof/>
                <w:lang w:eastAsia="en-GB"/>
              </w:rPr>
            </w:pPr>
            <w:r>
              <w:rPr>
                <w:noProof/>
                <w:lang w:eastAsia="en-GB"/>
              </w:rPr>
              <w:sym w:font="Wingdings" w:char="F09F"/>
            </w:r>
            <w:r>
              <w:rPr>
                <w:noProof/>
                <w:lang w:eastAsia="en-GB"/>
              </w:rPr>
              <w:t xml:space="preserve"> Human resources </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p>
        </w:tc>
        <w:tc>
          <w:tcPr>
            <w:tcW w:w="868" w:type="dxa"/>
            <w:vAlign w:val="center"/>
          </w:tcPr>
          <w:p>
            <w:pPr>
              <w:spacing w:before="20" w:after="20"/>
              <w:jc w:val="center"/>
              <w:rPr>
                <w:noProof/>
                <w:sz w:val="20"/>
                <w:lang w:eastAsia="en-GB"/>
              </w:rPr>
            </w:pPr>
          </w:p>
        </w:tc>
        <w:tc>
          <w:tcPr>
            <w:tcW w:w="868" w:type="dxa"/>
            <w:vAlign w:val="center"/>
          </w:tcPr>
          <w:p>
            <w:pPr>
              <w:spacing w:before="20" w:after="20"/>
              <w:jc w:val="center"/>
              <w:rPr>
                <w:b/>
                <w:noProof/>
                <w:sz w:val="20"/>
                <w:lang w:eastAsia="en-GB"/>
              </w:rPr>
            </w:pPr>
          </w:p>
        </w:tc>
        <w:tc>
          <w:tcPr>
            <w:tcW w:w="1777" w:type="dxa"/>
            <w:vAlign w:val="center"/>
          </w:tcPr>
          <w:p>
            <w:pPr>
              <w:spacing w:before="20" w:after="20"/>
              <w:jc w:val="center"/>
              <w:rPr>
                <w:b/>
                <w:noProof/>
                <w:sz w:val="20"/>
                <w:lang w:eastAsia="en-GB"/>
              </w:rPr>
            </w:pPr>
            <w:r>
              <w:rPr>
                <w:noProof/>
                <w:sz w:val="20"/>
                <w:lang w:eastAsia="en-GB"/>
              </w:rPr>
              <w:t>n/a</w:t>
            </w:r>
          </w:p>
        </w:tc>
      </w:tr>
      <w:tr>
        <w:trPr>
          <w:trHeight w:val="351"/>
        </w:trPr>
        <w:tc>
          <w:tcPr>
            <w:tcW w:w="6054" w:type="dxa"/>
            <w:gridSpan w:val="3"/>
            <w:vAlign w:val="center"/>
          </w:tcPr>
          <w:p>
            <w:pPr>
              <w:spacing w:before="20" w:after="20"/>
              <w:rPr>
                <w:noProof/>
                <w:lang w:eastAsia="en-GB"/>
              </w:rPr>
            </w:pPr>
            <w:r>
              <w:rPr>
                <w:noProof/>
                <w:lang w:eastAsia="en-GB"/>
              </w:rPr>
              <w:sym w:font="Wingdings" w:char="F09F"/>
            </w:r>
            <w:r>
              <w:rPr>
                <w:noProof/>
                <w:lang w:eastAsia="en-GB"/>
              </w:rPr>
              <w:t xml:space="preserve"> Other administrative expenditure </w:t>
            </w:r>
          </w:p>
        </w:tc>
        <w:tc>
          <w:tcPr>
            <w:tcW w:w="868" w:type="dxa"/>
            <w:vAlign w:val="center"/>
          </w:tcPr>
          <w:p>
            <w:pPr>
              <w:spacing w:before="20" w:after="20"/>
              <w:jc w:val="center"/>
              <w:rPr>
                <w:b/>
                <w:noProof/>
                <w:sz w:val="20"/>
                <w:lang w:eastAsia="en-GB"/>
              </w:rPr>
            </w:pPr>
            <w:r>
              <w:rPr>
                <w:noProof/>
                <w:sz w:val="20"/>
                <w:lang w:eastAsia="en-GB"/>
              </w:rPr>
              <w:t>n/a</w:t>
            </w:r>
          </w:p>
        </w:tc>
        <w:tc>
          <w:tcPr>
            <w:tcW w:w="868" w:type="dxa"/>
            <w:vAlign w:val="center"/>
          </w:tcPr>
          <w:p>
            <w:pPr>
              <w:spacing w:before="20" w:after="20"/>
              <w:jc w:val="center"/>
              <w:rPr>
                <w:b/>
                <w:noProof/>
                <w:sz w:val="20"/>
                <w:lang w:eastAsia="en-GB"/>
              </w:rPr>
            </w:pPr>
            <w:r>
              <w:rPr>
                <w:noProof/>
                <w:sz w:val="20"/>
                <w:lang w:eastAsia="en-GB"/>
              </w:rPr>
              <w:t>n/a</w:t>
            </w:r>
          </w:p>
        </w:tc>
        <w:tc>
          <w:tcPr>
            <w:tcW w:w="868" w:type="dxa"/>
            <w:vAlign w:val="center"/>
          </w:tcPr>
          <w:p>
            <w:pPr>
              <w:spacing w:before="20" w:after="20"/>
              <w:jc w:val="center"/>
              <w:rPr>
                <w:b/>
                <w:noProof/>
                <w:sz w:val="20"/>
                <w:lang w:eastAsia="en-GB"/>
              </w:rPr>
            </w:pPr>
            <w:r>
              <w:rPr>
                <w:noProof/>
                <w:sz w:val="20"/>
                <w:lang w:eastAsia="en-GB"/>
              </w:rPr>
              <w:t>n/a</w:t>
            </w:r>
          </w:p>
        </w:tc>
        <w:tc>
          <w:tcPr>
            <w:tcW w:w="868" w:type="dxa"/>
            <w:vAlign w:val="center"/>
          </w:tcPr>
          <w:p>
            <w:pPr>
              <w:spacing w:before="20" w:after="20"/>
              <w:jc w:val="center"/>
              <w:rPr>
                <w:b/>
                <w:noProof/>
                <w:sz w:val="20"/>
                <w:lang w:eastAsia="en-GB"/>
              </w:rPr>
            </w:pPr>
            <w:r>
              <w:rPr>
                <w:noProof/>
                <w:sz w:val="20"/>
                <w:lang w:eastAsia="en-GB"/>
              </w:rPr>
              <w:t>n/a</w:t>
            </w:r>
          </w:p>
        </w:tc>
        <w:tc>
          <w:tcPr>
            <w:tcW w:w="86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868" w:type="dxa"/>
            <w:vAlign w:val="center"/>
          </w:tcPr>
          <w:p>
            <w:pPr>
              <w:spacing w:before="20" w:after="20"/>
              <w:jc w:val="right"/>
              <w:rPr>
                <w:b/>
                <w:noProof/>
                <w:sz w:val="20"/>
                <w:lang w:eastAsia="en-GB"/>
              </w:rPr>
            </w:pPr>
          </w:p>
        </w:tc>
        <w:tc>
          <w:tcPr>
            <w:tcW w:w="1777" w:type="dxa"/>
            <w:vAlign w:val="center"/>
          </w:tcPr>
          <w:p>
            <w:pPr>
              <w:spacing w:before="20" w:after="20"/>
              <w:jc w:val="center"/>
              <w:rPr>
                <w:b/>
                <w:noProof/>
                <w:sz w:val="20"/>
                <w:lang w:eastAsia="en-GB"/>
              </w:rPr>
            </w:pPr>
            <w:r>
              <w:rPr>
                <w:noProof/>
                <w:sz w:val="20"/>
                <w:lang w:eastAsia="en-GB"/>
              </w:rPr>
              <w:t>n/a</w:t>
            </w:r>
          </w:p>
        </w:tc>
      </w:tr>
      <w:tr>
        <w:tc>
          <w:tcPr>
            <w:tcW w:w="3960" w:type="dxa"/>
            <w:vAlign w:val="center"/>
          </w:tcPr>
          <w:p>
            <w:pPr>
              <w:jc w:val="center"/>
              <w:rPr>
                <w:b/>
                <w:noProof/>
                <w:lang w:eastAsia="en-GB"/>
              </w:rPr>
            </w:pPr>
            <w:r>
              <w:rPr>
                <w:b/>
                <w:noProof/>
                <w:lang w:eastAsia="en-GB"/>
              </w:rPr>
              <w:t xml:space="preserve">TOTAL DG </w:t>
            </w:r>
            <w:r>
              <w:rPr>
                <w:noProof/>
                <w:lang w:eastAsia="en-GB"/>
              </w:rPr>
              <w:t>&lt;…….&gt;</w:t>
            </w:r>
          </w:p>
        </w:tc>
        <w:tc>
          <w:tcPr>
            <w:tcW w:w="2094" w:type="dxa"/>
            <w:gridSpan w:val="2"/>
            <w:vAlign w:val="center"/>
          </w:tcPr>
          <w:p>
            <w:pPr>
              <w:rPr>
                <w:noProof/>
                <w:sz w:val="14"/>
                <w:lang w:eastAsia="en-GB"/>
              </w:rPr>
            </w:pPr>
            <w:r>
              <w:rPr>
                <w:noProof/>
                <w:sz w:val="18"/>
                <w:lang w:eastAsia="en-GB"/>
              </w:rPr>
              <w:t xml:space="preserve">Appropriations </w:t>
            </w:r>
          </w:p>
        </w:tc>
        <w:tc>
          <w:tcPr>
            <w:tcW w:w="868" w:type="dxa"/>
            <w:vAlign w:val="center"/>
          </w:tcPr>
          <w:p>
            <w:pPr>
              <w:spacing w:before="60" w:after="6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noProof/>
                <w:sz w:val="20"/>
                <w:lang w:eastAsia="en-GB"/>
              </w:rPr>
            </w:pPr>
          </w:p>
        </w:tc>
        <w:tc>
          <w:tcPr>
            <w:tcW w:w="868" w:type="dxa"/>
            <w:vAlign w:val="center"/>
          </w:tcPr>
          <w:p>
            <w:pPr>
              <w:spacing w:before="20" w:after="20"/>
              <w:jc w:val="right"/>
              <w:rPr>
                <w:b/>
                <w:noProof/>
                <w:sz w:val="20"/>
                <w:lang w:eastAsia="en-GB"/>
              </w:rPr>
            </w:pPr>
          </w:p>
        </w:tc>
        <w:tc>
          <w:tcPr>
            <w:tcW w:w="1777" w:type="dxa"/>
            <w:vAlign w:val="center"/>
          </w:tcPr>
          <w:p>
            <w:pPr>
              <w:spacing w:before="20" w:after="20"/>
              <w:jc w:val="center"/>
              <w:rPr>
                <w:b/>
                <w:noProof/>
                <w:sz w:val="20"/>
                <w:lang w:eastAsia="en-GB"/>
              </w:rPr>
            </w:pPr>
            <w:r>
              <w:rPr>
                <w:noProof/>
                <w:sz w:val="20"/>
                <w:lang w:eastAsia="en-GB"/>
              </w:rPr>
              <w:t>n/a</w:t>
            </w:r>
          </w:p>
        </w:tc>
      </w:tr>
    </w:tbl>
    <w:p>
      <w:pPr>
        <w:rPr>
          <w:noProof/>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lang w:eastAsia="en-GB"/>
              </w:rPr>
            </w:pPr>
            <w:r>
              <w:rPr>
                <w:b/>
                <w:noProof/>
                <w:lang w:eastAsia="en-GB"/>
              </w:rPr>
              <w:t>TOTAL appropriations</w:t>
            </w:r>
            <w:r>
              <w:rPr>
                <w:noProof/>
                <w:lang w:eastAsia="en-GB"/>
              </w:rPr>
              <w:br/>
            </w:r>
            <w:r>
              <w:rPr>
                <w:b/>
                <w:noProof/>
                <w:lang w:eastAsia="en-GB"/>
              </w:rPr>
              <w:t>under HEADING 5</w:t>
            </w:r>
            <w:r>
              <w:rPr>
                <w:noProof/>
                <w:lang w:eastAsia="en-GB"/>
              </w:rPr>
              <w:br/>
              <w:t>of the multiannual financial framework</w:t>
            </w:r>
            <w:r>
              <w:rPr>
                <w:b/>
                <w:noProof/>
                <w:lang w:eastAsia="en-GB"/>
              </w:rPr>
              <w:t xml:space="preserve"> </w:t>
            </w:r>
          </w:p>
        </w:tc>
        <w:tc>
          <w:tcPr>
            <w:tcW w:w="2094" w:type="dxa"/>
            <w:vAlign w:val="center"/>
          </w:tcPr>
          <w:p>
            <w:pPr>
              <w:spacing w:before="40" w:after="40"/>
              <w:rPr>
                <w:noProof/>
                <w:lang w:eastAsia="en-GB"/>
              </w:rPr>
            </w:pPr>
            <w:r>
              <w:rPr>
                <w:noProof/>
                <w:sz w:val="18"/>
                <w:lang w:eastAsia="en-GB"/>
              </w:rPr>
              <w:t>(Total commitments = Total payments)</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r>
              <w:rPr>
                <w:noProof/>
                <w:sz w:val="20"/>
                <w:lang w:eastAsia="en-GB"/>
              </w:rPr>
              <w:t>n/a</w:t>
            </w:r>
          </w:p>
        </w:tc>
        <w:tc>
          <w:tcPr>
            <w:tcW w:w="868" w:type="dxa"/>
            <w:vAlign w:val="center"/>
          </w:tcPr>
          <w:p>
            <w:pPr>
              <w:spacing w:before="20" w:after="20"/>
              <w:jc w:val="center"/>
              <w:rPr>
                <w:noProof/>
                <w:sz w:val="20"/>
                <w:lang w:eastAsia="en-GB"/>
              </w:rPr>
            </w:pPr>
          </w:p>
        </w:tc>
        <w:tc>
          <w:tcPr>
            <w:tcW w:w="868" w:type="dxa"/>
            <w:vAlign w:val="center"/>
          </w:tcPr>
          <w:p>
            <w:pPr>
              <w:spacing w:before="20" w:after="20"/>
              <w:jc w:val="center"/>
              <w:rPr>
                <w:noProof/>
                <w:sz w:val="20"/>
                <w:lang w:eastAsia="en-GB"/>
              </w:rPr>
            </w:pPr>
          </w:p>
        </w:tc>
        <w:tc>
          <w:tcPr>
            <w:tcW w:w="868" w:type="dxa"/>
            <w:vAlign w:val="center"/>
          </w:tcPr>
          <w:p>
            <w:pPr>
              <w:spacing w:before="20" w:after="20"/>
              <w:jc w:val="center"/>
              <w:rPr>
                <w:b/>
                <w:noProof/>
                <w:sz w:val="20"/>
                <w:lang w:eastAsia="en-GB"/>
              </w:rPr>
            </w:pPr>
          </w:p>
        </w:tc>
        <w:tc>
          <w:tcPr>
            <w:tcW w:w="1777" w:type="dxa"/>
            <w:vAlign w:val="center"/>
          </w:tcPr>
          <w:p>
            <w:pPr>
              <w:spacing w:before="20" w:after="20"/>
              <w:jc w:val="center"/>
              <w:rPr>
                <w:b/>
                <w:noProof/>
                <w:sz w:val="20"/>
                <w:lang w:eastAsia="en-GB"/>
              </w:rPr>
            </w:pPr>
            <w:r>
              <w:rPr>
                <w:noProof/>
                <w:sz w:val="20"/>
                <w:lang w:eastAsia="en-GB"/>
              </w:rPr>
              <w:t>n/a</w:t>
            </w:r>
          </w:p>
        </w:tc>
      </w:tr>
    </w:tbl>
    <w:p>
      <w:pPr>
        <w:jc w:val="right"/>
        <w:rPr>
          <w:noProof/>
          <w:sz w:val="20"/>
          <w:lang w:eastAsia="en-GB"/>
        </w:rPr>
      </w:pPr>
      <w:r>
        <w:rPr>
          <w:noProof/>
          <w:sz w:val="20"/>
          <w:lang w:eastAsia="en-GB"/>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lang w:eastAsia="en-GB"/>
              </w:rPr>
            </w:pPr>
          </w:p>
        </w:tc>
        <w:tc>
          <w:tcPr>
            <w:tcW w:w="1560" w:type="dxa"/>
            <w:tcBorders>
              <w:top w:val="nil"/>
              <w:left w:val="nil"/>
              <w:right w:val="nil"/>
            </w:tcBorders>
          </w:tcPr>
          <w:p>
            <w:pPr>
              <w:rPr>
                <w:noProof/>
                <w:sz w:val="20"/>
                <w:lang w:eastAsia="en-GB"/>
              </w:rPr>
            </w:pPr>
          </w:p>
        </w:tc>
        <w:tc>
          <w:tcPr>
            <w:tcW w:w="534" w:type="dxa"/>
            <w:tcBorders>
              <w:top w:val="nil"/>
              <w:left w:val="nil"/>
            </w:tcBorders>
          </w:tcPr>
          <w:p>
            <w:pPr>
              <w:jc w:val="center"/>
              <w:rPr>
                <w:noProof/>
                <w:sz w:val="20"/>
                <w:lang w:eastAsia="en-GB"/>
              </w:rPr>
            </w:pPr>
          </w:p>
        </w:tc>
        <w:tc>
          <w:tcPr>
            <w:tcW w:w="868"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N</w:t>
            </w:r>
            <w:r>
              <w:rPr>
                <w:rStyle w:val="FootnoteReference"/>
                <w:noProof/>
              </w:rPr>
              <w:footnoteReference w:id="14"/>
            </w:r>
          </w:p>
        </w:tc>
        <w:tc>
          <w:tcPr>
            <w:tcW w:w="868"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N+1</w:t>
            </w:r>
          </w:p>
        </w:tc>
        <w:tc>
          <w:tcPr>
            <w:tcW w:w="868"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N+2</w:t>
            </w:r>
          </w:p>
        </w:tc>
        <w:tc>
          <w:tcPr>
            <w:tcW w:w="868" w:type="dxa"/>
            <w:vAlign w:val="center"/>
          </w:tcPr>
          <w:p>
            <w:pPr>
              <w:jc w:val="center"/>
              <w:rPr>
                <w:noProof/>
                <w:sz w:val="20"/>
                <w:lang w:eastAsia="en-GB"/>
              </w:rPr>
            </w:pPr>
            <w:r>
              <w:rPr>
                <w:noProof/>
                <w:sz w:val="20"/>
                <w:lang w:eastAsia="en-GB"/>
              </w:rPr>
              <w:t>Year</w:t>
            </w:r>
            <w:r>
              <w:rPr>
                <w:noProof/>
                <w:lang w:eastAsia="en-GB"/>
              </w:rPr>
              <w:br/>
            </w:r>
            <w:r>
              <w:rPr>
                <w:b/>
                <w:noProof/>
                <w:sz w:val="20"/>
                <w:lang w:eastAsia="en-GB"/>
              </w:rPr>
              <w:t>N+3</w:t>
            </w:r>
          </w:p>
        </w:tc>
        <w:tc>
          <w:tcPr>
            <w:tcW w:w="2604" w:type="dxa"/>
            <w:gridSpan w:val="3"/>
            <w:vAlign w:val="center"/>
          </w:tcPr>
          <w:p>
            <w:pPr>
              <w:jc w:val="center"/>
              <w:rPr>
                <w:b/>
                <w:noProof/>
                <w:sz w:val="18"/>
                <w:lang w:eastAsia="en-GB"/>
              </w:rPr>
            </w:pPr>
            <w:r>
              <w:rPr>
                <w:noProof/>
                <w:sz w:val="18"/>
                <w:lang w:eastAsia="en-GB"/>
              </w:rPr>
              <w:t>Enter as many years as necessary to show the duration of the impact (see point 1.6)</w:t>
            </w:r>
          </w:p>
        </w:tc>
        <w:tc>
          <w:tcPr>
            <w:tcW w:w="1777" w:type="dxa"/>
            <w:vAlign w:val="center"/>
          </w:tcPr>
          <w:p>
            <w:pPr>
              <w:jc w:val="center"/>
              <w:rPr>
                <w:b/>
                <w:noProof/>
                <w:sz w:val="20"/>
                <w:lang w:eastAsia="en-GB"/>
              </w:rPr>
            </w:pPr>
            <w:r>
              <w:rPr>
                <w:b/>
                <w:noProof/>
                <w:sz w:val="20"/>
                <w:lang w:eastAsia="en-GB"/>
              </w:rPr>
              <w:t>TOTAL</w:t>
            </w:r>
          </w:p>
        </w:tc>
      </w:tr>
      <w:tr>
        <w:tc>
          <w:tcPr>
            <w:tcW w:w="3960" w:type="dxa"/>
            <w:vMerge w:val="restart"/>
            <w:shd w:val="clear" w:color="auto" w:fill="C0C0C0"/>
            <w:vAlign w:val="center"/>
          </w:tcPr>
          <w:p>
            <w:pPr>
              <w:jc w:val="center"/>
              <w:rPr>
                <w:b/>
                <w:noProof/>
                <w:lang w:eastAsia="en-GB"/>
              </w:rPr>
            </w:pPr>
            <w:r>
              <w:rPr>
                <w:b/>
                <w:noProof/>
                <w:lang w:eastAsia="en-GB"/>
              </w:rPr>
              <w:t xml:space="preserve">TOTAL appropriations </w:t>
            </w:r>
            <w:r>
              <w:rPr>
                <w:noProof/>
                <w:lang w:eastAsia="en-GB"/>
              </w:rPr>
              <w:br/>
            </w:r>
            <w:r>
              <w:rPr>
                <w:b/>
                <w:noProof/>
                <w:lang w:eastAsia="en-GB"/>
              </w:rPr>
              <w:t>under HEADINGS 1 to 5</w:t>
            </w:r>
            <w:r>
              <w:rPr>
                <w:noProof/>
                <w:lang w:eastAsia="en-GB"/>
              </w:rPr>
              <w:br/>
              <w:t>of the multiannual financial framework</w:t>
            </w:r>
            <w:r>
              <w:rPr>
                <w:b/>
                <w:noProof/>
                <w:lang w:eastAsia="en-GB"/>
              </w:rPr>
              <w:t xml:space="preserve"> </w:t>
            </w:r>
          </w:p>
        </w:tc>
        <w:tc>
          <w:tcPr>
            <w:tcW w:w="2094" w:type="dxa"/>
            <w:gridSpan w:val="2"/>
            <w:vAlign w:val="center"/>
          </w:tcPr>
          <w:p>
            <w:pPr>
              <w:rPr>
                <w:noProof/>
                <w:sz w:val="14"/>
                <w:lang w:eastAsia="en-GB"/>
              </w:rPr>
            </w:pPr>
            <w:r>
              <w:rPr>
                <w:noProof/>
                <w:sz w:val="18"/>
                <w:lang w:eastAsia="en-GB"/>
              </w:rPr>
              <w:t>Commitments</w:t>
            </w:r>
          </w:p>
        </w:tc>
        <w:tc>
          <w:tcPr>
            <w:tcW w:w="868" w:type="dxa"/>
            <w:vAlign w:val="center"/>
          </w:tcPr>
          <w:p>
            <w:pPr>
              <w:spacing w:before="60" w:after="60"/>
              <w:jc w:val="center"/>
              <w:rPr>
                <w:noProof/>
                <w:sz w:val="20"/>
                <w:lang w:eastAsia="en-GB"/>
              </w:rPr>
            </w:pPr>
            <w:r>
              <w:rPr>
                <w:noProof/>
                <w:sz w:val="20"/>
                <w:lang w:eastAsia="en-GB"/>
              </w:rPr>
              <w:t>p.m.</w:t>
            </w:r>
          </w:p>
        </w:tc>
        <w:tc>
          <w:tcPr>
            <w:tcW w:w="868" w:type="dxa"/>
            <w:vAlign w:val="center"/>
          </w:tcPr>
          <w:p>
            <w:pPr>
              <w:spacing w:before="60" w:after="60"/>
              <w:jc w:val="center"/>
              <w:rPr>
                <w:noProof/>
                <w:sz w:val="20"/>
                <w:lang w:eastAsia="en-GB"/>
              </w:rPr>
            </w:pPr>
            <w:r>
              <w:rPr>
                <w:noProof/>
                <w:sz w:val="20"/>
                <w:lang w:eastAsia="en-GB"/>
              </w:rPr>
              <w:t>p.m.</w:t>
            </w:r>
          </w:p>
        </w:tc>
        <w:tc>
          <w:tcPr>
            <w:tcW w:w="868" w:type="dxa"/>
            <w:vAlign w:val="center"/>
          </w:tcPr>
          <w:p>
            <w:pPr>
              <w:spacing w:before="60" w:after="60"/>
              <w:jc w:val="center"/>
              <w:rPr>
                <w:noProof/>
                <w:sz w:val="20"/>
                <w:lang w:eastAsia="en-GB"/>
              </w:rPr>
            </w:pPr>
            <w:r>
              <w:rPr>
                <w:noProof/>
                <w:sz w:val="20"/>
                <w:lang w:eastAsia="en-GB"/>
              </w:rPr>
              <w:t>p.m.</w:t>
            </w:r>
          </w:p>
        </w:tc>
        <w:tc>
          <w:tcPr>
            <w:tcW w:w="868" w:type="dxa"/>
            <w:vAlign w:val="center"/>
          </w:tcPr>
          <w:p>
            <w:pPr>
              <w:spacing w:before="60" w:after="60"/>
              <w:jc w:val="center"/>
              <w:rPr>
                <w:noProof/>
                <w:sz w:val="20"/>
                <w:lang w:eastAsia="en-GB"/>
              </w:rPr>
            </w:pPr>
            <w:r>
              <w:rPr>
                <w:noProof/>
                <w:sz w:val="20"/>
                <w:lang w:eastAsia="en-GB"/>
              </w:rPr>
              <w:t>p.m.</w:t>
            </w:r>
          </w:p>
        </w:tc>
        <w:tc>
          <w:tcPr>
            <w:tcW w:w="868" w:type="dxa"/>
            <w:vAlign w:val="center"/>
          </w:tcPr>
          <w:p>
            <w:pPr>
              <w:spacing w:before="60" w:after="60"/>
              <w:jc w:val="center"/>
              <w:rPr>
                <w:noProof/>
                <w:sz w:val="20"/>
                <w:lang w:eastAsia="en-GB"/>
              </w:rPr>
            </w:pPr>
          </w:p>
        </w:tc>
        <w:tc>
          <w:tcPr>
            <w:tcW w:w="868" w:type="dxa"/>
            <w:vAlign w:val="center"/>
          </w:tcPr>
          <w:p>
            <w:pPr>
              <w:spacing w:before="60" w:after="60"/>
              <w:jc w:val="center"/>
              <w:rPr>
                <w:noProof/>
                <w:sz w:val="20"/>
                <w:lang w:eastAsia="en-GB"/>
              </w:rPr>
            </w:pPr>
          </w:p>
        </w:tc>
        <w:tc>
          <w:tcPr>
            <w:tcW w:w="868" w:type="dxa"/>
            <w:vAlign w:val="center"/>
          </w:tcPr>
          <w:p>
            <w:pPr>
              <w:spacing w:before="60" w:after="60"/>
              <w:jc w:val="center"/>
              <w:rPr>
                <w:b/>
                <w:noProof/>
                <w:sz w:val="20"/>
                <w:lang w:eastAsia="en-GB"/>
              </w:rPr>
            </w:pPr>
          </w:p>
        </w:tc>
        <w:tc>
          <w:tcPr>
            <w:tcW w:w="1777" w:type="dxa"/>
            <w:vAlign w:val="center"/>
          </w:tcPr>
          <w:p>
            <w:pPr>
              <w:spacing w:before="60" w:after="60"/>
              <w:jc w:val="center"/>
              <w:rPr>
                <w:b/>
                <w:noProof/>
                <w:sz w:val="20"/>
                <w:lang w:eastAsia="en-GB"/>
              </w:rPr>
            </w:pPr>
            <w:r>
              <w:rPr>
                <w:noProof/>
                <w:sz w:val="20"/>
                <w:lang w:eastAsia="en-GB"/>
              </w:rPr>
              <w:t>p.m.</w:t>
            </w:r>
          </w:p>
        </w:tc>
      </w:tr>
      <w:tr>
        <w:tc>
          <w:tcPr>
            <w:tcW w:w="3960" w:type="dxa"/>
            <w:vMerge/>
            <w:shd w:val="clear" w:color="auto" w:fill="C0C0C0"/>
          </w:tcPr>
          <w:p>
            <w:pPr>
              <w:rPr>
                <w:noProof/>
                <w:sz w:val="20"/>
                <w:lang w:eastAsia="en-GB"/>
              </w:rPr>
            </w:pPr>
          </w:p>
        </w:tc>
        <w:tc>
          <w:tcPr>
            <w:tcW w:w="2094" w:type="dxa"/>
            <w:gridSpan w:val="2"/>
            <w:vAlign w:val="center"/>
          </w:tcPr>
          <w:p>
            <w:pPr>
              <w:rPr>
                <w:noProof/>
                <w:sz w:val="14"/>
                <w:lang w:eastAsia="en-GB"/>
              </w:rPr>
            </w:pPr>
            <w:r>
              <w:rPr>
                <w:noProof/>
                <w:sz w:val="18"/>
                <w:lang w:eastAsia="en-GB"/>
              </w:rPr>
              <w:t>Payments</w:t>
            </w:r>
          </w:p>
        </w:tc>
        <w:tc>
          <w:tcPr>
            <w:tcW w:w="868" w:type="dxa"/>
            <w:vAlign w:val="center"/>
          </w:tcPr>
          <w:p>
            <w:pPr>
              <w:spacing w:before="60" w:after="60"/>
              <w:jc w:val="center"/>
              <w:rPr>
                <w:noProof/>
                <w:sz w:val="20"/>
                <w:lang w:eastAsia="en-GB"/>
              </w:rPr>
            </w:pPr>
            <w:r>
              <w:rPr>
                <w:noProof/>
                <w:sz w:val="20"/>
                <w:lang w:eastAsia="en-GB"/>
              </w:rPr>
              <w:t>p.m.</w:t>
            </w:r>
          </w:p>
        </w:tc>
        <w:tc>
          <w:tcPr>
            <w:tcW w:w="868" w:type="dxa"/>
            <w:vAlign w:val="center"/>
          </w:tcPr>
          <w:p>
            <w:pPr>
              <w:spacing w:before="60" w:after="60"/>
              <w:jc w:val="center"/>
              <w:rPr>
                <w:noProof/>
                <w:sz w:val="20"/>
                <w:lang w:eastAsia="en-GB"/>
              </w:rPr>
            </w:pPr>
            <w:r>
              <w:rPr>
                <w:noProof/>
                <w:sz w:val="20"/>
                <w:lang w:eastAsia="en-GB"/>
              </w:rPr>
              <w:t>p.m.</w:t>
            </w:r>
          </w:p>
        </w:tc>
        <w:tc>
          <w:tcPr>
            <w:tcW w:w="868" w:type="dxa"/>
            <w:vAlign w:val="center"/>
          </w:tcPr>
          <w:p>
            <w:pPr>
              <w:spacing w:before="60" w:after="60"/>
              <w:jc w:val="center"/>
              <w:rPr>
                <w:noProof/>
                <w:sz w:val="20"/>
                <w:lang w:eastAsia="en-GB"/>
              </w:rPr>
            </w:pPr>
            <w:r>
              <w:rPr>
                <w:noProof/>
                <w:sz w:val="20"/>
                <w:lang w:eastAsia="en-GB"/>
              </w:rPr>
              <w:t>p.m.</w:t>
            </w:r>
          </w:p>
        </w:tc>
        <w:tc>
          <w:tcPr>
            <w:tcW w:w="868" w:type="dxa"/>
            <w:vAlign w:val="center"/>
          </w:tcPr>
          <w:p>
            <w:pPr>
              <w:spacing w:before="60" w:after="60"/>
              <w:jc w:val="center"/>
              <w:rPr>
                <w:noProof/>
                <w:sz w:val="20"/>
                <w:lang w:eastAsia="en-GB"/>
              </w:rPr>
            </w:pPr>
            <w:r>
              <w:rPr>
                <w:noProof/>
                <w:sz w:val="20"/>
                <w:lang w:eastAsia="en-GB"/>
              </w:rPr>
              <w:t>p.m.</w:t>
            </w:r>
          </w:p>
        </w:tc>
        <w:tc>
          <w:tcPr>
            <w:tcW w:w="868" w:type="dxa"/>
            <w:vAlign w:val="center"/>
          </w:tcPr>
          <w:p>
            <w:pPr>
              <w:spacing w:before="60" w:after="60"/>
              <w:jc w:val="center"/>
              <w:rPr>
                <w:noProof/>
                <w:sz w:val="20"/>
                <w:lang w:eastAsia="en-GB"/>
              </w:rPr>
            </w:pPr>
          </w:p>
        </w:tc>
        <w:tc>
          <w:tcPr>
            <w:tcW w:w="868" w:type="dxa"/>
            <w:vAlign w:val="center"/>
          </w:tcPr>
          <w:p>
            <w:pPr>
              <w:spacing w:before="60" w:after="60"/>
              <w:jc w:val="center"/>
              <w:rPr>
                <w:noProof/>
                <w:sz w:val="20"/>
                <w:lang w:eastAsia="en-GB"/>
              </w:rPr>
            </w:pPr>
          </w:p>
        </w:tc>
        <w:tc>
          <w:tcPr>
            <w:tcW w:w="868" w:type="dxa"/>
            <w:vAlign w:val="center"/>
          </w:tcPr>
          <w:p>
            <w:pPr>
              <w:spacing w:before="60" w:after="60"/>
              <w:jc w:val="center"/>
              <w:rPr>
                <w:b/>
                <w:noProof/>
                <w:sz w:val="20"/>
                <w:lang w:eastAsia="en-GB"/>
              </w:rPr>
            </w:pPr>
          </w:p>
        </w:tc>
        <w:tc>
          <w:tcPr>
            <w:tcW w:w="1777" w:type="dxa"/>
            <w:vAlign w:val="center"/>
          </w:tcPr>
          <w:p>
            <w:pPr>
              <w:spacing w:before="60" w:after="60"/>
              <w:jc w:val="center"/>
              <w:rPr>
                <w:b/>
                <w:noProof/>
                <w:sz w:val="20"/>
                <w:lang w:eastAsia="en-GB"/>
              </w:rPr>
            </w:pPr>
            <w:r>
              <w:rPr>
                <w:noProof/>
                <w:sz w:val="20"/>
                <w:lang w:eastAsia="en-GB"/>
              </w:rPr>
              <w:t>p.m.</w:t>
            </w:r>
          </w:p>
        </w:tc>
      </w:tr>
    </w:tbl>
    <w:p>
      <w:pPr>
        <w:rPr>
          <w:noProof/>
          <w:lang w:eastAsia="en-GB"/>
        </w:rPr>
      </w:pPr>
    </w:p>
    <w:p>
      <w:pPr>
        <w:pStyle w:val="ManualHeading3"/>
        <w:rPr>
          <w:noProof/>
          <w:szCs w:val="24"/>
          <w:lang w:eastAsia="en-GB"/>
        </w:rPr>
      </w:pPr>
      <w:bookmarkStart w:id="58" w:name="_Toc514938054"/>
      <w:bookmarkStart w:id="59" w:name="_Toc520485053"/>
      <w:r>
        <w:t>3.2.2.</w:t>
      </w:r>
      <w:r>
        <w:tab/>
      </w:r>
      <w:r>
        <w:rPr>
          <w:noProof/>
          <w:lang w:eastAsia="en-GB"/>
        </w:rPr>
        <w:t>Estimated output funded with operational appropriations</w:t>
      </w:r>
      <w:bookmarkEnd w:id="58"/>
      <w:bookmarkEnd w:id="59"/>
      <w:r>
        <w:rPr>
          <w:noProof/>
          <w:lang w:eastAsia="en-GB"/>
        </w:rPr>
        <w:t xml:space="preserve"> </w:t>
      </w:r>
    </w:p>
    <w:p>
      <w:pPr>
        <w:jc w:val="right"/>
        <w:rPr>
          <w:noProof/>
          <w:sz w:val="20"/>
          <w:lang w:eastAsia="en-GB"/>
        </w:rPr>
      </w:pPr>
      <w:r>
        <w:rPr>
          <w:noProof/>
          <w:sz w:val="20"/>
          <w:lang w:eastAsia="en-GB"/>
        </w:rPr>
        <w:t>Commitment appropriations in EUR million (to three decimal places)</w:t>
      </w:r>
    </w:p>
    <w:tbl>
      <w:tblPr>
        <w:tblW w:w="11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1217"/>
        <w:gridCol w:w="850"/>
        <w:gridCol w:w="709"/>
        <w:gridCol w:w="709"/>
        <w:gridCol w:w="708"/>
        <w:gridCol w:w="851"/>
        <w:gridCol w:w="709"/>
        <w:gridCol w:w="850"/>
        <w:gridCol w:w="851"/>
        <w:gridCol w:w="850"/>
        <w:gridCol w:w="851"/>
        <w:gridCol w:w="992"/>
      </w:tblGrid>
      <w:tr>
        <w:trPr>
          <w:jc w:val="center"/>
        </w:trPr>
        <w:tc>
          <w:tcPr>
            <w:tcW w:w="1423" w:type="dxa"/>
            <w:vMerge w:val="restart"/>
            <w:vAlign w:val="center"/>
          </w:tcPr>
          <w:p>
            <w:pPr>
              <w:ind w:right="-29"/>
              <w:jc w:val="center"/>
              <w:rPr>
                <w:b/>
                <w:noProof/>
                <w:sz w:val="18"/>
                <w:szCs w:val="18"/>
                <w:lang w:eastAsia="en-GB"/>
              </w:rPr>
            </w:pPr>
            <w:r>
              <w:rPr>
                <w:b/>
                <w:noProof/>
                <w:sz w:val="18"/>
                <w:lang w:eastAsia="en-GB"/>
              </w:rPr>
              <w:t xml:space="preserve">Indicate objectives and outputs </w:t>
            </w:r>
          </w:p>
          <w:p>
            <w:pPr>
              <w:ind w:right="-29"/>
              <w:jc w:val="center"/>
              <w:rPr>
                <w:b/>
                <w:noProof/>
                <w:sz w:val="18"/>
                <w:szCs w:val="18"/>
                <w:lang w:eastAsia="en-GB"/>
              </w:rPr>
            </w:pPr>
          </w:p>
          <w:p>
            <w:pPr>
              <w:ind w:right="-29"/>
              <w:jc w:val="center"/>
              <w:rPr>
                <w:noProof/>
                <w:sz w:val="18"/>
                <w:szCs w:val="18"/>
                <w:lang w:eastAsia="en-GB"/>
              </w:rPr>
            </w:pPr>
            <w:r>
              <w:rPr>
                <w:noProof/>
                <w:sz w:val="18"/>
                <w:lang w:eastAsia="en-GB"/>
              </w:rPr>
              <w:sym w:font="Wingdings" w:char="F0F2"/>
            </w:r>
          </w:p>
        </w:tc>
        <w:tc>
          <w:tcPr>
            <w:tcW w:w="1217" w:type="dxa"/>
            <w:vAlign w:val="center"/>
          </w:tcPr>
          <w:p>
            <w:pPr>
              <w:ind w:right="-29"/>
              <w:jc w:val="center"/>
              <w:rPr>
                <w:noProof/>
                <w:sz w:val="18"/>
                <w:szCs w:val="18"/>
                <w:lang w:eastAsia="en-GB"/>
              </w:rPr>
            </w:pPr>
          </w:p>
        </w:tc>
        <w:tc>
          <w:tcPr>
            <w:tcW w:w="850" w:type="dxa"/>
            <w:vAlign w:val="center"/>
          </w:tcPr>
          <w:p>
            <w:pPr>
              <w:ind w:right="-29"/>
              <w:jc w:val="center"/>
              <w:rPr>
                <w:noProof/>
                <w:sz w:val="18"/>
                <w:szCs w:val="18"/>
                <w:lang w:eastAsia="en-GB"/>
              </w:rPr>
            </w:pPr>
          </w:p>
        </w:tc>
        <w:tc>
          <w:tcPr>
            <w:tcW w:w="1418" w:type="dxa"/>
            <w:gridSpan w:val="2"/>
            <w:tcBorders>
              <w:left w:val="nil"/>
            </w:tcBorders>
            <w:vAlign w:val="center"/>
          </w:tcPr>
          <w:p>
            <w:pPr>
              <w:ind w:right="-29"/>
              <w:jc w:val="center"/>
              <w:rPr>
                <w:noProof/>
                <w:sz w:val="18"/>
                <w:szCs w:val="18"/>
                <w:lang w:eastAsia="en-GB"/>
              </w:rPr>
            </w:pPr>
            <w:r>
              <w:rPr>
                <w:noProof/>
                <w:sz w:val="18"/>
                <w:lang w:eastAsia="en-GB"/>
              </w:rPr>
              <w:t>Year</w:t>
            </w:r>
            <w:r>
              <w:rPr>
                <w:noProof/>
                <w:lang w:eastAsia="en-GB"/>
              </w:rPr>
              <w:br/>
            </w:r>
            <w:r>
              <w:rPr>
                <w:b/>
                <w:noProof/>
                <w:sz w:val="18"/>
                <w:lang w:eastAsia="en-GB"/>
              </w:rPr>
              <w:t>2020</w:t>
            </w:r>
          </w:p>
        </w:tc>
        <w:tc>
          <w:tcPr>
            <w:tcW w:w="1559" w:type="dxa"/>
            <w:gridSpan w:val="2"/>
            <w:vAlign w:val="center"/>
          </w:tcPr>
          <w:p>
            <w:pPr>
              <w:ind w:right="-29"/>
              <w:jc w:val="center"/>
              <w:rPr>
                <w:noProof/>
                <w:sz w:val="18"/>
                <w:szCs w:val="18"/>
                <w:lang w:eastAsia="en-GB"/>
              </w:rPr>
            </w:pPr>
            <w:r>
              <w:rPr>
                <w:noProof/>
                <w:sz w:val="18"/>
                <w:lang w:eastAsia="en-GB"/>
              </w:rPr>
              <w:t>Year</w:t>
            </w:r>
            <w:r>
              <w:rPr>
                <w:noProof/>
                <w:lang w:eastAsia="en-GB"/>
              </w:rPr>
              <w:br/>
            </w:r>
            <w:r>
              <w:rPr>
                <w:b/>
                <w:noProof/>
                <w:sz w:val="18"/>
                <w:lang w:eastAsia="en-GB"/>
              </w:rPr>
              <w:t>2021</w:t>
            </w:r>
          </w:p>
        </w:tc>
        <w:tc>
          <w:tcPr>
            <w:tcW w:w="1559" w:type="dxa"/>
            <w:gridSpan w:val="2"/>
            <w:vAlign w:val="center"/>
          </w:tcPr>
          <w:p>
            <w:pPr>
              <w:ind w:right="-29"/>
              <w:jc w:val="center"/>
              <w:rPr>
                <w:noProof/>
                <w:sz w:val="18"/>
                <w:szCs w:val="18"/>
                <w:lang w:eastAsia="en-GB"/>
              </w:rPr>
            </w:pPr>
            <w:r>
              <w:rPr>
                <w:noProof/>
                <w:sz w:val="18"/>
                <w:lang w:eastAsia="en-GB"/>
              </w:rPr>
              <w:t>Year</w:t>
            </w:r>
            <w:r>
              <w:rPr>
                <w:noProof/>
                <w:lang w:eastAsia="en-GB"/>
              </w:rPr>
              <w:br/>
            </w:r>
            <w:r>
              <w:rPr>
                <w:b/>
                <w:noProof/>
                <w:sz w:val="18"/>
                <w:lang w:eastAsia="en-GB"/>
              </w:rPr>
              <w:t>2022</w:t>
            </w:r>
          </w:p>
        </w:tc>
        <w:tc>
          <w:tcPr>
            <w:tcW w:w="1701" w:type="dxa"/>
            <w:gridSpan w:val="2"/>
            <w:vAlign w:val="center"/>
          </w:tcPr>
          <w:p>
            <w:pPr>
              <w:ind w:right="-29"/>
              <w:jc w:val="center"/>
              <w:rPr>
                <w:noProof/>
                <w:sz w:val="18"/>
                <w:szCs w:val="18"/>
                <w:lang w:eastAsia="en-GB"/>
              </w:rPr>
            </w:pPr>
            <w:r>
              <w:rPr>
                <w:noProof/>
                <w:sz w:val="18"/>
                <w:lang w:eastAsia="en-GB"/>
              </w:rPr>
              <w:t>Year</w:t>
            </w:r>
            <w:r>
              <w:rPr>
                <w:noProof/>
                <w:lang w:eastAsia="en-GB"/>
              </w:rPr>
              <w:br/>
            </w:r>
            <w:r>
              <w:rPr>
                <w:b/>
                <w:noProof/>
                <w:sz w:val="18"/>
                <w:lang w:eastAsia="en-GB"/>
              </w:rPr>
              <w:t>2023</w:t>
            </w:r>
          </w:p>
        </w:tc>
        <w:tc>
          <w:tcPr>
            <w:tcW w:w="1843" w:type="dxa"/>
            <w:gridSpan w:val="2"/>
            <w:tcBorders>
              <w:left w:val="nil"/>
              <w:bottom w:val="nil"/>
            </w:tcBorders>
            <w:vAlign w:val="center"/>
          </w:tcPr>
          <w:p>
            <w:pPr>
              <w:ind w:right="-29"/>
              <w:jc w:val="center"/>
              <w:rPr>
                <w:noProof/>
                <w:sz w:val="18"/>
                <w:szCs w:val="18"/>
                <w:lang w:eastAsia="en-GB"/>
              </w:rPr>
            </w:pPr>
            <w:r>
              <w:rPr>
                <w:b/>
                <w:noProof/>
                <w:sz w:val="18"/>
                <w:lang w:eastAsia="en-GB"/>
              </w:rPr>
              <w:t>TOTAL</w:t>
            </w:r>
          </w:p>
        </w:tc>
      </w:tr>
      <w:tr>
        <w:trPr>
          <w:trHeight w:val="447"/>
          <w:jc w:val="center"/>
        </w:trPr>
        <w:tc>
          <w:tcPr>
            <w:tcW w:w="1423" w:type="dxa"/>
            <w:vMerge/>
            <w:vAlign w:val="center"/>
          </w:tcPr>
          <w:p>
            <w:pPr>
              <w:ind w:right="-29"/>
              <w:jc w:val="center"/>
              <w:rPr>
                <w:noProof/>
                <w:sz w:val="18"/>
                <w:szCs w:val="18"/>
                <w:lang w:eastAsia="en-GB"/>
              </w:rPr>
            </w:pPr>
          </w:p>
        </w:tc>
        <w:tc>
          <w:tcPr>
            <w:tcW w:w="10147" w:type="dxa"/>
            <w:gridSpan w:val="12"/>
          </w:tcPr>
          <w:p>
            <w:pPr>
              <w:ind w:right="-29"/>
              <w:jc w:val="center"/>
              <w:rPr>
                <w:noProof/>
                <w:sz w:val="18"/>
                <w:szCs w:val="18"/>
                <w:lang w:eastAsia="en-GB"/>
              </w:rPr>
            </w:pPr>
            <w:r>
              <w:rPr>
                <w:noProof/>
                <w:sz w:val="18"/>
                <w:szCs w:val="18"/>
                <w:lang w:eastAsia="en-GB"/>
              </w:rPr>
              <w:t>OUTPUTS</w:t>
            </w:r>
          </w:p>
        </w:tc>
      </w:tr>
      <w:tr>
        <w:trPr>
          <w:cantSplit/>
          <w:trHeight w:val="1134"/>
          <w:jc w:val="center"/>
        </w:trPr>
        <w:tc>
          <w:tcPr>
            <w:tcW w:w="1423" w:type="dxa"/>
            <w:vMerge/>
            <w:vAlign w:val="center"/>
          </w:tcPr>
          <w:p>
            <w:pPr>
              <w:rPr>
                <w:noProof/>
                <w:sz w:val="18"/>
                <w:szCs w:val="18"/>
                <w:lang w:eastAsia="en-GB"/>
              </w:rPr>
            </w:pPr>
          </w:p>
        </w:tc>
        <w:tc>
          <w:tcPr>
            <w:tcW w:w="1217" w:type="dxa"/>
            <w:vAlign w:val="center"/>
          </w:tcPr>
          <w:p>
            <w:pPr>
              <w:jc w:val="center"/>
              <w:rPr>
                <w:noProof/>
                <w:sz w:val="18"/>
                <w:szCs w:val="18"/>
                <w:lang w:eastAsia="en-GB"/>
              </w:rPr>
            </w:pPr>
            <w:r>
              <w:rPr>
                <w:noProof/>
                <w:sz w:val="18"/>
                <w:lang w:eastAsia="en-GB"/>
              </w:rPr>
              <w:t>Type</w:t>
            </w:r>
            <w:r>
              <w:rPr>
                <w:rStyle w:val="FootnoteReference"/>
                <w:noProof/>
              </w:rPr>
              <w:footnoteReference w:id="15"/>
            </w:r>
          </w:p>
          <w:p>
            <w:pPr>
              <w:spacing w:after="0"/>
              <w:jc w:val="center"/>
              <w:rPr>
                <w:noProof/>
                <w:sz w:val="18"/>
                <w:szCs w:val="18"/>
                <w:lang w:eastAsia="en-GB"/>
              </w:rPr>
            </w:pPr>
          </w:p>
        </w:tc>
        <w:tc>
          <w:tcPr>
            <w:tcW w:w="850" w:type="dxa"/>
            <w:vAlign w:val="center"/>
          </w:tcPr>
          <w:p>
            <w:pPr>
              <w:jc w:val="center"/>
              <w:rPr>
                <w:noProof/>
                <w:sz w:val="18"/>
                <w:szCs w:val="18"/>
                <w:lang w:eastAsia="en-GB"/>
              </w:rPr>
            </w:pPr>
            <w:r>
              <w:rPr>
                <w:noProof/>
                <w:sz w:val="18"/>
                <w:lang w:eastAsia="en-GB"/>
              </w:rPr>
              <w:t>Average cost</w:t>
            </w:r>
          </w:p>
        </w:tc>
        <w:tc>
          <w:tcPr>
            <w:tcW w:w="709" w:type="dxa"/>
            <w:tcBorders>
              <w:left w:val="nil"/>
              <w:right w:val="dashSmallGap" w:sz="4" w:space="0" w:color="auto"/>
            </w:tcBorders>
            <w:shd w:val="pct10" w:color="auto" w:fill="auto"/>
            <w:textDirection w:val="btLr"/>
            <w:vAlign w:val="center"/>
          </w:tcPr>
          <w:p>
            <w:pPr>
              <w:ind w:left="113" w:right="113"/>
              <w:jc w:val="center"/>
              <w:rPr>
                <w:noProof/>
                <w:sz w:val="18"/>
                <w:szCs w:val="18"/>
                <w:lang w:eastAsia="en-GB"/>
              </w:rPr>
            </w:pPr>
            <w:r>
              <w:rPr>
                <w:noProof/>
                <w:sz w:val="18"/>
                <w:lang w:eastAsia="en-GB"/>
              </w:rPr>
              <w:t>No</w:t>
            </w:r>
          </w:p>
        </w:tc>
        <w:tc>
          <w:tcPr>
            <w:tcW w:w="709" w:type="dxa"/>
            <w:tcBorders>
              <w:left w:val="dashSmallGap" w:sz="4" w:space="0" w:color="auto"/>
            </w:tcBorders>
            <w:shd w:val="pct10" w:color="auto" w:fill="auto"/>
            <w:vAlign w:val="center"/>
          </w:tcPr>
          <w:p>
            <w:pPr>
              <w:jc w:val="center"/>
              <w:rPr>
                <w:noProof/>
                <w:sz w:val="18"/>
                <w:szCs w:val="18"/>
                <w:lang w:eastAsia="en-GB"/>
              </w:rPr>
            </w:pPr>
            <w:r>
              <w:rPr>
                <w:noProof/>
                <w:sz w:val="18"/>
                <w:lang w:eastAsia="en-GB"/>
              </w:rPr>
              <w:t>Cost</w:t>
            </w:r>
          </w:p>
        </w:tc>
        <w:tc>
          <w:tcPr>
            <w:tcW w:w="708" w:type="dxa"/>
            <w:tcBorders>
              <w:right w:val="dashSmallGap" w:sz="4" w:space="0" w:color="auto"/>
            </w:tcBorders>
            <w:shd w:val="pct10" w:color="auto" w:fill="auto"/>
            <w:textDirection w:val="btLr"/>
            <w:vAlign w:val="center"/>
          </w:tcPr>
          <w:p>
            <w:pPr>
              <w:ind w:left="113" w:right="113"/>
              <w:jc w:val="center"/>
              <w:rPr>
                <w:noProof/>
                <w:sz w:val="18"/>
                <w:szCs w:val="18"/>
                <w:lang w:eastAsia="en-GB"/>
              </w:rPr>
            </w:pPr>
            <w:r>
              <w:rPr>
                <w:noProof/>
                <w:sz w:val="18"/>
                <w:lang w:eastAsia="en-GB"/>
              </w:rPr>
              <w:t>No</w:t>
            </w:r>
          </w:p>
        </w:tc>
        <w:tc>
          <w:tcPr>
            <w:tcW w:w="851" w:type="dxa"/>
            <w:tcBorders>
              <w:left w:val="dashSmallGap" w:sz="4" w:space="0" w:color="auto"/>
            </w:tcBorders>
            <w:shd w:val="pct10" w:color="auto" w:fill="auto"/>
            <w:vAlign w:val="center"/>
          </w:tcPr>
          <w:p>
            <w:pPr>
              <w:jc w:val="center"/>
              <w:rPr>
                <w:noProof/>
                <w:sz w:val="18"/>
                <w:szCs w:val="18"/>
                <w:lang w:eastAsia="en-GB"/>
              </w:rPr>
            </w:pPr>
            <w:r>
              <w:rPr>
                <w:noProof/>
                <w:sz w:val="18"/>
                <w:lang w:eastAsia="en-GB"/>
              </w:rPr>
              <w:t>Cost</w:t>
            </w:r>
          </w:p>
        </w:tc>
        <w:tc>
          <w:tcPr>
            <w:tcW w:w="709" w:type="dxa"/>
            <w:tcBorders>
              <w:right w:val="dashSmallGap" w:sz="4" w:space="0" w:color="auto"/>
            </w:tcBorders>
            <w:shd w:val="pct10" w:color="auto" w:fill="auto"/>
            <w:textDirection w:val="btLr"/>
            <w:vAlign w:val="center"/>
          </w:tcPr>
          <w:p>
            <w:pPr>
              <w:ind w:left="113" w:right="113"/>
              <w:jc w:val="center"/>
              <w:rPr>
                <w:noProof/>
                <w:sz w:val="18"/>
                <w:szCs w:val="18"/>
                <w:lang w:eastAsia="en-GB"/>
              </w:rPr>
            </w:pPr>
            <w:r>
              <w:rPr>
                <w:noProof/>
                <w:sz w:val="18"/>
                <w:lang w:eastAsia="en-GB"/>
              </w:rPr>
              <w:t>No</w:t>
            </w:r>
          </w:p>
        </w:tc>
        <w:tc>
          <w:tcPr>
            <w:tcW w:w="850" w:type="dxa"/>
            <w:tcBorders>
              <w:left w:val="dashSmallGap" w:sz="4" w:space="0" w:color="auto"/>
            </w:tcBorders>
            <w:shd w:val="pct10" w:color="auto" w:fill="auto"/>
            <w:vAlign w:val="center"/>
          </w:tcPr>
          <w:p>
            <w:pPr>
              <w:jc w:val="center"/>
              <w:rPr>
                <w:noProof/>
                <w:sz w:val="18"/>
                <w:szCs w:val="18"/>
                <w:lang w:eastAsia="en-GB"/>
              </w:rPr>
            </w:pPr>
            <w:r>
              <w:rPr>
                <w:noProof/>
                <w:sz w:val="18"/>
                <w:lang w:eastAsia="en-GB"/>
              </w:rPr>
              <w:t>Cost</w:t>
            </w:r>
          </w:p>
        </w:tc>
        <w:tc>
          <w:tcPr>
            <w:tcW w:w="851" w:type="dxa"/>
            <w:tcBorders>
              <w:right w:val="dashSmallGap" w:sz="4" w:space="0" w:color="auto"/>
            </w:tcBorders>
            <w:shd w:val="pct10" w:color="auto" w:fill="auto"/>
            <w:textDirection w:val="btLr"/>
            <w:vAlign w:val="center"/>
          </w:tcPr>
          <w:p>
            <w:pPr>
              <w:ind w:left="113" w:right="113"/>
              <w:jc w:val="center"/>
              <w:rPr>
                <w:noProof/>
                <w:sz w:val="18"/>
                <w:szCs w:val="18"/>
                <w:lang w:eastAsia="en-GB"/>
              </w:rPr>
            </w:pPr>
            <w:r>
              <w:rPr>
                <w:noProof/>
                <w:sz w:val="18"/>
                <w:lang w:eastAsia="en-GB"/>
              </w:rPr>
              <w:t>No</w:t>
            </w:r>
          </w:p>
        </w:tc>
        <w:tc>
          <w:tcPr>
            <w:tcW w:w="850" w:type="dxa"/>
            <w:tcBorders>
              <w:left w:val="dashSmallGap" w:sz="4" w:space="0" w:color="auto"/>
            </w:tcBorders>
            <w:shd w:val="pct10" w:color="auto" w:fill="auto"/>
            <w:vAlign w:val="center"/>
          </w:tcPr>
          <w:p>
            <w:pPr>
              <w:jc w:val="center"/>
              <w:rPr>
                <w:noProof/>
                <w:sz w:val="18"/>
                <w:szCs w:val="18"/>
                <w:lang w:eastAsia="en-GB"/>
              </w:rPr>
            </w:pPr>
            <w:r>
              <w:rPr>
                <w:noProof/>
                <w:sz w:val="18"/>
                <w:lang w:eastAsia="en-GB"/>
              </w:rPr>
              <w:t>Cost</w:t>
            </w:r>
          </w:p>
        </w:tc>
        <w:tc>
          <w:tcPr>
            <w:tcW w:w="851" w:type="dxa"/>
            <w:tcBorders>
              <w:right w:val="dashSmallGap" w:sz="4" w:space="0" w:color="auto"/>
            </w:tcBorders>
            <w:shd w:val="pct10" w:color="auto" w:fill="auto"/>
            <w:vAlign w:val="center"/>
          </w:tcPr>
          <w:p>
            <w:pPr>
              <w:jc w:val="center"/>
              <w:rPr>
                <w:noProof/>
                <w:sz w:val="18"/>
                <w:szCs w:val="18"/>
                <w:lang w:eastAsia="en-GB"/>
              </w:rPr>
            </w:pPr>
            <w:r>
              <w:rPr>
                <w:noProof/>
                <w:sz w:val="18"/>
                <w:lang w:eastAsia="en-GB"/>
              </w:rPr>
              <w:t>Total No</w:t>
            </w:r>
          </w:p>
        </w:tc>
        <w:tc>
          <w:tcPr>
            <w:tcW w:w="992" w:type="dxa"/>
            <w:tcBorders>
              <w:left w:val="dashSmallGap" w:sz="4" w:space="0" w:color="auto"/>
            </w:tcBorders>
            <w:shd w:val="pct10" w:color="auto" w:fill="auto"/>
            <w:vAlign w:val="center"/>
          </w:tcPr>
          <w:p>
            <w:pPr>
              <w:jc w:val="center"/>
              <w:rPr>
                <w:noProof/>
                <w:sz w:val="18"/>
                <w:szCs w:val="18"/>
                <w:lang w:eastAsia="en-GB"/>
              </w:rPr>
            </w:pPr>
            <w:r>
              <w:rPr>
                <w:noProof/>
                <w:sz w:val="18"/>
                <w:lang w:eastAsia="en-GB"/>
              </w:rPr>
              <w:t>Total cost</w:t>
            </w:r>
          </w:p>
        </w:tc>
      </w:tr>
      <w:tr>
        <w:trPr>
          <w:jc w:val="center"/>
        </w:trPr>
        <w:tc>
          <w:tcPr>
            <w:tcW w:w="3490" w:type="dxa"/>
            <w:gridSpan w:val="3"/>
            <w:vAlign w:val="center"/>
          </w:tcPr>
          <w:p>
            <w:pPr>
              <w:spacing w:before="60" w:after="60"/>
              <w:ind w:right="-29"/>
              <w:jc w:val="center"/>
              <w:rPr>
                <w:noProof/>
                <w:sz w:val="18"/>
                <w:szCs w:val="18"/>
                <w:lang w:eastAsia="en-GB"/>
              </w:rPr>
            </w:pPr>
            <w:r>
              <w:rPr>
                <w:noProof/>
                <w:sz w:val="18"/>
                <w:lang w:eastAsia="en-GB"/>
              </w:rPr>
              <w:t>SPECIFIC OBJECTIVE No 1</w:t>
            </w:r>
            <w:r>
              <w:rPr>
                <w:rStyle w:val="FootnoteReference"/>
                <w:noProof/>
              </w:rPr>
              <w:footnoteReference w:id="16"/>
            </w:r>
            <w:r>
              <w:rPr>
                <w:noProof/>
                <w:sz w:val="18"/>
                <w:lang w:eastAsia="en-GB"/>
              </w:rPr>
              <w:t>…</w:t>
            </w:r>
          </w:p>
        </w:tc>
        <w:tc>
          <w:tcPr>
            <w:tcW w:w="8080" w:type="dxa"/>
            <w:gridSpan w:val="10"/>
            <w:tcBorders>
              <w:top w:val="nil"/>
              <w:left w:val="nil"/>
              <w:bottom w:val="nil"/>
              <w:right w:val="single" w:sz="4" w:space="0" w:color="auto"/>
            </w:tcBorders>
          </w:tcPr>
          <w:p>
            <w:pPr>
              <w:spacing w:before="60" w:after="60"/>
              <w:ind w:right="-29"/>
              <w:jc w:val="center"/>
              <w:rPr>
                <w:noProof/>
                <w:sz w:val="18"/>
                <w:szCs w:val="18"/>
                <w:lang w:eastAsia="en-GB"/>
              </w:rPr>
            </w:pPr>
            <w:r>
              <w:rPr>
                <w:noProof/>
                <w:sz w:val="18"/>
                <w:szCs w:val="18"/>
                <w:lang w:eastAsia="en-GB"/>
              </w:rPr>
              <w:t>Safe and reliable operation of the HFR</w:t>
            </w:r>
          </w:p>
        </w:tc>
      </w:tr>
      <w:tr>
        <w:trPr>
          <w:trHeight w:hRule="exact" w:val="1224"/>
          <w:jc w:val="center"/>
        </w:trPr>
        <w:tc>
          <w:tcPr>
            <w:tcW w:w="1423" w:type="dxa"/>
          </w:tcPr>
          <w:p>
            <w:pPr>
              <w:ind w:right="-29"/>
              <w:jc w:val="center"/>
              <w:rPr>
                <w:noProof/>
                <w:sz w:val="18"/>
                <w:szCs w:val="18"/>
                <w:lang w:eastAsia="en-GB"/>
              </w:rPr>
            </w:pPr>
            <w:r>
              <w:rPr>
                <w:noProof/>
                <w:sz w:val="18"/>
                <w:lang w:eastAsia="en-GB"/>
              </w:rPr>
              <w:t>- Output</w:t>
            </w:r>
          </w:p>
        </w:tc>
        <w:tc>
          <w:tcPr>
            <w:tcW w:w="1217" w:type="dxa"/>
          </w:tcPr>
          <w:p>
            <w:pPr>
              <w:ind w:right="-29"/>
              <w:jc w:val="center"/>
              <w:rPr>
                <w:noProof/>
                <w:sz w:val="18"/>
                <w:szCs w:val="18"/>
                <w:lang w:eastAsia="en-GB"/>
              </w:rPr>
            </w:pPr>
            <w:r>
              <w:rPr>
                <w:noProof/>
                <w:sz w:val="18"/>
                <w:szCs w:val="18"/>
                <w:lang w:eastAsia="en-GB"/>
              </w:rPr>
              <w:t>Full-power operation days</w:t>
            </w:r>
          </w:p>
        </w:tc>
        <w:tc>
          <w:tcPr>
            <w:tcW w:w="850" w:type="dxa"/>
          </w:tcPr>
          <w:p>
            <w:pPr>
              <w:ind w:right="-29"/>
              <w:jc w:val="center"/>
              <w:rPr>
                <w:noProof/>
                <w:sz w:val="18"/>
                <w:szCs w:val="18"/>
                <w:lang w:eastAsia="en-GB"/>
              </w:rPr>
            </w:pPr>
            <w:r>
              <w:rPr>
                <w:noProof/>
                <w:sz w:val="18"/>
                <w:szCs w:val="18"/>
                <w:lang w:eastAsia="en-GB"/>
              </w:rPr>
              <w:t>n/a</w:t>
            </w:r>
          </w:p>
        </w:tc>
        <w:tc>
          <w:tcPr>
            <w:tcW w:w="709" w:type="dxa"/>
            <w:tcBorders>
              <w:right w:val="dashSmallGap" w:sz="4" w:space="0" w:color="auto"/>
            </w:tcBorders>
          </w:tcPr>
          <w:p>
            <w:pPr>
              <w:ind w:right="-29"/>
              <w:jc w:val="center"/>
              <w:rPr>
                <w:noProof/>
                <w:sz w:val="18"/>
                <w:szCs w:val="18"/>
                <w:lang w:eastAsia="en-GB"/>
              </w:rPr>
            </w:pPr>
            <w:r>
              <w:rPr>
                <w:noProof/>
                <w:sz w:val="18"/>
                <w:szCs w:val="18"/>
                <w:lang w:eastAsia="en-GB"/>
              </w:rPr>
              <w:t>250</w:t>
            </w:r>
          </w:p>
        </w:tc>
        <w:tc>
          <w:tcPr>
            <w:tcW w:w="709" w:type="dxa"/>
            <w:tcBorders>
              <w:left w:val="dashSmallGap" w:sz="4" w:space="0" w:color="auto"/>
            </w:tcBorders>
          </w:tcPr>
          <w:p>
            <w:pPr>
              <w:ind w:right="-29"/>
              <w:jc w:val="center"/>
              <w:rPr>
                <w:noProof/>
                <w:sz w:val="18"/>
                <w:szCs w:val="18"/>
                <w:lang w:eastAsia="en-GB"/>
              </w:rPr>
            </w:pPr>
            <w:r>
              <w:rPr>
                <w:noProof/>
                <w:sz w:val="18"/>
                <w:szCs w:val="18"/>
                <w:lang w:eastAsia="en-GB"/>
              </w:rPr>
              <w:t>p.m.</w:t>
            </w:r>
          </w:p>
        </w:tc>
        <w:tc>
          <w:tcPr>
            <w:tcW w:w="708" w:type="dxa"/>
            <w:tcBorders>
              <w:right w:val="dashSmallGap" w:sz="4" w:space="0" w:color="auto"/>
            </w:tcBorders>
          </w:tcPr>
          <w:p>
            <w:pPr>
              <w:ind w:right="-29"/>
              <w:jc w:val="center"/>
              <w:rPr>
                <w:noProof/>
                <w:sz w:val="18"/>
                <w:szCs w:val="18"/>
                <w:lang w:eastAsia="en-GB"/>
              </w:rPr>
            </w:pPr>
            <w:r>
              <w:rPr>
                <w:noProof/>
                <w:sz w:val="18"/>
                <w:szCs w:val="18"/>
                <w:lang w:eastAsia="en-GB"/>
              </w:rPr>
              <w:t>250</w:t>
            </w:r>
          </w:p>
        </w:tc>
        <w:tc>
          <w:tcPr>
            <w:tcW w:w="851" w:type="dxa"/>
            <w:tcBorders>
              <w:left w:val="dashSmallGap" w:sz="4" w:space="0" w:color="auto"/>
            </w:tcBorders>
          </w:tcPr>
          <w:p>
            <w:pPr>
              <w:ind w:right="-29"/>
              <w:jc w:val="center"/>
              <w:rPr>
                <w:noProof/>
                <w:sz w:val="18"/>
                <w:szCs w:val="18"/>
                <w:lang w:eastAsia="en-GB"/>
              </w:rPr>
            </w:pPr>
            <w:r>
              <w:rPr>
                <w:noProof/>
                <w:sz w:val="18"/>
                <w:szCs w:val="18"/>
                <w:lang w:eastAsia="en-GB"/>
              </w:rPr>
              <w:t>p.m.</w:t>
            </w:r>
          </w:p>
        </w:tc>
        <w:tc>
          <w:tcPr>
            <w:tcW w:w="709" w:type="dxa"/>
            <w:tcBorders>
              <w:right w:val="dashSmallGap" w:sz="4" w:space="0" w:color="auto"/>
            </w:tcBorders>
          </w:tcPr>
          <w:p>
            <w:pPr>
              <w:ind w:right="-29"/>
              <w:jc w:val="center"/>
              <w:rPr>
                <w:noProof/>
                <w:sz w:val="18"/>
                <w:szCs w:val="18"/>
                <w:lang w:eastAsia="en-GB"/>
              </w:rPr>
            </w:pPr>
            <w:r>
              <w:rPr>
                <w:noProof/>
                <w:sz w:val="18"/>
                <w:szCs w:val="18"/>
                <w:lang w:eastAsia="en-GB"/>
              </w:rPr>
              <w:t>250</w:t>
            </w:r>
          </w:p>
        </w:tc>
        <w:tc>
          <w:tcPr>
            <w:tcW w:w="850" w:type="dxa"/>
            <w:tcBorders>
              <w:left w:val="dashSmallGap" w:sz="4" w:space="0" w:color="auto"/>
            </w:tcBorders>
          </w:tcPr>
          <w:p>
            <w:pPr>
              <w:ind w:right="-29"/>
              <w:jc w:val="center"/>
              <w:rPr>
                <w:noProof/>
                <w:sz w:val="18"/>
                <w:szCs w:val="18"/>
                <w:lang w:eastAsia="en-GB"/>
              </w:rPr>
            </w:pPr>
            <w:r>
              <w:rPr>
                <w:noProof/>
                <w:sz w:val="18"/>
                <w:szCs w:val="18"/>
                <w:lang w:eastAsia="en-GB"/>
              </w:rPr>
              <w:t>p.m.</w:t>
            </w:r>
          </w:p>
        </w:tc>
        <w:tc>
          <w:tcPr>
            <w:tcW w:w="851" w:type="dxa"/>
            <w:tcBorders>
              <w:right w:val="dashSmallGap" w:sz="4" w:space="0" w:color="auto"/>
            </w:tcBorders>
          </w:tcPr>
          <w:p>
            <w:pPr>
              <w:ind w:right="-29"/>
              <w:jc w:val="center"/>
              <w:rPr>
                <w:noProof/>
                <w:sz w:val="18"/>
                <w:szCs w:val="18"/>
                <w:lang w:eastAsia="en-GB"/>
              </w:rPr>
            </w:pPr>
            <w:r>
              <w:rPr>
                <w:noProof/>
                <w:sz w:val="18"/>
                <w:szCs w:val="18"/>
                <w:lang w:eastAsia="en-GB"/>
              </w:rPr>
              <w:t>250</w:t>
            </w:r>
          </w:p>
        </w:tc>
        <w:tc>
          <w:tcPr>
            <w:tcW w:w="850" w:type="dxa"/>
            <w:tcBorders>
              <w:left w:val="dashSmallGap" w:sz="4" w:space="0" w:color="auto"/>
            </w:tcBorders>
          </w:tcPr>
          <w:p>
            <w:pPr>
              <w:ind w:right="-29"/>
              <w:jc w:val="center"/>
              <w:rPr>
                <w:noProof/>
                <w:sz w:val="18"/>
                <w:szCs w:val="18"/>
                <w:lang w:eastAsia="en-GB"/>
              </w:rPr>
            </w:pPr>
            <w:r>
              <w:rPr>
                <w:noProof/>
                <w:sz w:val="18"/>
                <w:szCs w:val="18"/>
                <w:lang w:eastAsia="en-GB"/>
              </w:rPr>
              <w:t>p.m.</w:t>
            </w:r>
          </w:p>
        </w:tc>
        <w:tc>
          <w:tcPr>
            <w:tcW w:w="851" w:type="dxa"/>
          </w:tcPr>
          <w:p>
            <w:pPr>
              <w:ind w:right="-29"/>
              <w:jc w:val="center"/>
              <w:rPr>
                <w:noProof/>
                <w:sz w:val="18"/>
                <w:szCs w:val="18"/>
                <w:lang w:eastAsia="en-GB"/>
              </w:rPr>
            </w:pPr>
            <w:r>
              <w:rPr>
                <w:noProof/>
                <w:sz w:val="18"/>
                <w:szCs w:val="18"/>
                <w:lang w:eastAsia="en-GB"/>
              </w:rPr>
              <w:t>1 000</w:t>
            </w:r>
          </w:p>
        </w:tc>
        <w:tc>
          <w:tcPr>
            <w:tcW w:w="992" w:type="dxa"/>
          </w:tcPr>
          <w:p>
            <w:pPr>
              <w:ind w:right="-29"/>
              <w:jc w:val="center"/>
              <w:rPr>
                <w:noProof/>
                <w:sz w:val="18"/>
                <w:szCs w:val="18"/>
                <w:lang w:eastAsia="en-GB"/>
              </w:rPr>
            </w:pPr>
            <w:r>
              <w:rPr>
                <w:noProof/>
                <w:sz w:val="18"/>
                <w:szCs w:val="18"/>
                <w:lang w:eastAsia="en-GB"/>
              </w:rPr>
              <w:t>p.m.</w:t>
            </w:r>
          </w:p>
        </w:tc>
      </w:tr>
      <w:tr>
        <w:trPr>
          <w:trHeight w:val="77"/>
          <w:jc w:val="center"/>
        </w:trPr>
        <w:tc>
          <w:tcPr>
            <w:tcW w:w="3490" w:type="dxa"/>
            <w:gridSpan w:val="3"/>
            <w:tcBorders>
              <w:bottom w:val="single" w:sz="12" w:space="0" w:color="auto"/>
            </w:tcBorders>
            <w:vAlign w:val="center"/>
          </w:tcPr>
          <w:p>
            <w:pPr>
              <w:ind w:right="-29"/>
              <w:jc w:val="center"/>
              <w:rPr>
                <w:noProof/>
                <w:sz w:val="18"/>
                <w:szCs w:val="18"/>
                <w:lang w:eastAsia="en-GB"/>
              </w:rPr>
            </w:pPr>
            <w:r>
              <w:rPr>
                <w:noProof/>
                <w:sz w:val="18"/>
                <w:lang w:eastAsia="en-GB"/>
              </w:rPr>
              <w:t>Subtotal for specific objective No 1</w:t>
            </w:r>
          </w:p>
        </w:tc>
        <w:tc>
          <w:tcPr>
            <w:tcW w:w="709" w:type="dxa"/>
            <w:tcBorders>
              <w:bottom w:val="single" w:sz="12" w:space="0" w:color="auto"/>
            </w:tcBorders>
          </w:tcPr>
          <w:p>
            <w:pPr>
              <w:ind w:right="-29"/>
              <w:jc w:val="center"/>
              <w:rPr>
                <w:noProof/>
                <w:sz w:val="18"/>
                <w:szCs w:val="18"/>
                <w:lang w:eastAsia="en-GB"/>
              </w:rPr>
            </w:pPr>
            <w:r>
              <w:rPr>
                <w:noProof/>
                <w:sz w:val="18"/>
                <w:szCs w:val="18"/>
                <w:lang w:eastAsia="en-GB"/>
              </w:rPr>
              <w:t>250</w:t>
            </w:r>
          </w:p>
        </w:tc>
        <w:tc>
          <w:tcPr>
            <w:tcW w:w="709" w:type="dxa"/>
            <w:tcBorders>
              <w:bottom w:val="single" w:sz="12" w:space="0" w:color="auto"/>
            </w:tcBorders>
          </w:tcPr>
          <w:p>
            <w:pPr>
              <w:ind w:right="-29"/>
              <w:jc w:val="center"/>
              <w:rPr>
                <w:noProof/>
                <w:sz w:val="18"/>
                <w:szCs w:val="18"/>
                <w:lang w:eastAsia="en-GB"/>
              </w:rPr>
            </w:pPr>
            <w:r>
              <w:rPr>
                <w:noProof/>
                <w:sz w:val="18"/>
                <w:szCs w:val="18"/>
                <w:lang w:eastAsia="en-GB"/>
              </w:rPr>
              <w:t>p.m.</w:t>
            </w:r>
          </w:p>
        </w:tc>
        <w:tc>
          <w:tcPr>
            <w:tcW w:w="708" w:type="dxa"/>
            <w:tcBorders>
              <w:bottom w:val="single" w:sz="12" w:space="0" w:color="auto"/>
            </w:tcBorders>
          </w:tcPr>
          <w:p>
            <w:pPr>
              <w:ind w:right="-29"/>
              <w:jc w:val="center"/>
              <w:rPr>
                <w:noProof/>
                <w:sz w:val="18"/>
                <w:szCs w:val="18"/>
                <w:lang w:eastAsia="en-GB"/>
              </w:rPr>
            </w:pPr>
            <w:r>
              <w:rPr>
                <w:noProof/>
                <w:sz w:val="18"/>
                <w:szCs w:val="18"/>
                <w:lang w:eastAsia="en-GB"/>
              </w:rPr>
              <w:t>250</w:t>
            </w:r>
          </w:p>
        </w:tc>
        <w:tc>
          <w:tcPr>
            <w:tcW w:w="851" w:type="dxa"/>
            <w:tcBorders>
              <w:bottom w:val="single" w:sz="12" w:space="0" w:color="auto"/>
            </w:tcBorders>
          </w:tcPr>
          <w:p>
            <w:pPr>
              <w:ind w:right="-29"/>
              <w:jc w:val="center"/>
              <w:rPr>
                <w:noProof/>
                <w:sz w:val="18"/>
                <w:szCs w:val="18"/>
                <w:lang w:eastAsia="en-GB"/>
              </w:rPr>
            </w:pPr>
            <w:r>
              <w:rPr>
                <w:noProof/>
                <w:sz w:val="18"/>
                <w:szCs w:val="18"/>
                <w:lang w:eastAsia="en-GB"/>
              </w:rPr>
              <w:t>p.m.</w:t>
            </w:r>
          </w:p>
        </w:tc>
        <w:tc>
          <w:tcPr>
            <w:tcW w:w="709" w:type="dxa"/>
            <w:tcBorders>
              <w:bottom w:val="single" w:sz="12" w:space="0" w:color="auto"/>
            </w:tcBorders>
          </w:tcPr>
          <w:p>
            <w:pPr>
              <w:ind w:right="-29"/>
              <w:jc w:val="center"/>
              <w:rPr>
                <w:noProof/>
                <w:sz w:val="18"/>
                <w:szCs w:val="18"/>
                <w:lang w:eastAsia="en-GB"/>
              </w:rPr>
            </w:pPr>
            <w:r>
              <w:rPr>
                <w:noProof/>
                <w:sz w:val="18"/>
                <w:szCs w:val="18"/>
                <w:lang w:eastAsia="en-GB"/>
              </w:rPr>
              <w:t>250</w:t>
            </w:r>
          </w:p>
        </w:tc>
        <w:tc>
          <w:tcPr>
            <w:tcW w:w="850" w:type="dxa"/>
            <w:tcBorders>
              <w:bottom w:val="single" w:sz="12" w:space="0" w:color="auto"/>
            </w:tcBorders>
          </w:tcPr>
          <w:p>
            <w:pPr>
              <w:ind w:right="-29"/>
              <w:jc w:val="center"/>
              <w:rPr>
                <w:noProof/>
                <w:sz w:val="18"/>
                <w:szCs w:val="18"/>
                <w:lang w:eastAsia="en-GB"/>
              </w:rPr>
            </w:pPr>
            <w:r>
              <w:rPr>
                <w:noProof/>
                <w:sz w:val="18"/>
                <w:szCs w:val="18"/>
                <w:lang w:eastAsia="en-GB"/>
              </w:rPr>
              <w:t>p.m.</w:t>
            </w:r>
          </w:p>
        </w:tc>
        <w:tc>
          <w:tcPr>
            <w:tcW w:w="851" w:type="dxa"/>
            <w:tcBorders>
              <w:bottom w:val="single" w:sz="12" w:space="0" w:color="auto"/>
            </w:tcBorders>
          </w:tcPr>
          <w:p>
            <w:pPr>
              <w:ind w:right="-29"/>
              <w:jc w:val="center"/>
              <w:rPr>
                <w:noProof/>
                <w:sz w:val="18"/>
                <w:szCs w:val="18"/>
                <w:lang w:eastAsia="en-GB"/>
              </w:rPr>
            </w:pPr>
            <w:r>
              <w:rPr>
                <w:noProof/>
                <w:sz w:val="18"/>
                <w:szCs w:val="18"/>
                <w:lang w:eastAsia="en-GB"/>
              </w:rPr>
              <w:t>250</w:t>
            </w:r>
          </w:p>
        </w:tc>
        <w:tc>
          <w:tcPr>
            <w:tcW w:w="850" w:type="dxa"/>
            <w:tcBorders>
              <w:bottom w:val="single" w:sz="12" w:space="0" w:color="auto"/>
            </w:tcBorders>
          </w:tcPr>
          <w:p>
            <w:pPr>
              <w:ind w:right="-29"/>
              <w:jc w:val="center"/>
              <w:rPr>
                <w:noProof/>
                <w:sz w:val="18"/>
                <w:szCs w:val="18"/>
                <w:lang w:eastAsia="en-GB"/>
              </w:rPr>
            </w:pPr>
            <w:r>
              <w:rPr>
                <w:noProof/>
                <w:sz w:val="18"/>
                <w:szCs w:val="18"/>
                <w:lang w:eastAsia="en-GB"/>
              </w:rPr>
              <w:t>p.m.</w:t>
            </w:r>
          </w:p>
        </w:tc>
        <w:tc>
          <w:tcPr>
            <w:tcW w:w="851" w:type="dxa"/>
            <w:tcBorders>
              <w:bottom w:val="single" w:sz="12" w:space="0" w:color="auto"/>
            </w:tcBorders>
          </w:tcPr>
          <w:p>
            <w:pPr>
              <w:ind w:right="-29"/>
              <w:jc w:val="center"/>
              <w:rPr>
                <w:noProof/>
                <w:sz w:val="18"/>
                <w:szCs w:val="18"/>
                <w:lang w:eastAsia="en-GB"/>
              </w:rPr>
            </w:pPr>
            <w:r>
              <w:rPr>
                <w:noProof/>
                <w:sz w:val="18"/>
                <w:szCs w:val="18"/>
                <w:lang w:eastAsia="en-GB"/>
              </w:rPr>
              <w:t>1 000</w:t>
            </w:r>
          </w:p>
        </w:tc>
        <w:tc>
          <w:tcPr>
            <w:tcW w:w="992" w:type="dxa"/>
            <w:tcBorders>
              <w:bottom w:val="single" w:sz="12" w:space="0" w:color="auto"/>
            </w:tcBorders>
          </w:tcPr>
          <w:p>
            <w:pPr>
              <w:ind w:right="-29"/>
              <w:jc w:val="center"/>
              <w:rPr>
                <w:noProof/>
                <w:sz w:val="18"/>
                <w:szCs w:val="18"/>
                <w:lang w:eastAsia="en-GB"/>
              </w:rPr>
            </w:pPr>
            <w:r>
              <w:rPr>
                <w:noProof/>
                <w:sz w:val="18"/>
                <w:szCs w:val="18"/>
                <w:lang w:eastAsia="en-GB"/>
              </w:rPr>
              <w:t>p.m.</w:t>
            </w:r>
          </w:p>
        </w:tc>
      </w:tr>
      <w:tr>
        <w:trPr>
          <w:jc w:val="center"/>
        </w:trPr>
        <w:tc>
          <w:tcPr>
            <w:tcW w:w="3490" w:type="dxa"/>
            <w:gridSpan w:val="3"/>
            <w:tcBorders>
              <w:top w:val="single" w:sz="12" w:space="0" w:color="auto"/>
              <w:left w:val="single" w:sz="12" w:space="0" w:color="auto"/>
              <w:bottom w:val="single" w:sz="12" w:space="0" w:color="auto"/>
            </w:tcBorders>
            <w:vAlign w:val="center"/>
          </w:tcPr>
          <w:p>
            <w:pPr>
              <w:ind w:right="-29"/>
              <w:jc w:val="center"/>
              <w:rPr>
                <w:noProof/>
                <w:sz w:val="18"/>
                <w:szCs w:val="18"/>
                <w:lang w:eastAsia="en-GB"/>
              </w:rPr>
            </w:pPr>
            <w:r>
              <w:rPr>
                <w:b/>
                <w:noProof/>
                <w:sz w:val="18"/>
                <w:lang w:eastAsia="en-GB"/>
              </w:rPr>
              <w:t>TOTALS</w:t>
            </w:r>
          </w:p>
        </w:tc>
        <w:tc>
          <w:tcPr>
            <w:tcW w:w="709" w:type="dxa"/>
            <w:tcBorders>
              <w:top w:val="single" w:sz="12" w:space="0" w:color="auto"/>
              <w:bottom w:val="single" w:sz="12" w:space="0" w:color="auto"/>
            </w:tcBorders>
          </w:tcPr>
          <w:p>
            <w:pPr>
              <w:spacing w:before="180" w:after="180"/>
              <w:ind w:right="-29"/>
              <w:jc w:val="center"/>
              <w:rPr>
                <w:noProof/>
                <w:sz w:val="18"/>
                <w:szCs w:val="18"/>
                <w:lang w:eastAsia="en-GB"/>
              </w:rPr>
            </w:pPr>
            <w:r>
              <w:rPr>
                <w:noProof/>
                <w:sz w:val="18"/>
                <w:szCs w:val="18"/>
                <w:lang w:eastAsia="en-GB"/>
              </w:rPr>
              <w:t>250</w:t>
            </w:r>
          </w:p>
        </w:tc>
        <w:tc>
          <w:tcPr>
            <w:tcW w:w="709" w:type="dxa"/>
            <w:tcBorders>
              <w:top w:val="single" w:sz="12" w:space="0" w:color="auto"/>
              <w:bottom w:val="single" w:sz="12" w:space="0" w:color="auto"/>
            </w:tcBorders>
          </w:tcPr>
          <w:p>
            <w:pPr>
              <w:spacing w:before="180" w:after="180"/>
              <w:ind w:right="-29"/>
              <w:jc w:val="center"/>
              <w:rPr>
                <w:noProof/>
                <w:sz w:val="18"/>
                <w:szCs w:val="18"/>
                <w:lang w:eastAsia="en-GB"/>
              </w:rPr>
            </w:pPr>
            <w:r>
              <w:rPr>
                <w:noProof/>
                <w:sz w:val="18"/>
                <w:szCs w:val="18"/>
                <w:lang w:eastAsia="en-GB"/>
              </w:rPr>
              <w:t>p.m.</w:t>
            </w:r>
          </w:p>
        </w:tc>
        <w:tc>
          <w:tcPr>
            <w:tcW w:w="708" w:type="dxa"/>
            <w:tcBorders>
              <w:top w:val="single" w:sz="12" w:space="0" w:color="auto"/>
              <w:bottom w:val="single" w:sz="12" w:space="0" w:color="auto"/>
            </w:tcBorders>
          </w:tcPr>
          <w:p>
            <w:pPr>
              <w:spacing w:before="180" w:after="180"/>
              <w:ind w:right="-29"/>
              <w:jc w:val="center"/>
              <w:rPr>
                <w:noProof/>
                <w:sz w:val="18"/>
                <w:szCs w:val="18"/>
                <w:lang w:eastAsia="en-GB"/>
              </w:rPr>
            </w:pPr>
            <w:r>
              <w:rPr>
                <w:noProof/>
                <w:sz w:val="18"/>
                <w:szCs w:val="18"/>
                <w:lang w:eastAsia="en-GB"/>
              </w:rPr>
              <w:t>250</w:t>
            </w:r>
          </w:p>
        </w:tc>
        <w:tc>
          <w:tcPr>
            <w:tcW w:w="851" w:type="dxa"/>
            <w:tcBorders>
              <w:top w:val="single" w:sz="12" w:space="0" w:color="auto"/>
              <w:bottom w:val="single" w:sz="12" w:space="0" w:color="auto"/>
            </w:tcBorders>
          </w:tcPr>
          <w:p>
            <w:pPr>
              <w:spacing w:before="180" w:after="180"/>
              <w:ind w:right="-29"/>
              <w:jc w:val="center"/>
              <w:rPr>
                <w:noProof/>
                <w:sz w:val="18"/>
                <w:szCs w:val="18"/>
                <w:lang w:eastAsia="en-GB"/>
              </w:rPr>
            </w:pPr>
            <w:r>
              <w:rPr>
                <w:noProof/>
                <w:sz w:val="18"/>
                <w:szCs w:val="18"/>
                <w:lang w:eastAsia="en-GB"/>
              </w:rPr>
              <w:t>p.m.</w:t>
            </w:r>
          </w:p>
        </w:tc>
        <w:tc>
          <w:tcPr>
            <w:tcW w:w="709" w:type="dxa"/>
            <w:tcBorders>
              <w:top w:val="single" w:sz="12" w:space="0" w:color="auto"/>
              <w:bottom w:val="single" w:sz="12" w:space="0" w:color="auto"/>
            </w:tcBorders>
          </w:tcPr>
          <w:p>
            <w:pPr>
              <w:spacing w:before="180" w:after="180"/>
              <w:ind w:right="-29"/>
              <w:jc w:val="center"/>
              <w:rPr>
                <w:noProof/>
                <w:sz w:val="18"/>
                <w:szCs w:val="18"/>
                <w:lang w:eastAsia="en-GB"/>
              </w:rPr>
            </w:pPr>
            <w:r>
              <w:rPr>
                <w:noProof/>
                <w:sz w:val="18"/>
                <w:szCs w:val="18"/>
                <w:lang w:eastAsia="en-GB"/>
              </w:rPr>
              <w:t>250</w:t>
            </w:r>
          </w:p>
        </w:tc>
        <w:tc>
          <w:tcPr>
            <w:tcW w:w="850" w:type="dxa"/>
            <w:tcBorders>
              <w:top w:val="single" w:sz="12" w:space="0" w:color="auto"/>
              <w:bottom w:val="single" w:sz="12" w:space="0" w:color="auto"/>
            </w:tcBorders>
          </w:tcPr>
          <w:p>
            <w:pPr>
              <w:spacing w:before="180" w:after="180"/>
              <w:ind w:right="-29"/>
              <w:jc w:val="center"/>
              <w:rPr>
                <w:noProof/>
                <w:sz w:val="18"/>
                <w:szCs w:val="18"/>
                <w:lang w:eastAsia="en-GB"/>
              </w:rPr>
            </w:pPr>
            <w:r>
              <w:rPr>
                <w:noProof/>
                <w:sz w:val="18"/>
                <w:szCs w:val="18"/>
                <w:lang w:eastAsia="en-GB"/>
              </w:rPr>
              <w:t>p.m.</w:t>
            </w:r>
          </w:p>
        </w:tc>
        <w:tc>
          <w:tcPr>
            <w:tcW w:w="851" w:type="dxa"/>
            <w:tcBorders>
              <w:top w:val="single" w:sz="12" w:space="0" w:color="auto"/>
              <w:bottom w:val="single" w:sz="12" w:space="0" w:color="auto"/>
            </w:tcBorders>
          </w:tcPr>
          <w:p>
            <w:pPr>
              <w:spacing w:before="180" w:after="180"/>
              <w:ind w:right="-29"/>
              <w:jc w:val="center"/>
              <w:rPr>
                <w:noProof/>
                <w:sz w:val="18"/>
                <w:szCs w:val="18"/>
                <w:lang w:eastAsia="en-GB"/>
              </w:rPr>
            </w:pPr>
            <w:r>
              <w:rPr>
                <w:noProof/>
                <w:sz w:val="18"/>
                <w:szCs w:val="18"/>
                <w:lang w:eastAsia="en-GB"/>
              </w:rPr>
              <w:t>250</w:t>
            </w:r>
          </w:p>
        </w:tc>
        <w:tc>
          <w:tcPr>
            <w:tcW w:w="850" w:type="dxa"/>
            <w:tcBorders>
              <w:top w:val="single" w:sz="12" w:space="0" w:color="auto"/>
              <w:bottom w:val="single" w:sz="12" w:space="0" w:color="auto"/>
            </w:tcBorders>
          </w:tcPr>
          <w:p>
            <w:pPr>
              <w:spacing w:before="180" w:after="180"/>
              <w:ind w:right="-29"/>
              <w:jc w:val="center"/>
              <w:rPr>
                <w:noProof/>
                <w:sz w:val="18"/>
                <w:szCs w:val="18"/>
                <w:lang w:eastAsia="en-GB"/>
              </w:rPr>
            </w:pPr>
            <w:r>
              <w:rPr>
                <w:noProof/>
                <w:sz w:val="18"/>
                <w:szCs w:val="18"/>
                <w:lang w:eastAsia="en-GB"/>
              </w:rPr>
              <w:t>p.m.</w:t>
            </w:r>
          </w:p>
        </w:tc>
        <w:tc>
          <w:tcPr>
            <w:tcW w:w="851" w:type="dxa"/>
            <w:tcBorders>
              <w:top w:val="single" w:sz="12" w:space="0" w:color="auto"/>
              <w:bottom w:val="single" w:sz="12" w:space="0" w:color="auto"/>
            </w:tcBorders>
          </w:tcPr>
          <w:p>
            <w:pPr>
              <w:spacing w:before="180" w:after="180"/>
              <w:ind w:right="-29"/>
              <w:jc w:val="center"/>
              <w:rPr>
                <w:noProof/>
                <w:sz w:val="18"/>
                <w:szCs w:val="18"/>
                <w:lang w:eastAsia="en-GB"/>
              </w:rPr>
            </w:pPr>
            <w:r>
              <w:rPr>
                <w:noProof/>
                <w:sz w:val="18"/>
                <w:szCs w:val="18"/>
                <w:lang w:eastAsia="en-GB"/>
              </w:rPr>
              <w:t>1 000</w:t>
            </w:r>
          </w:p>
        </w:tc>
        <w:tc>
          <w:tcPr>
            <w:tcW w:w="992" w:type="dxa"/>
            <w:tcBorders>
              <w:top w:val="single" w:sz="12" w:space="0" w:color="auto"/>
              <w:bottom w:val="single" w:sz="12" w:space="0" w:color="auto"/>
              <w:right w:val="single" w:sz="12" w:space="0" w:color="auto"/>
            </w:tcBorders>
          </w:tcPr>
          <w:p>
            <w:pPr>
              <w:spacing w:before="180" w:after="180"/>
              <w:ind w:right="-29"/>
              <w:jc w:val="center"/>
              <w:rPr>
                <w:noProof/>
                <w:sz w:val="18"/>
                <w:szCs w:val="18"/>
                <w:lang w:eastAsia="en-GB"/>
              </w:rPr>
            </w:pPr>
            <w:r>
              <w:rPr>
                <w:noProof/>
                <w:sz w:val="18"/>
                <w:szCs w:val="18"/>
                <w:lang w:eastAsia="en-GB"/>
              </w:rPr>
              <w:t>p.m.</w:t>
            </w:r>
          </w:p>
        </w:tc>
      </w:tr>
    </w:tbl>
    <w:p>
      <w:pPr>
        <w:rPr>
          <w:noProof/>
          <w:lang w:eastAsia="en-GB"/>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pStyle w:val="ManualHeading3"/>
        <w:rPr>
          <w:noProof/>
          <w:szCs w:val="24"/>
          <w:lang w:eastAsia="en-GB"/>
        </w:rPr>
      </w:pPr>
      <w:bookmarkStart w:id="60" w:name="_Toc514938055"/>
      <w:bookmarkStart w:id="61" w:name="_Toc520485054"/>
      <w:r>
        <w:t>3.2.3.</w:t>
      </w:r>
      <w:r>
        <w:tab/>
      </w:r>
      <w:r>
        <w:rPr>
          <w:noProof/>
          <w:lang w:eastAsia="en-GB"/>
        </w:rPr>
        <w:t>Summary of estimated impact on administrative appropriations</w:t>
      </w:r>
      <w:bookmarkEnd w:id="60"/>
      <w:bookmarkEnd w:id="61"/>
      <w:r>
        <w:rPr>
          <w:noProof/>
          <w:lang w:eastAsia="en-GB"/>
        </w:rPr>
        <w:t xml:space="preserve"> </w:t>
      </w:r>
    </w:p>
    <w:p>
      <w:pPr>
        <w:pStyle w:val="Text1"/>
        <w:rPr>
          <w:noProof/>
          <w:lang w:eastAsia="en-GB"/>
        </w:rPr>
      </w:pPr>
      <w:r>
        <w:rPr>
          <w:noProof/>
          <w:lang w:eastAsia="en-GB"/>
        </w:rPr>
        <w:sym w:font="Wingdings" w:char="F078"/>
      </w:r>
      <w:r>
        <w:rPr>
          <w:noProof/>
          <w:lang w:eastAsia="en-GB"/>
        </w:rPr>
        <w:tab/>
        <w:t xml:space="preserve">The proposal/initiative does not require the use of appropriations of an administrative nature </w:t>
      </w:r>
    </w:p>
    <w:p>
      <w:pPr>
        <w:pStyle w:val="Text1"/>
        <w:rPr>
          <w:noProof/>
          <w:lang w:eastAsia="en-GB"/>
        </w:rPr>
      </w:pPr>
      <w:r>
        <w:rPr>
          <w:noProof/>
          <w:lang w:eastAsia="en-GB"/>
        </w:rPr>
        <w:sym w:font="Wingdings" w:char="F0A8"/>
      </w:r>
      <w:r>
        <w:rPr>
          <w:noProof/>
          <w:lang w:eastAsia="en-GB"/>
        </w:rPr>
        <w:tab/>
        <w:t>The proposal/initiative requires the use of appropriations of an administrative nature, as explained below:</w:t>
      </w:r>
    </w:p>
    <w:p>
      <w:pPr>
        <w:jc w:val="right"/>
        <w:rPr>
          <w:noProof/>
          <w:sz w:val="20"/>
          <w:lang w:eastAsia="en-GB"/>
        </w:rPr>
      </w:pPr>
      <w:r>
        <w:rPr>
          <w:noProof/>
          <w:sz w:val="20"/>
          <w:lang w:eastAsia="en-GB"/>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lang w:eastAsia="en-GB"/>
              </w:rPr>
            </w:pPr>
          </w:p>
        </w:tc>
        <w:tc>
          <w:tcPr>
            <w:tcW w:w="1080" w:type="dxa"/>
            <w:vAlign w:val="center"/>
          </w:tcPr>
          <w:p>
            <w:pPr>
              <w:spacing w:before="60" w:after="60" w:line="200" w:lineRule="exact"/>
              <w:jc w:val="center"/>
              <w:rPr>
                <w:noProof/>
                <w:sz w:val="16"/>
                <w:szCs w:val="16"/>
                <w:lang w:eastAsia="en-GB"/>
              </w:rPr>
            </w:pPr>
            <w:r>
              <w:rPr>
                <w:noProof/>
                <w:sz w:val="16"/>
                <w:lang w:eastAsia="en-GB"/>
              </w:rPr>
              <w:t>Year</w:t>
            </w:r>
            <w:r>
              <w:rPr>
                <w:noProof/>
                <w:lang w:eastAsia="en-GB"/>
              </w:rPr>
              <w:br/>
            </w:r>
            <w:r>
              <w:rPr>
                <w:b/>
                <w:noProof/>
                <w:sz w:val="16"/>
                <w:lang w:eastAsia="en-GB"/>
              </w:rPr>
              <w:t xml:space="preserve">N </w:t>
            </w:r>
            <w:r>
              <w:rPr>
                <w:rStyle w:val="FootnoteReference"/>
                <w:noProof/>
              </w:rPr>
              <w:footnoteReference w:id="17"/>
            </w:r>
          </w:p>
        </w:tc>
        <w:tc>
          <w:tcPr>
            <w:tcW w:w="1080" w:type="dxa"/>
            <w:vAlign w:val="center"/>
          </w:tcPr>
          <w:p>
            <w:pPr>
              <w:spacing w:before="60" w:after="60" w:line="200" w:lineRule="exact"/>
              <w:jc w:val="center"/>
              <w:rPr>
                <w:noProof/>
                <w:sz w:val="16"/>
                <w:szCs w:val="16"/>
                <w:lang w:eastAsia="en-GB"/>
              </w:rPr>
            </w:pPr>
            <w:r>
              <w:rPr>
                <w:noProof/>
                <w:sz w:val="16"/>
                <w:lang w:eastAsia="en-GB"/>
              </w:rPr>
              <w:t>Year</w:t>
            </w:r>
            <w:r>
              <w:rPr>
                <w:noProof/>
                <w:lang w:eastAsia="en-GB"/>
              </w:rPr>
              <w:br/>
            </w:r>
            <w:r>
              <w:rPr>
                <w:b/>
                <w:noProof/>
                <w:sz w:val="16"/>
                <w:lang w:eastAsia="en-GB"/>
              </w:rPr>
              <w:t>N+1</w:t>
            </w:r>
          </w:p>
        </w:tc>
        <w:tc>
          <w:tcPr>
            <w:tcW w:w="1080" w:type="dxa"/>
            <w:vAlign w:val="center"/>
          </w:tcPr>
          <w:p>
            <w:pPr>
              <w:spacing w:before="60" w:after="60" w:line="200" w:lineRule="exact"/>
              <w:jc w:val="center"/>
              <w:rPr>
                <w:noProof/>
                <w:sz w:val="16"/>
                <w:szCs w:val="16"/>
                <w:lang w:eastAsia="en-GB"/>
              </w:rPr>
            </w:pPr>
            <w:r>
              <w:rPr>
                <w:noProof/>
                <w:sz w:val="16"/>
                <w:lang w:eastAsia="en-GB"/>
              </w:rPr>
              <w:t>Year</w:t>
            </w:r>
            <w:r>
              <w:rPr>
                <w:noProof/>
                <w:lang w:eastAsia="en-GB"/>
              </w:rPr>
              <w:br/>
            </w:r>
            <w:r>
              <w:rPr>
                <w:b/>
                <w:noProof/>
                <w:sz w:val="16"/>
                <w:lang w:eastAsia="en-GB"/>
              </w:rPr>
              <w:t>N+2</w:t>
            </w:r>
          </w:p>
        </w:tc>
        <w:tc>
          <w:tcPr>
            <w:tcW w:w="1080" w:type="dxa"/>
            <w:vAlign w:val="center"/>
          </w:tcPr>
          <w:p>
            <w:pPr>
              <w:spacing w:before="60" w:after="60" w:line="200" w:lineRule="exact"/>
              <w:jc w:val="center"/>
              <w:rPr>
                <w:noProof/>
                <w:sz w:val="16"/>
                <w:szCs w:val="16"/>
                <w:lang w:eastAsia="en-GB"/>
              </w:rPr>
            </w:pPr>
            <w:r>
              <w:rPr>
                <w:noProof/>
                <w:sz w:val="16"/>
                <w:lang w:eastAsia="en-GB"/>
              </w:rPr>
              <w:t>Year</w:t>
            </w:r>
            <w:r>
              <w:rPr>
                <w:noProof/>
                <w:lang w:eastAsia="en-GB"/>
              </w:rPr>
              <w:br/>
            </w:r>
            <w:r>
              <w:rPr>
                <w:b/>
                <w:noProof/>
                <w:sz w:val="16"/>
                <w:lang w:eastAsia="en-GB"/>
              </w:rPr>
              <w:t>N+3</w:t>
            </w:r>
          </w:p>
        </w:tc>
        <w:tc>
          <w:tcPr>
            <w:tcW w:w="3240" w:type="dxa"/>
            <w:vAlign w:val="center"/>
          </w:tcPr>
          <w:p>
            <w:pPr>
              <w:spacing w:line="200" w:lineRule="exact"/>
              <w:jc w:val="center"/>
              <w:rPr>
                <w:b/>
                <w:noProof/>
                <w:sz w:val="16"/>
                <w:szCs w:val="16"/>
                <w:lang w:eastAsia="en-GB"/>
              </w:rPr>
            </w:pPr>
            <w:r>
              <w:rPr>
                <w:noProof/>
                <w:sz w:val="16"/>
                <w:lang w:eastAsia="en-GB"/>
              </w:rPr>
              <w:t>Enter as many years as necessary to show the duration of the impact (see point 1.6)</w:t>
            </w:r>
          </w:p>
        </w:tc>
        <w:tc>
          <w:tcPr>
            <w:tcW w:w="1080" w:type="dxa"/>
            <w:vAlign w:val="center"/>
          </w:tcPr>
          <w:p>
            <w:pPr>
              <w:spacing w:before="60" w:after="60" w:line="200" w:lineRule="exact"/>
              <w:jc w:val="center"/>
              <w:rPr>
                <w:b/>
                <w:noProof/>
                <w:sz w:val="16"/>
                <w:szCs w:val="16"/>
                <w:lang w:eastAsia="en-GB"/>
              </w:rPr>
            </w:pPr>
            <w:r>
              <w:rPr>
                <w:b/>
                <w:noProof/>
                <w:sz w:val="16"/>
                <w:lang w:eastAsia="en-GB"/>
              </w:rPr>
              <w:t>TOTAL</w:t>
            </w:r>
          </w:p>
        </w:tc>
      </w:tr>
    </w:tbl>
    <w:p>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lang w:eastAsia="en-GB"/>
              </w:rPr>
            </w:pPr>
            <w:r>
              <w:rPr>
                <w:b/>
                <w:noProof/>
                <w:sz w:val="16"/>
                <w:lang w:eastAsia="en-GB"/>
              </w:rPr>
              <w:t>HEADING 5</w:t>
            </w:r>
            <w:r>
              <w:rPr>
                <w:noProof/>
                <w:lang w:eastAsia="en-GB"/>
              </w:rPr>
              <w:br/>
            </w:r>
            <w:r>
              <w:rPr>
                <w:b/>
                <w:noProof/>
                <w:sz w:val="16"/>
                <w:lang w:eastAsia="en-GB"/>
              </w:rPr>
              <w:t>of the multiannual financial framework</w:t>
            </w: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r>
        <w:trPr>
          <w:trHeight w:val="585"/>
        </w:trPr>
        <w:tc>
          <w:tcPr>
            <w:tcW w:w="1980" w:type="dxa"/>
            <w:vAlign w:val="center"/>
          </w:tcPr>
          <w:p>
            <w:pPr>
              <w:spacing w:before="60" w:after="60" w:line="200" w:lineRule="exact"/>
              <w:ind w:left="72"/>
              <w:rPr>
                <w:noProof/>
                <w:sz w:val="16"/>
                <w:szCs w:val="16"/>
                <w:lang w:eastAsia="en-GB"/>
              </w:rPr>
            </w:pPr>
            <w:r>
              <w:rPr>
                <w:noProof/>
                <w:sz w:val="16"/>
                <w:lang w:eastAsia="en-GB"/>
              </w:rPr>
              <w:t xml:space="preserve">Human resources </w:t>
            </w: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r>
        <w:trPr>
          <w:trHeight w:val="585"/>
        </w:trPr>
        <w:tc>
          <w:tcPr>
            <w:tcW w:w="1980" w:type="dxa"/>
            <w:vAlign w:val="center"/>
          </w:tcPr>
          <w:p>
            <w:pPr>
              <w:spacing w:before="60" w:after="60" w:line="200" w:lineRule="exact"/>
              <w:ind w:left="72"/>
              <w:rPr>
                <w:noProof/>
                <w:sz w:val="16"/>
                <w:szCs w:val="16"/>
                <w:lang w:eastAsia="en-GB"/>
              </w:rPr>
            </w:pPr>
            <w:r>
              <w:rPr>
                <w:noProof/>
                <w:sz w:val="16"/>
                <w:lang w:eastAsia="en-GB"/>
              </w:rPr>
              <w:t xml:space="preserve">Other administrative expenditure </w:t>
            </w: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r>
        <w:trPr>
          <w:trHeight w:val="585"/>
        </w:trPr>
        <w:tc>
          <w:tcPr>
            <w:tcW w:w="1980" w:type="dxa"/>
            <w:shd w:val="clear" w:color="auto" w:fill="CCCCCC"/>
            <w:vAlign w:val="center"/>
          </w:tcPr>
          <w:p>
            <w:pPr>
              <w:spacing w:before="60" w:after="60" w:line="200" w:lineRule="exact"/>
              <w:jc w:val="center"/>
              <w:rPr>
                <w:b/>
                <w:noProof/>
                <w:sz w:val="16"/>
                <w:szCs w:val="16"/>
                <w:lang w:eastAsia="en-GB"/>
              </w:rPr>
            </w:pPr>
            <w:r>
              <w:rPr>
                <w:b/>
                <w:noProof/>
                <w:sz w:val="16"/>
                <w:lang w:eastAsia="en-GB"/>
              </w:rPr>
              <w:t>Subtotal HEADING 5</w:t>
            </w:r>
            <w:r>
              <w:rPr>
                <w:noProof/>
                <w:lang w:eastAsia="en-GB"/>
              </w:rPr>
              <w:br/>
            </w:r>
            <w:r>
              <w:rPr>
                <w:b/>
                <w:noProof/>
                <w:sz w:val="16"/>
                <w:lang w:eastAsia="en-GB"/>
              </w:rPr>
              <w:t xml:space="preserve">of the multiannual financial framework </w:t>
            </w: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bl>
    <w:p>
      <w:pPr>
        <w:spacing w:line="200" w:lineRule="exact"/>
        <w:rPr>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lang w:eastAsia="en-GB"/>
              </w:rPr>
            </w:pPr>
            <w:r>
              <w:rPr>
                <w:b/>
                <w:noProof/>
                <w:sz w:val="16"/>
                <w:lang w:eastAsia="en-GB"/>
              </w:rPr>
              <w:t>Outside HEADING 5</w:t>
            </w:r>
            <w:r>
              <w:rPr>
                <w:rStyle w:val="FootnoteReference"/>
                <w:noProof/>
              </w:rPr>
              <w:footnoteReference w:id="18"/>
            </w:r>
            <w:r>
              <w:rPr>
                <w:noProof/>
                <w:lang w:eastAsia="en-GB"/>
              </w:rPr>
              <w:br/>
            </w:r>
            <w:r>
              <w:rPr>
                <w:b/>
                <w:noProof/>
                <w:sz w:val="16"/>
                <w:lang w:eastAsia="en-GB"/>
              </w:rPr>
              <w:t xml:space="preserve">of the multiannual financial framework </w:t>
            </w:r>
          </w:p>
          <w:p>
            <w:pPr>
              <w:spacing w:after="0" w:line="200" w:lineRule="exact"/>
              <w:jc w:val="center"/>
              <w:rPr>
                <w:b/>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r>
        <w:trPr>
          <w:trHeight w:val="585"/>
        </w:trPr>
        <w:tc>
          <w:tcPr>
            <w:tcW w:w="1980" w:type="dxa"/>
            <w:vAlign w:val="center"/>
          </w:tcPr>
          <w:p>
            <w:pPr>
              <w:spacing w:before="60" w:after="60" w:line="200" w:lineRule="exact"/>
              <w:ind w:left="72"/>
              <w:rPr>
                <w:noProof/>
                <w:sz w:val="16"/>
                <w:szCs w:val="16"/>
                <w:lang w:eastAsia="en-GB"/>
              </w:rPr>
            </w:pPr>
            <w:r>
              <w:rPr>
                <w:noProof/>
                <w:sz w:val="16"/>
                <w:lang w:eastAsia="en-GB"/>
              </w:rPr>
              <w:t xml:space="preserve">Human resources </w:t>
            </w: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r>
        <w:trPr>
          <w:trHeight w:val="585"/>
        </w:trPr>
        <w:tc>
          <w:tcPr>
            <w:tcW w:w="1980" w:type="dxa"/>
            <w:vAlign w:val="center"/>
          </w:tcPr>
          <w:p>
            <w:pPr>
              <w:spacing w:before="60" w:after="60" w:line="200" w:lineRule="exact"/>
              <w:ind w:left="72"/>
              <w:rPr>
                <w:noProof/>
                <w:sz w:val="16"/>
                <w:szCs w:val="16"/>
                <w:lang w:eastAsia="en-GB"/>
              </w:rPr>
            </w:pPr>
            <w:r>
              <w:rPr>
                <w:noProof/>
                <w:sz w:val="16"/>
                <w:lang w:eastAsia="en-GB"/>
              </w:rPr>
              <w:t xml:space="preserve">Other expenditure </w:t>
            </w:r>
            <w:r>
              <w:rPr>
                <w:noProof/>
                <w:lang w:eastAsia="en-GB"/>
              </w:rPr>
              <w:br/>
            </w:r>
            <w:r>
              <w:rPr>
                <w:noProof/>
                <w:sz w:val="16"/>
                <w:lang w:eastAsia="en-GB"/>
              </w:rPr>
              <w:t>of an administrative nature</w:t>
            </w: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r>
        <w:trPr>
          <w:trHeight w:val="585"/>
        </w:trPr>
        <w:tc>
          <w:tcPr>
            <w:tcW w:w="1980" w:type="dxa"/>
            <w:shd w:val="clear" w:color="auto" w:fill="CCCCCC"/>
            <w:vAlign w:val="center"/>
          </w:tcPr>
          <w:p>
            <w:pPr>
              <w:spacing w:before="60" w:after="60" w:line="200" w:lineRule="exact"/>
              <w:jc w:val="center"/>
              <w:rPr>
                <w:b/>
                <w:noProof/>
                <w:sz w:val="16"/>
                <w:szCs w:val="16"/>
                <w:lang w:eastAsia="en-GB"/>
              </w:rPr>
            </w:pPr>
            <w:r>
              <w:rPr>
                <w:b/>
                <w:noProof/>
                <w:sz w:val="16"/>
                <w:lang w:eastAsia="en-GB"/>
              </w:rPr>
              <w:t xml:space="preserve">Subtotal </w:t>
            </w:r>
            <w:r>
              <w:rPr>
                <w:noProof/>
                <w:lang w:eastAsia="en-GB"/>
              </w:rPr>
              <w:br/>
            </w:r>
            <w:r>
              <w:rPr>
                <w:b/>
                <w:noProof/>
                <w:sz w:val="16"/>
                <w:lang w:eastAsia="en-GB"/>
              </w:rPr>
              <w:t>outside HEADING 5</w:t>
            </w:r>
            <w:r>
              <w:rPr>
                <w:noProof/>
                <w:lang w:eastAsia="en-GB"/>
              </w:rPr>
              <w:br/>
            </w:r>
            <w:r>
              <w:rPr>
                <w:b/>
                <w:noProof/>
                <w:sz w:val="16"/>
                <w:lang w:eastAsia="en-GB"/>
              </w:rPr>
              <w:t xml:space="preserve">of the multiannual financial framework </w:t>
            </w: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c>
          <w:tcPr>
            <w:tcW w:w="1080" w:type="dxa"/>
            <w:vAlign w:val="center"/>
          </w:tcPr>
          <w:p>
            <w:pPr>
              <w:spacing w:before="60" w:after="60" w:line="200" w:lineRule="exact"/>
              <w:jc w:val="right"/>
              <w:rPr>
                <w:b/>
                <w:noProof/>
                <w:sz w:val="16"/>
                <w:szCs w:val="16"/>
                <w:lang w:eastAsia="en-GB"/>
              </w:rPr>
            </w:pPr>
          </w:p>
        </w:tc>
      </w:tr>
    </w:tbl>
    <w:p>
      <w:pPr>
        <w:spacing w:line="200" w:lineRule="exact"/>
        <w:rPr>
          <w:noProof/>
          <w:sz w:val="16"/>
          <w:szCs w:val="16"/>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lang w:eastAsia="en-GB"/>
              </w:rPr>
            </w:pPr>
            <w:r>
              <w:rPr>
                <w:b/>
                <w:noProof/>
                <w:sz w:val="16"/>
                <w:lang w:eastAsia="en-GB"/>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lang w:eastAsia="en-GB"/>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lang w:eastAsia="en-GB"/>
              </w:rPr>
            </w:pPr>
          </w:p>
        </w:tc>
      </w:tr>
    </w:tbl>
    <w:p>
      <w:pPr>
        <w:rPr>
          <w:noProof/>
          <w:sz w:val="18"/>
          <w:lang w:eastAsia="en-GB"/>
        </w:rPr>
      </w:pPr>
      <w:r>
        <w:rPr>
          <w:noProof/>
          <w:sz w:val="18"/>
          <w:lang w:eastAsia="en-GB"/>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lang w:eastAsia="en-GB"/>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noProof/>
          <w:szCs w:val="24"/>
          <w:lang w:eastAsia="en-GB"/>
        </w:rPr>
      </w:pPr>
      <w:r>
        <w:t>3.2.3.1.</w:t>
      </w:r>
      <w:r>
        <w:tab/>
      </w:r>
      <w:r>
        <w:rPr>
          <w:noProof/>
          <w:lang w:eastAsia="en-GB"/>
        </w:rPr>
        <w:t xml:space="preserve">Estimated requirements of human resources </w:t>
      </w:r>
    </w:p>
    <w:p>
      <w:pPr>
        <w:pStyle w:val="Text1"/>
        <w:rPr>
          <w:noProof/>
          <w:lang w:eastAsia="en-GB"/>
        </w:rPr>
      </w:pPr>
      <w:r>
        <w:rPr>
          <w:noProof/>
          <w:lang w:eastAsia="en-GB"/>
        </w:rPr>
        <w:sym w:font="Wingdings" w:char="F078"/>
      </w:r>
      <w:r>
        <w:rPr>
          <w:noProof/>
          <w:lang w:eastAsia="en-GB"/>
        </w:rPr>
        <w:tab/>
        <w:t xml:space="preserve">The proposal/initiative does not require the use of human resources. </w:t>
      </w:r>
    </w:p>
    <w:p>
      <w:pPr>
        <w:pStyle w:val="Text1"/>
        <w:rPr>
          <w:noProof/>
          <w:lang w:eastAsia="en-GB"/>
        </w:rPr>
      </w:pPr>
      <w:r>
        <w:rPr>
          <w:noProof/>
          <w:lang w:eastAsia="en-GB"/>
        </w:rPr>
        <w:sym w:font="Wingdings" w:char="F0A8"/>
      </w:r>
      <w:r>
        <w:rPr>
          <w:noProof/>
          <w:lang w:eastAsia="en-GB"/>
        </w:rPr>
        <w:tab/>
        <w:t>The proposal/initiative requires the use of human resources, as explained below:</w:t>
      </w:r>
    </w:p>
    <w:p>
      <w:pPr>
        <w:spacing w:after="60"/>
        <w:jc w:val="right"/>
        <w:rPr>
          <w:i/>
          <w:noProof/>
          <w:sz w:val="20"/>
          <w:lang w:eastAsia="en-GB"/>
        </w:rPr>
      </w:pPr>
      <w:r>
        <w:rPr>
          <w:i/>
          <w:noProof/>
          <w:sz w:val="20"/>
          <w:lang w:eastAsia="en-GB"/>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lang w:eastAsia="en-GB"/>
              </w:rPr>
            </w:pPr>
          </w:p>
        </w:tc>
        <w:tc>
          <w:tcPr>
            <w:tcW w:w="600" w:type="dxa"/>
            <w:shd w:val="clear" w:color="auto" w:fill="auto"/>
            <w:vAlign w:val="center"/>
          </w:tcPr>
          <w:p>
            <w:pPr>
              <w:spacing w:before="20" w:after="20"/>
              <w:jc w:val="center"/>
              <w:rPr>
                <w:noProof/>
                <w:sz w:val="16"/>
                <w:szCs w:val="16"/>
                <w:lang w:eastAsia="en-GB"/>
              </w:rPr>
            </w:pPr>
            <w:r>
              <w:rPr>
                <w:noProof/>
                <w:sz w:val="16"/>
                <w:lang w:eastAsia="en-GB"/>
              </w:rPr>
              <w:t>Year</w:t>
            </w:r>
            <w:r>
              <w:rPr>
                <w:noProof/>
                <w:lang w:eastAsia="en-GB"/>
              </w:rPr>
              <w:br/>
            </w:r>
            <w:r>
              <w:rPr>
                <w:b/>
                <w:noProof/>
                <w:sz w:val="16"/>
                <w:lang w:eastAsia="en-GB"/>
              </w:rPr>
              <w:t>N</w:t>
            </w:r>
          </w:p>
        </w:tc>
        <w:tc>
          <w:tcPr>
            <w:tcW w:w="600" w:type="dxa"/>
            <w:shd w:val="clear" w:color="auto" w:fill="auto"/>
            <w:vAlign w:val="center"/>
          </w:tcPr>
          <w:p>
            <w:pPr>
              <w:spacing w:before="20" w:after="20"/>
              <w:jc w:val="center"/>
              <w:rPr>
                <w:noProof/>
                <w:sz w:val="16"/>
                <w:szCs w:val="16"/>
                <w:lang w:eastAsia="en-GB"/>
              </w:rPr>
            </w:pPr>
            <w:r>
              <w:rPr>
                <w:noProof/>
                <w:sz w:val="16"/>
                <w:lang w:eastAsia="en-GB"/>
              </w:rPr>
              <w:t>Year</w:t>
            </w:r>
            <w:r>
              <w:rPr>
                <w:noProof/>
                <w:lang w:eastAsia="en-GB"/>
              </w:rPr>
              <w:br/>
            </w:r>
            <w:r>
              <w:rPr>
                <w:b/>
                <w:noProof/>
                <w:sz w:val="16"/>
                <w:lang w:eastAsia="en-GB"/>
              </w:rPr>
              <w:t>N+1</w:t>
            </w:r>
          </w:p>
        </w:tc>
        <w:tc>
          <w:tcPr>
            <w:tcW w:w="600" w:type="dxa"/>
            <w:shd w:val="clear" w:color="auto" w:fill="auto"/>
            <w:vAlign w:val="center"/>
          </w:tcPr>
          <w:p>
            <w:pPr>
              <w:spacing w:before="20" w:after="20"/>
              <w:jc w:val="center"/>
              <w:rPr>
                <w:noProof/>
                <w:sz w:val="16"/>
                <w:szCs w:val="16"/>
                <w:lang w:eastAsia="en-GB"/>
              </w:rPr>
            </w:pPr>
            <w:r>
              <w:rPr>
                <w:noProof/>
                <w:sz w:val="16"/>
                <w:szCs w:val="16"/>
                <w:lang w:eastAsia="en-GB"/>
              </w:rPr>
              <w:t xml:space="preserve">Year </w:t>
            </w:r>
            <w:r>
              <w:rPr>
                <w:b/>
                <w:noProof/>
                <w:sz w:val="16"/>
                <w:szCs w:val="16"/>
                <w:lang w:eastAsia="en-GB"/>
              </w:rPr>
              <w:t>N+2</w:t>
            </w:r>
          </w:p>
        </w:tc>
        <w:tc>
          <w:tcPr>
            <w:tcW w:w="600" w:type="dxa"/>
            <w:shd w:val="clear" w:color="auto" w:fill="auto"/>
            <w:vAlign w:val="center"/>
          </w:tcPr>
          <w:p>
            <w:pPr>
              <w:spacing w:before="20" w:after="20"/>
              <w:jc w:val="center"/>
              <w:rPr>
                <w:noProof/>
                <w:sz w:val="16"/>
                <w:szCs w:val="16"/>
                <w:lang w:eastAsia="en-GB"/>
              </w:rPr>
            </w:pPr>
            <w:r>
              <w:rPr>
                <w:noProof/>
                <w:sz w:val="16"/>
                <w:szCs w:val="16"/>
                <w:lang w:eastAsia="en-GB"/>
              </w:rPr>
              <w:t xml:space="preserve">Year </w:t>
            </w:r>
            <w:r>
              <w:rPr>
                <w:b/>
                <w:noProof/>
                <w:sz w:val="16"/>
                <w:szCs w:val="16"/>
                <w:lang w:eastAsia="en-GB"/>
              </w:rPr>
              <w:t>N+3</w:t>
            </w:r>
          </w:p>
        </w:tc>
        <w:tc>
          <w:tcPr>
            <w:tcW w:w="600" w:type="dxa"/>
            <w:gridSpan w:val="3"/>
            <w:shd w:val="clear" w:color="auto" w:fill="auto"/>
            <w:vAlign w:val="center"/>
          </w:tcPr>
          <w:p>
            <w:pPr>
              <w:jc w:val="center"/>
              <w:rPr>
                <w:b/>
                <w:noProof/>
                <w:sz w:val="16"/>
                <w:szCs w:val="16"/>
                <w:lang w:eastAsia="en-GB"/>
              </w:rPr>
            </w:pPr>
            <w:r>
              <w:rPr>
                <w:noProof/>
                <w:sz w:val="16"/>
                <w:lang w:eastAsia="en-GB"/>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rPr>
                <w:noProof/>
                <w:sz w:val="16"/>
                <w:szCs w:val="16"/>
                <w:lang w:eastAsia="en-GB"/>
              </w:rPr>
            </w:pPr>
            <w:r>
              <w:rPr>
                <w:b/>
                <w:noProof/>
                <w:sz w:val="16"/>
                <w:lang w:eastAsia="en-GB"/>
              </w:rPr>
              <w:sym w:font="Wingdings" w:char="F09F"/>
            </w:r>
            <w:r>
              <w:rPr>
                <w:b/>
                <w:noProof/>
                <w:sz w:val="16"/>
                <w:lang w:eastAsia="en-GB"/>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b/>
                <w:noProof/>
                <w:sz w:val="16"/>
                <w:szCs w:val="16"/>
                <w:lang w:eastAsia="en-GB"/>
              </w:rPr>
            </w:pPr>
            <w:r>
              <w:rPr>
                <w:noProof/>
                <w:sz w:val="16"/>
                <w:lang w:eastAsia="en-GB"/>
              </w:rPr>
              <w:t>XX 01 01 01 (Headquarters and Commission’s Representation Offices)</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noProof/>
                <w:sz w:val="16"/>
                <w:szCs w:val="16"/>
                <w:lang w:eastAsia="en-GB"/>
              </w:rPr>
            </w:pPr>
            <w:r>
              <w:rPr>
                <w:noProof/>
                <w:sz w:val="16"/>
                <w:lang w:eastAsia="en-GB"/>
              </w:rPr>
              <w:t>XX 01 01 02 (Delegations)</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noProof/>
                <w:sz w:val="16"/>
                <w:szCs w:val="16"/>
                <w:lang w:eastAsia="en-GB"/>
              </w:rPr>
            </w:pPr>
            <w:r>
              <w:rPr>
                <w:noProof/>
                <w:sz w:val="16"/>
                <w:lang w:eastAsia="en-GB"/>
              </w:rPr>
              <w:t>XX 01 05 01/11/21 (Indirect research)</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noProof/>
                <w:sz w:val="16"/>
                <w:szCs w:val="16"/>
                <w:lang w:eastAsia="en-GB"/>
              </w:rPr>
            </w:pPr>
            <w:r>
              <w:rPr>
                <w:noProof/>
                <w:sz w:val="16"/>
                <w:lang w:eastAsia="en-GB"/>
              </w:rPr>
              <w:t>10 01 05 01/11 (Direct research)</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trHeight w:val="248"/>
          <w:jc w:val="center"/>
        </w:trPr>
        <w:tc>
          <w:tcPr>
            <w:tcW w:w="600" w:type="dxa"/>
            <w:gridSpan w:val="10"/>
            <w:shd w:val="clear" w:color="auto" w:fill="auto"/>
            <w:vAlign w:val="center"/>
          </w:tcPr>
          <w:p>
            <w:pPr>
              <w:spacing w:before="60" w:after="60"/>
              <w:rPr>
                <w:b/>
                <w:noProof/>
                <w:sz w:val="16"/>
                <w:szCs w:val="16"/>
                <w:lang w:eastAsia="en-GB"/>
              </w:rPr>
            </w:pPr>
            <w:r>
              <w:rPr>
                <w:b/>
                <w:noProof/>
                <w:sz w:val="16"/>
                <w:lang w:eastAsia="en-GB"/>
              </w:rPr>
              <w:sym w:font="Wingdings" w:char="F09F"/>
            </w:r>
            <w:r>
              <w:rPr>
                <w:b/>
                <w:noProof/>
                <w:sz w:val="16"/>
                <w:lang w:eastAsia="en-GB"/>
              </w:rPr>
              <w:t xml:space="preserve"> External staff (in Full Time Equivalent unit: FTE)</w:t>
            </w:r>
            <w:r>
              <w:rPr>
                <w:rStyle w:val="FootnoteReference"/>
                <w:noProof/>
              </w:rPr>
              <w:footnoteReference w:id="19"/>
            </w:r>
          </w:p>
          <w:p>
            <w:pPr>
              <w:spacing w:after="0"/>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b/>
                <w:noProof/>
                <w:sz w:val="16"/>
                <w:szCs w:val="16"/>
                <w:lang w:eastAsia="en-GB"/>
              </w:rPr>
            </w:pPr>
            <w:r>
              <w:rPr>
                <w:noProof/>
                <w:sz w:val="16"/>
                <w:lang w:eastAsia="en-GB"/>
              </w:rPr>
              <w:t>XX 01 02 01 (AC, END, INT from the ‘global envelope’)</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noProof/>
                <w:sz w:val="16"/>
                <w:szCs w:val="16"/>
                <w:lang w:eastAsia="en-GB"/>
              </w:rPr>
            </w:pPr>
            <w:r>
              <w:rPr>
                <w:noProof/>
                <w:sz w:val="16"/>
                <w:lang w:eastAsia="en-GB"/>
              </w:rPr>
              <w:t xml:space="preserve">XX 01 02 02 (AC, </w:t>
            </w:r>
            <w:smartTag w:uri="urn:schemas-microsoft-com:office:smarttags" w:element="State">
              <w:smartTag w:uri="urn:schemas-microsoft-com:office:smarttags" w:element="place">
                <w:r>
                  <w:rPr>
                    <w:noProof/>
                    <w:sz w:val="16"/>
                    <w:lang w:eastAsia="en-GB"/>
                  </w:rPr>
                  <w:t>AL</w:t>
                </w:r>
              </w:smartTag>
            </w:smartTag>
            <w:r>
              <w:rPr>
                <w:noProof/>
                <w:sz w:val="16"/>
                <w:lang w:eastAsia="en-GB"/>
              </w:rPr>
              <w:t>, END, INT and JPD in the delegations)</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rPr>
                <w:b/>
                <w:noProof/>
                <w:sz w:val="16"/>
                <w:szCs w:val="16"/>
                <w:lang w:eastAsia="en-GB"/>
              </w:rPr>
            </w:pPr>
            <w:r>
              <w:rPr>
                <w:b/>
                <w:noProof/>
                <w:sz w:val="16"/>
                <w:szCs w:val="16"/>
                <w:lang w:eastAsia="en-GB"/>
              </w:rPr>
              <w:t>XX</w:t>
            </w:r>
            <w:r>
              <w:rPr>
                <w:noProof/>
                <w:sz w:val="16"/>
                <w:szCs w:val="16"/>
                <w:lang w:eastAsia="en-GB"/>
              </w:rPr>
              <w:t xml:space="preserve"> 01 04 </w:t>
            </w:r>
            <w:r>
              <w:rPr>
                <w:b/>
                <w:noProof/>
                <w:sz w:val="16"/>
                <w:szCs w:val="16"/>
                <w:lang w:eastAsia="en-GB"/>
              </w:rPr>
              <w:t>yy</w:t>
            </w:r>
            <w:r>
              <w:rPr>
                <w:b/>
                <w:i/>
                <w:noProof/>
                <w:sz w:val="16"/>
                <w:lang w:eastAsia="en-GB"/>
              </w:rPr>
              <w:t xml:space="preserve"> </w:t>
            </w:r>
            <w:r>
              <w:rPr>
                <w:rStyle w:val="FootnoteReference"/>
                <w:noProof/>
              </w:rPr>
              <w:footnoteReference w:id="20"/>
            </w:r>
          </w:p>
          <w:p>
            <w:pPr>
              <w:spacing w:beforeLines="20" w:before="48" w:afterLines="20" w:after="48"/>
              <w:ind w:left="136"/>
              <w:rPr>
                <w:b/>
                <w:noProof/>
                <w:sz w:val="16"/>
                <w:szCs w:val="16"/>
                <w:lang w:eastAsia="en-GB"/>
              </w:rPr>
            </w:pPr>
          </w:p>
        </w:tc>
        <w:tc>
          <w:tcPr>
            <w:tcW w:w="1954" w:type="dxa"/>
            <w:shd w:val="clear" w:color="auto" w:fill="auto"/>
            <w:vAlign w:val="center"/>
          </w:tcPr>
          <w:p>
            <w:pPr>
              <w:spacing w:beforeLines="20" w:before="48" w:afterLines="20" w:after="48"/>
              <w:ind w:left="136"/>
              <w:rPr>
                <w:b/>
                <w:noProof/>
                <w:sz w:val="16"/>
                <w:szCs w:val="16"/>
                <w:lang w:eastAsia="en-GB"/>
              </w:rPr>
            </w:pPr>
            <w:r>
              <w:rPr>
                <w:noProof/>
                <w:sz w:val="16"/>
                <w:lang w:eastAsia="en-GB"/>
              </w:rPr>
              <w:t>- at Headquarters</w:t>
            </w:r>
          </w:p>
          <w:p>
            <w:pPr>
              <w:spacing w:beforeLines="20" w:before="48" w:afterLines="20" w:after="48"/>
              <w:ind w:left="136"/>
              <w:rPr>
                <w:b/>
                <w:noProof/>
                <w:sz w:val="16"/>
                <w:szCs w:val="16"/>
                <w:lang w:eastAsia="en-GB"/>
              </w:rPr>
            </w:pPr>
          </w:p>
        </w:tc>
        <w:tc>
          <w:tcPr>
            <w:tcW w:w="600" w:type="dxa"/>
            <w:shd w:val="clear" w:color="auto" w:fill="auto"/>
            <w:vAlign w:val="center"/>
          </w:tcPr>
          <w:p>
            <w:pPr>
              <w:spacing w:beforeLines="20" w:before="48" w:afterLines="20" w:after="48"/>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rPr>
                <w:b/>
                <w:noProof/>
                <w:sz w:val="16"/>
                <w:szCs w:val="16"/>
                <w:lang w:eastAsia="en-GB"/>
              </w:rPr>
            </w:pPr>
          </w:p>
        </w:tc>
        <w:tc>
          <w:tcPr>
            <w:tcW w:w="1954" w:type="dxa"/>
            <w:shd w:val="clear" w:color="auto" w:fill="auto"/>
            <w:vAlign w:val="center"/>
          </w:tcPr>
          <w:p>
            <w:pPr>
              <w:spacing w:beforeLines="20" w:before="48" w:afterLines="20" w:after="48"/>
              <w:ind w:left="136"/>
              <w:rPr>
                <w:b/>
                <w:noProof/>
                <w:sz w:val="16"/>
                <w:szCs w:val="16"/>
                <w:lang w:eastAsia="en-GB"/>
              </w:rPr>
            </w:pPr>
            <w:r>
              <w:rPr>
                <w:noProof/>
                <w:sz w:val="16"/>
                <w:lang w:eastAsia="en-GB"/>
              </w:rPr>
              <w:t xml:space="preserve">- in Delegations </w:t>
            </w:r>
          </w:p>
        </w:tc>
        <w:tc>
          <w:tcPr>
            <w:tcW w:w="600" w:type="dxa"/>
            <w:shd w:val="clear" w:color="auto" w:fill="auto"/>
            <w:vAlign w:val="center"/>
          </w:tcPr>
          <w:p>
            <w:pPr>
              <w:spacing w:beforeLines="20" w:before="48" w:afterLines="20" w:after="48"/>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noProof/>
                <w:sz w:val="16"/>
                <w:szCs w:val="16"/>
                <w:lang w:eastAsia="en-GB"/>
              </w:rPr>
            </w:pPr>
            <w:r>
              <w:rPr>
                <w:b/>
                <w:noProof/>
                <w:sz w:val="16"/>
                <w:szCs w:val="16"/>
                <w:lang w:eastAsia="en-GB"/>
              </w:rPr>
              <w:t>XX</w:t>
            </w:r>
            <w:r>
              <w:rPr>
                <w:noProof/>
                <w:sz w:val="16"/>
                <w:szCs w:val="16"/>
                <w:lang w:eastAsia="en-GB"/>
              </w:rPr>
              <w:t xml:space="preserve"> 01 05 02/12/22 (AC, END, INT - Indirect research)</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noProof/>
                <w:sz w:val="16"/>
                <w:szCs w:val="16"/>
                <w:lang w:eastAsia="en-GB"/>
              </w:rPr>
            </w:pPr>
            <w:r>
              <w:rPr>
                <w:noProof/>
                <w:sz w:val="16"/>
                <w:lang w:eastAsia="en-GB"/>
              </w:rPr>
              <w:t>10 01 05 02/12 (AC, END, INT - Direct research)</w:t>
            </w: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c>
          <w:tcPr>
            <w:tcW w:w="600" w:type="dxa"/>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rPr>
                <w:noProof/>
                <w:sz w:val="16"/>
                <w:szCs w:val="16"/>
                <w:lang w:eastAsia="en-GB"/>
              </w:rPr>
            </w:pPr>
            <w:r>
              <w:rPr>
                <w:noProof/>
                <w:sz w:val="16"/>
                <w:lang w:eastAsia="en-GB"/>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lang w:eastAsia="en-GB"/>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rPr>
                <w:noProof/>
                <w:sz w:val="16"/>
                <w:szCs w:val="16"/>
                <w:lang w:eastAsia="en-GB"/>
              </w:rPr>
            </w:pPr>
            <w:r>
              <w:rPr>
                <w:b/>
                <w:noProof/>
                <w:sz w:val="16"/>
                <w:lang w:eastAsia="en-GB"/>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lang w:eastAsia="en-GB"/>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lang w:eastAsia="en-GB"/>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lang w:eastAsia="en-GB"/>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lang w:eastAsia="en-GB"/>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lang w:eastAsia="en-GB"/>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lang w:eastAsia="en-GB"/>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lang w:eastAsia="en-GB"/>
              </w:rPr>
            </w:pPr>
          </w:p>
        </w:tc>
      </w:tr>
    </w:tbl>
    <w:p>
      <w:pPr>
        <w:spacing w:before="60" w:after="60"/>
        <w:ind w:left="851"/>
        <w:rPr>
          <w:noProof/>
          <w:sz w:val="18"/>
          <w:szCs w:val="18"/>
          <w:lang w:eastAsia="en-GB"/>
        </w:rPr>
      </w:pPr>
      <w:r>
        <w:rPr>
          <w:b/>
          <w:noProof/>
          <w:sz w:val="18"/>
          <w:szCs w:val="18"/>
          <w:lang w:eastAsia="en-GB"/>
        </w:rPr>
        <w:t>XX</w:t>
      </w:r>
      <w:r>
        <w:rPr>
          <w:noProof/>
          <w:sz w:val="18"/>
          <w:szCs w:val="18"/>
          <w:lang w:eastAsia="en-GB"/>
        </w:rPr>
        <w:t xml:space="preserve"> is the policy area or budget title concerned.</w:t>
      </w:r>
    </w:p>
    <w:p>
      <w:pPr>
        <w:ind w:left="850"/>
        <w:rPr>
          <w:noProof/>
          <w:sz w:val="18"/>
          <w:szCs w:val="18"/>
          <w:lang w:eastAsia="en-GB"/>
        </w:rPr>
      </w:pPr>
      <w:r>
        <w:rPr>
          <w:noProof/>
          <w:sz w:val="18"/>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lang w:eastAsia="en-GB"/>
        </w:rPr>
      </w:pPr>
      <w:r>
        <w:rPr>
          <w:noProof/>
          <w:sz w:val="20"/>
          <w:lang w:eastAsia="en-GB"/>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lang w:eastAsia="en-GB"/>
              </w:rPr>
            </w:pPr>
            <w:r>
              <w:rPr>
                <w:noProof/>
                <w:sz w:val="20"/>
                <w:lang w:eastAsia="en-GB"/>
              </w:rPr>
              <w:t>Officials and temporary staff</w:t>
            </w:r>
          </w:p>
        </w:tc>
        <w:tc>
          <w:tcPr>
            <w:tcW w:w="7200" w:type="dxa"/>
          </w:tcPr>
          <w:p>
            <w:pPr>
              <w:rPr>
                <w:noProof/>
                <w:sz w:val="20"/>
                <w:lang w:eastAsia="en-GB"/>
              </w:rPr>
            </w:pPr>
            <w:r>
              <w:rPr>
                <w:noProof/>
                <w:sz w:val="20"/>
                <w:lang w:eastAsia="en-GB"/>
              </w:rPr>
              <w:t>The only task performed by the JRC is the management of the Supplementary Programme. This is performed by means that are fully financed by assigned revenue coming from the Supplementary Research Programme</w:t>
            </w:r>
          </w:p>
        </w:tc>
      </w:tr>
      <w:tr>
        <w:tc>
          <w:tcPr>
            <w:tcW w:w="3240" w:type="dxa"/>
          </w:tcPr>
          <w:p>
            <w:pPr>
              <w:spacing w:before="60" w:after="60"/>
              <w:rPr>
                <w:noProof/>
                <w:sz w:val="20"/>
                <w:lang w:eastAsia="en-GB"/>
              </w:rPr>
            </w:pPr>
            <w:r>
              <w:rPr>
                <w:noProof/>
                <w:sz w:val="20"/>
                <w:lang w:eastAsia="en-GB"/>
              </w:rPr>
              <w:t>External staff</w:t>
            </w:r>
          </w:p>
        </w:tc>
        <w:tc>
          <w:tcPr>
            <w:tcW w:w="7200" w:type="dxa"/>
          </w:tcPr>
          <w:p>
            <w:pPr>
              <w:rPr>
                <w:noProof/>
                <w:sz w:val="20"/>
                <w:lang w:eastAsia="en-GB"/>
              </w:rPr>
            </w:pPr>
            <w:r>
              <w:rPr>
                <w:noProof/>
                <w:sz w:val="20"/>
                <w:lang w:eastAsia="en-GB"/>
              </w:rPr>
              <w:t>Not applicable</w:t>
            </w:r>
          </w:p>
        </w:tc>
      </w:tr>
    </w:tbl>
    <w:p>
      <w:pPr>
        <w:rPr>
          <w:noProof/>
          <w:lang w:eastAsia="en-GB"/>
        </w:rPr>
        <w:sectPr>
          <w:pgSz w:w="11907" w:h="16840"/>
          <w:pgMar w:top="1134" w:right="1418" w:bottom="1134" w:left="1418" w:header="709" w:footer="709" w:gutter="0"/>
          <w:cols w:space="708"/>
          <w:docGrid w:linePitch="360"/>
        </w:sectPr>
      </w:pPr>
    </w:p>
    <w:p>
      <w:pPr>
        <w:pStyle w:val="ManualHeading3"/>
        <w:rPr>
          <w:noProof/>
          <w:lang w:eastAsia="en-GB"/>
        </w:rPr>
      </w:pPr>
      <w:bookmarkStart w:id="62" w:name="_Toc514938056"/>
      <w:bookmarkStart w:id="63" w:name="_Toc520485055"/>
      <w:r>
        <w:t>3.2.4.</w:t>
      </w:r>
      <w:r>
        <w:tab/>
      </w:r>
      <w:r>
        <w:rPr>
          <w:noProof/>
          <w:lang w:eastAsia="en-GB"/>
        </w:rPr>
        <w:t>Compatibility with the current multiannual financial framework</w:t>
      </w:r>
      <w:bookmarkEnd w:id="62"/>
      <w:bookmarkEnd w:id="63"/>
      <w:r>
        <w:rPr>
          <w:noProof/>
          <w:lang w:eastAsia="en-GB"/>
        </w:rPr>
        <w:t xml:space="preserve"> </w:t>
      </w:r>
    </w:p>
    <w:p>
      <w:pPr>
        <w:ind w:left="850"/>
        <w:rPr>
          <w:noProof/>
          <w:lang w:eastAsia="en-GB"/>
        </w:rPr>
      </w:pPr>
      <w:r>
        <w:rPr>
          <w:noProof/>
          <w:lang w:eastAsia="en-GB"/>
        </w:rPr>
        <w:t>The proposal/initiative:</w:t>
      </w:r>
    </w:p>
    <w:p>
      <w:pPr>
        <w:pStyle w:val="Text1"/>
        <w:rPr>
          <w:noProof/>
          <w:lang w:eastAsia="en-GB"/>
        </w:rPr>
      </w:pPr>
      <w:r>
        <w:rPr>
          <w:noProof/>
          <w:lang w:eastAsia="en-GB"/>
        </w:rPr>
        <w:sym w:font="Wingdings" w:char="F0A8"/>
      </w:r>
      <w:r>
        <w:rPr>
          <w:noProof/>
          <w:lang w:eastAsia="en-GB"/>
        </w:rPr>
        <w:tab/>
        <w:t>can be fully financed through redeployment within the relevant heading of the Multiannual Financial Framework (MFF).</w:t>
      </w:r>
    </w:p>
    <w:p>
      <w:pPr>
        <w:pStyle w:val="Text1"/>
        <w:rPr>
          <w:noProof/>
          <w:lang w:eastAsia="en-GB"/>
        </w:rPr>
      </w:pPr>
      <w:r>
        <w:rPr>
          <w:noProof/>
          <w:lang w:eastAsia="en-GB"/>
        </w:rPr>
        <w:sym w:font="Wingdings" w:char="F0A8"/>
      </w:r>
      <w:r>
        <w:rPr>
          <w:noProof/>
          <w:lang w:eastAsia="en-GB"/>
        </w:rPr>
        <w:tab/>
        <w:t>requires use of the unallocated margin under the relevant heading of the MFF and/or use of the special instruments as defined in the MFF Regulation.</w:t>
      </w:r>
    </w:p>
    <w:p>
      <w:pPr>
        <w:pStyle w:val="Text1"/>
        <w:rPr>
          <w:noProof/>
          <w:lang w:eastAsia="en-GB"/>
        </w:rPr>
      </w:pPr>
      <w:r>
        <w:rPr>
          <w:noProof/>
          <w:lang w:eastAsia="en-GB"/>
        </w:rPr>
        <w:sym w:font="Wingdings" w:char="F0A8"/>
      </w:r>
      <w:r>
        <w:rPr>
          <w:noProof/>
          <w:lang w:eastAsia="en-GB"/>
        </w:rPr>
        <w:tab/>
        <w:t>requires a revision of the MFF.</w:t>
      </w:r>
    </w:p>
    <w:p>
      <w:pPr>
        <w:pStyle w:val="ManualHeading3"/>
        <w:rPr>
          <w:noProof/>
          <w:szCs w:val="24"/>
          <w:lang w:eastAsia="en-GB"/>
        </w:rPr>
      </w:pPr>
      <w:bookmarkStart w:id="64" w:name="_Toc514938058"/>
      <w:bookmarkStart w:id="65" w:name="_Toc520485056"/>
      <w:r>
        <w:t>3.2.5.</w:t>
      </w:r>
      <w:r>
        <w:tab/>
      </w:r>
      <w:r>
        <w:rPr>
          <w:noProof/>
          <w:lang w:eastAsia="en-GB"/>
        </w:rPr>
        <w:t>Third-party contributions</w:t>
      </w:r>
      <w:bookmarkEnd w:id="64"/>
      <w:bookmarkEnd w:id="65"/>
      <w:r>
        <w:rPr>
          <w:noProof/>
          <w:lang w:eastAsia="en-GB"/>
        </w:rPr>
        <w:t xml:space="preserve"> </w:t>
      </w:r>
    </w:p>
    <w:p>
      <w:pPr>
        <w:ind w:left="850"/>
        <w:rPr>
          <w:noProof/>
          <w:lang w:eastAsia="en-GB"/>
        </w:rPr>
      </w:pPr>
      <w:r>
        <w:rPr>
          <w:noProof/>
          <w:lang w:eastAsia="en-GB"/>
        </w:rPr>
        <w:t>The proposal/initiative:</w:t>
      </w:r>
    </w:p>
    <w:p>
      <w:pPr>
        <w:pStyle w:val="Text1"/>
        <w:rPr>
          <w:noProof/>
          <w:lang w:eastAsia="en-GB"/>
        </w:rPr>
      </w:pPr>
      <w:r>
        <w:rPr>
          <w:noProof/>
          <w:lang w:eastAsia="en-GB"/>
        </w:rPr>
        <w:sym w:font="Wingdings" w:char="F0A8"/>
      </w:r>
      <w:r>
        <w:rPr>
          <w:noProof/>
          <w:lang w:eastAsia="en-GB"/>
        </w:rPr>
        <w:tab/>
        <w:t>does not provide for co-financing by third parties</w:t>
      </w:r>
    </w:p>
    <w:p>
      <w:pPr>
        <w:pStyle w:val="Text1"/>
        <w:rPr>
          <w:noProof/>
          <w:lang w:eastAsia="en-GB"/>
        </w:rPr>
      </w:pPr>
      <w:r>
        <w:rPr>
          <w:noProof/>
          <w:lang w:eastAsia="en-GB"/>
        </w:rPr>
        <w:sym w:font="Wingdings" w:char="F078"/>
      </w:r>
      <w:r>
        <w:rPr>
          <w:noProof/>
          <w:lang w:eastAsia="en-GB"/>
        </w:rPr>
        <w:tab/>
        <w:t>provides for the co-financing by third parties estimated below:</w:t>
      </w:r>
    </w:p>
    <w:p>
      <w:pPr>
        <w:jc w:val="right"/>
        <w:rPr>
          <w:noProof/>
          <w:sz w:val="20"/>
          <w:lang w:eastAsia="en-GB"/>
        </w:rPr>
      </w:pPr>
      <w:r>
        <w:rPr>
          <w:noProof/>
          <w:sz w:val="20"/>
          <w:lang w:eastAsia="en-GB"/>
        </w:rPr>
        <w:t>Appropriations in EUR million (to three decimal places)</w:t>
      </w:r>
    </w:p>
    <w:p>
      <w:pPr>
        <w:rPr>
          <w:noProof/>
          <w:lang w:eastAsia="en-GB"/>
        </w:rPr>
      </w:pPr>
      <w:r>
        <w:rPr>
          <w:noProof/>
          <w:lang w:eastAsia="en-GB"/>
        </w:rPr>
        <w:br/>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lang w:eastAsia="en-GB"/>
              </w:rPr>
            </w:pPr>
          </w:p>
        </w:tc>
        <w:tc>
          <w:tcPr>
            <w:tcW w:w="964" w:type="dxa"/>
            <w:vAlign w:val="center"/>
          </w:tcPr>
          <w:p>
            <w:pPr>
              <w:jc w:val="center"/>
              <w:rPr>
                <w:noProof/>
                <w:sz w:val="20"/>
                <w:lang w:eastAsia="en-GB"/>
              </w:rPr>
            </w:pPr>
            <w:r>
              <w:rPr>
                <w:noProof/>
                <w:sz w:val="18"/>
                <w:lang w:eastAsia="en-GB"/>
              </w:rPr>
              <w:t>Year</w:t>
            </w:r>
            <w:r>
              <w:rPr>
                <w:noProof/>
                <w:lang w:eastAsia="en-GB"/>
              </w:rPr>
              <w:br/>
            </w:r>
            <w:r>
              <w:rPr>
                <w:b/>
                <w:noProof/>
                <w:sz w:val="18"/>
                <w:lang w:eastAsia="en-GB"/>
              </w:rPr>
              <w:t>2020</w:t>
            </w:r>
          </w:p>
        </w:tc>
        <w:tc>
          <w:tcPr>
            <w:tcW w:w="964" w:type="dxa"/>
            <w:vAlign w:val="center"/>
          </w:tcPr>
          <w:p>
            <w:pPr>
              <w:jc w:val="center"/>
              <w:rPr>
                <w:noProof/>
                <w:sz w:val="20"/>
                <w:lang w:eastAsia="en-GB"/>
              </w:rPr>
            </w:pPr>
            <w:r>
              <w:rPr>
                <w:noProof/>
                <w:sz w:val="18"/>
                <w:lang w:eastAsia="en-GB"/>
              </w:rPr>
              <w:t>Year</w:t>
            </w:r>
            <w:r>
              <w:rPr>
                <w:noProof/>
                <w:lang w:eastAsia="en-GB"/>
              </w:rPr>
              <w:br/>
            </w:r>
            <w:r>
              <w:rPr>
                <w:b/>
                <w:noProof/>
                <w:sz w:val="18"/>
                <w:lang w:eastAsia="en-GB"/>
              </w:rPr>
              <w:t>2021</w:t>
            </w:r>
          </w:p>
        </w:tc>
        <w:tc>
          <w:tcPr>
            <w:tcW w:w="964" w:type="dxa"/>
            <w:vAlign w:val="center"/>
          </w:tcPr>
          <w:p>
            <w:pPr>
              <w:jc w:val="center"/>
              <w:rPr>
                <w:noProof/>
                <w:sz w:val="20"/>
                <w:lang w:eastAsia="en-GB"/>
              </w:rPr>
            </w:pPr>
            <w:r>
              <w:rPr>
                <w:noProof/>
                <w:sz w:val="18"/>
                <w:lang w:eastAsia="en-GB"/>
              </w:rPr>
              <w:t>Year</w:t>
            </w:r>
            <w:r>
              <w:rPr>
                <w:noProof/>
                <w:lang w:eastAsia="en-GB"/>
              </w:rPr>
              <w:br/>
            </w:r>
            <w:r>
              <w:rPr>
                <w:b/>
                <w:noProof/>
                <w:sz w:val="18"/>
                <w:lang w:eastAsia="en-GB"/>
              </w:rPr>
              <w:t>2022</w:t>
            </w:r>
          </w:p>
        </w:tc>
        <w:tc>
          <w:tcPr>
            <w:tcW w:w="964" w:type="dxa"/>
            <w:vAlign w:val="center"/>
          </w:tcPr>
          <w:p>
            <w:pPr>
              <w:jc w:val="center"/>
              <w:rPr>
                <w:noProof/>
                <w:sz w:val="20"/>
                <w:lang w:eastAsia="en-GB"/>
              </w:rPr>
            </w:pPr>
            <w:r>
              <w:rPr>
                <w:noProof/>
                <w:sz w:val="18"/>
                <w:lang w:eastAsia="en-GB"/>
              </w:rPr>
              <w:t>Year</w:t>
            </w:r>
            <w:r>
              <w:rPr>
                <w:noProof/>
                <w:lang w:eastAsia="en-GB"/>
              </w:rPr>
              <w:br/>
            </w:r>
            <w:r>
              <w:rPr>
                <w:b/>
                <w:noProof/>
                <w:sz w:val="18"/>
                <w:lang w:eastAsia="en-GB"/>
              </w:rPr>
              <w:t>2023</w:t>
            </w:r>
          </w:p>
        </w:tc>
        <w:tc>
          <w:tcPr>
            <w:tcW w:w="2892" w:type="dxa"/>
            <w:gridSpan w:val="3"/>
            <w:vAlign w:val="center"/>
          </w:tcPr>
          <w:p>
            <w:pPr>
              <w:jc w:val="center"/>
              <w:rPr>
                <w:b/>
                <w:noProof/>
                <w:sz w:val="20"/>
                <w:lang w:eastAsia="en-GB"/>
              </w:rPr>
            </w:pPr>
            <w:r>
              <w:rPr>
                <w:noProof/>
                <w:sz w:val="20"/>
                <w:lang w:eastAsia="en-GB"/>
              </w:rPr>
              <w:t>Enter as many years as necessary to show the duration of the impact (see point 1.6)</w:t>
            </w:r>
          </w:p>
        </w:tc>
        <w:tc>
          <w:tcPr>
            <w:tcW w:w="1158" w:type="dxa"/>
            <w:vAlign w:val="center"/>
          </w:tcPr>
          <w:p>
            <w:pPr>
              <w:spacing w:before="60" w:after="60"/>
              <w:jc w:val="center"/>
              <w:rPr>
                <w:noProof/>
                <w:sz w:val="20"/>
                <w:lang w:eastAsia="en-GB"/>
              </w:rPr>
            </w:pPr>
            <w:r>
              <w:rPr>
                <w:noProof/>
                <w:sz w:val="20"/>
                <w:lang w:eastAsia="en-GB"/>
              </w:rPr>
              <w:t>Total</w:t>
            </w:r>
          </w:p>
        </w:tc>
      </w:tr>
      <w:tr>
        <w:trPr>
          <w:cantSplit/>
        </w:trPr>
        <w:tc>
          <w:tcPr>
            <w:tcW w:w="2340" w:type="dxa"/>
          </w:tcPr>
          <w:p>
            <w:pPr>
              <w:rPr>
                <w:noProof/>
                <w:lang w:eastAsia="en-GB"/>
              </w:rPr>
            </w:pPr>
            <w:r>
              <w:rPr>
                <w:noProof/>
                <w:sz w:val="20"/>
                <w:lang w:eastAsia="en-GB"/>
              </w:rPr>
              <w:t>The Netherlands</w:t>
            </w:r>
          </w:p>
        </w:tc>
        <w:tc>
          <w:tcPr>
            <w:tcW w:w="964" w:type="dxa"/>
            <w:vAlign w:val="center"/>
          </w:tcPr>
          <w:p>
            <w:pPr>
              <w:spacing w:before="60" w:after="60"/>
              <w:jc w:val="center"/>
              <w:rPr>
                <w:noProof/>
                <w:sz w:val="20"/>
                <w:lang w:eastAsia="en-GB"/>
              </w:rPr>
            </w:pPr>
            <w:r>
              <w:rPr>
                <w:noProof/>
                <w:sz w:val="20"/>
                <w:lang w:eastAsia="en-GB"/>
              </w:rPr>
              <w:t>7 451</w:t>
            </w:r>
          </w:p>
        </w:tc>
        <w:tc>
          <w:tcPr>
            <w:tcW w:w="964" w:type="dxa"/>
            <w:vAlign w:val="center"/>
          </w:tcPr>
          <w:p>
            <w:pPr>
              <w:spacing w:before="60" w:after="60"/>
              <w:jc w:val="center"/>
              <w:rPr>
                <w:noProof/>
                <w:sz w:val="20"/>
                <w:lang w:eastAsia="en-GB"/>
              </w:rPr>
            </w:pPr>
            <w:r>
              <w:rPr>
                <w:noProof/>
                <w:sz w:val="20"/>
                <w:lang w:eastAsia="en-GB"/>
              </w:rPr>
              <w:t>6 401</w:t>
            </w:r>
          </w:p>
        </w:tc>
        <w:tc>
          <w:tcPr>
            <w:tcW w:w="964" w:type="dxa"/>
            <w:vAlign w:val="center"/>
          </w:tcPr>
          <w:p>
            <w:pPr>
              <w:spacing w:before="60" w:after="60"/>
              <w:jc w:val="center"/>
              <w:rPr>
                <w:noProof/>
                <w:sz w:val="20"/>
                <w:lang w:eastAsia="en-GB"/>
              </w:rPr>
            </w:pPr>
            <w:r>
              <w:rPr>
                <w:noProof/>
                <w:sz w:val="20"/>
                <w:lang w:eastAsia="en-GB"/>
              </w:rPr>
              <w:t>6 401</w:t>
            </w:r>
          </w:p>
        </w:tc>
        <w:tc>
          <w:tcPr>
            <w:tcW w:w="964" w:type="dxa"/>
            <w:vAlign w:val="center"/>
          </w:tcPr>
          <w:p>
            <w:pPr>
              <w:spacing w:before="60" w:after="60"/>
              <w:jc w:val="center"/>
              <w:rPr>
                <w:noProof/>
                <w:sz w:val="20"/>
                <w:lang w:eastAsia="en-GB"/>
              </w:rPr>
            </w:pPr>
            <w:r>
              <w:rPr>
                <w:noProof/>
                <w:sz w:val="20"/>
                <w:lang w:eastAsia="en-GB"/>
              </w:rPr>
              <w:t>6 401</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r>
              <w:rPr>
                <w:noProof/>
                <w:sz w:val="20"/>
                <w:lang w:eastAsia="en-GB"/>
              </w:rPr>
              <w:t>26 654</w:t>
            </w:r>
          </w:p>
        </w:tc>
      </w:tr>
      <w:tr>
        <w:trPr>
          <w:cantSplit/>
        </w:trPr>
        <w:tc>
          <w:tcPr>
            <w:tcW w:w="2340" w:type="dxa"/>
          </w:tcPr>
          <w:p>
            <w:pPr>
              <w:rPr>
                <w:noProof/>
                <w:sz w:val="20"/>
                <w:lang w:eastAsia="en-GB"/>
              </w:rPr>
            </w:pPr>
            <w:r>
              <w:rPr>
                <w:noProof/>
                <w:sz w:val="20"/>
                <w:lang w:eastAsia="en-GB"/>
              </w:rPr>
              <w:t>France</w:t>
            </w:r>
          </w:p>
        </w:tc>
        <w:tc>
          <w:tcPr>
            <w:tcW w:w="964" w:type="dxa"/>
            <w:vAlign w:val="center"/>
          </w:tcPr>
          <w:p>
            <w:pPr>
              <w:spacing w:before="60" w:after="60"/>
              <w:jc w:val="center"/>
              <w:rPr>
                <w:noProof/>
                <w:sz w:val="20"/>
                <w:lang w:eastAsia="en-GB"/>
              </w:rPr>
            </w:pPr>
            <w:r>
              <w:rPr>
                <w:noProof/>
                <w:sz w:val="20"/>
                <w:lang w:eastAsia="en-GB"/>
              </w:rPr>
              <w:t>300</w:t>
            </w:r>
          </w:p>
        </w:tc>
        <w:tc>
          <w:tcPr>
            <w:tcW w:w="964" w:type="dxa"/>
            <w:vAlign w:val="center"/>
          </w:tcPr>
          <w:p>
            <w:pPr>
              <w:spacing w:before="60" w:after="60"/>
              <w:jc w:val="center"/>
              <w:rPr>
                <w:noProof/>
                <w:sz w:val="20"/>
                <w:lang w:eastAsia="en-GB"/>
              </w:rPr>
            </w:pPr>
            <w:r>
              <w:rPr>
                <w:noProof/>
                <w:sz w:val="20"/>
                <w:lang w:eastAsia="en-GB"/>
              </w:rPr>
              <w:t>300</w:t>
            </w:r>
          </w:p>
        </w:tc>
        <w:tc>
          <w:tcPr>
            <w:tcW w:w="964" w:type="dxa"/>
            <w:vAlign w:val="center"/>
          </w:tcPr>
          <w:p>
            <w:pPr>
              <w:spacing w:before="60" w:after="60"/>
              <w:jc w:val="center"/>
              <w:rPr>
                <w:noProof/>
                <w:sz w:val="20"/>
                <w:lang w:eastAsia="en-GB"/>
              </w:rPr>
            </w:pPr>
            <w:r>
              <w:rPr>
                <w:noProof/>
                <w:sz w:val="20"/>
                <w:lang w:eastAsia="en-GB"/>
              </w:rPr>
              <w:t>300</w:t>
            </w:r>
          </w:p>
        </w:tc>
        <w:tc>
          <w:tcPr>
            <w:tcW w:w="964" w:type="dxa"/>
            <w:vAlign w:val="center"/>
          </w:tcPr>
          <w:p>
            <w:pPr>
              <w:spacing w:before="60" w:after="60"/>
              <w:jc w:val="center"/>
              <w:rPr>
                <w:noProof/>
                <w:sz w:val="20"/>
                <w:lang w:eastAsia="en-GB"/>
              </w:rPr>
            </w:pPr>
            <w:r>
              <w:rPr>
                <w:noProof/>
                <w:sz w:val="20"/>
                <w:lang w:eastAsia="en-GB"/>
              </w:rPr>
              <w:t>300</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r>
              <w:rPr>
                <w:noProof/>
                <w:sz w:val="20"/>
                <w:lang w:eastAsia="en-GB"/>
              </w:rPr>
              <w:t>1 200</w:t>
            </w:r>
          </w:p>
        </w:tc>
      </w:tr>
      <w:tr>
        <w:trPr>
          <w:cantSplit/>
        </w:trPr>
        <w:tc>
          <w:tcPr>
            <w:tcW w:w="2340" w:type="dxa"/>
          </w:tcPr>
          <w:p>
            <w:pPr>
              <w:spacing w:before="60" w:after="60"/>
              <w:rPr>
                <w:noProof/>
                <w:sz w:val="20"/>
                <w:lang w:eastAsia="en-GB"/>
              </w:rPr>
            </w:pPr>
            <w:r>
              <w:rPr>
                <w:noProof/>
                <w:sz w:val="20"/>
                <w:lang w:eastAsia="en-GB"/>
              </w:rPr>
              <w:t xml:space="preserve">TOTAL appropriations co-financed </w:t>
            </w:r>
          </w:p>
        </w:tc>
        <w:tc>
          <w:tcPr>
            <w:tcW w:w="964" w:type="dxa"/>
            <w:vAlign w:val="center"/>
          </w:tcPr>
          <w:p>
            <w:pPr>
              <w:spacing w:before="60" w:after="60"/>
              <w:jc w:val="center"/>
              <w:rPr>
                <w:noProof/>
                <w:sz w:val="20"/>
                <w:lang w:eastAsia="en-GB"/>
              </w:rPr>
            </w:pPr>
            <w:r>
              <w:rPr>
                <w:noProof/>
                <w:sz w:val="20"/>
                <w:lang w:eastAsia="en-GB"/>
              </w:rPr>
              <w:t>7 751</w:t>
            </w:r>
          </w:p>
        </w:tc>
        <w:tc>
          <w:tcPr>
            <w:tcW w:w="964" w:type="dxa"/>
            <w:vAlign w:val="center"/>
          </w:tcPr>
          <w:p>
            <w:pPr>
              <w:spacing w:before="60" w:after="60"/>
              <w:jc w:val="center"/>
              <w:rPr>
                <w:noProof/>
                <w:sz w:val="20"/>
                <w:lang w:eastAsia="en-GB"/>
              </w:rPr>
            </w:pPr>
            <w:r>
              <w:rPr>
                <w:noProof/>
                <w:sz w:val="20"/>
                <w:lang w:eastAsia="en-GB"/>
              </w:rPr>
              <w:t>6 701</w:t>
            </w:r>
          </w:p>
        </w:tc>
        <w:tc>
          <w:tcPr>
            <w:tcW w:w="964" w:type="dxa"/>
            <w:vAlign w:val="center"/>
          </w:tcPr>
          <w:p>
            <w:pPr>
              <w:spacing w:before="60" w:after="60"/>
              <w:jc w:val="center"/>
              <w:rPr>
                <w:noProof/>
                <w:sz w:val="20"/>
                <w:lang w:eastAsia="en-GB"/>
              </w:rPr>
            </w:pPr>
            <w:r>
              <w:rPr>
                <w:noProof/>
                <w:sz w:val="20"/>
                <w:lang w:eastAsia="en-GB"/>
              </w:rPr>
              <w:t>6 701</w:t>
            </w:r>
          </w:p>
        </w:tc>
        <w:tc>
          <w:tcPr>
            <w:tcW w:w="964" w:type="dxa"/>
            <w:vAlign w:val="center"/>
          </w:tcPr>
          <w:p>
            <w:pPr>
              <w:spacing w:before="60" w:after="60"/>
              <w:jc w:val="center"/>
              <w:rPr>
                <w:noProof/>
                <w:sz w:val="20"/>
                <w:lang w:eastAsia="en-GB"/>
              </w:rPr>
            </w:pPr>
            <w:r>
              <w:rPr>
                <w:noProof/>
                <w:sz w:val="20"/>
                <w:lang w:eastAsia="en-GB"/>
              </w:rPr>
              <w:t>6 701</w:t>
            </w: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964" w:type="dxa"/>
            <w:vAlign w:val="center"/>
          </w:tcPr>
          <w:p>
            <w:pPr>
              <w:spacing w:before="60" w:after="60"/>
              <w:jc w:val="center"/>
              <w:rPr>
                <w:noProof/>
                <w:sz w:val="20"/>
                <w:lang w:eastAsia="en-GB"/>
              </w:rPr>
            </w:pPr>
          </w:p>
        </w:tc>
        <w:tc>
          <w:tcPr>
            <w:tcW w:w="1158" w:type="dxa"/>
            <w:vAlign w:val="center"/>
          </w:tcPr>
          <w:p>
            <w:pPr>
              <w:spacing w:before="60" w:after="60"/>
              <w:jc w:val="center"/>
              <w:rPr>
                <w:noProof/>
                <w:sz w:val="20"/>
                <w:lang w:eastAsia="en-GB"/>
              </w:rPr>
            </w:pPr>
            <w:r>
              <w:rPr>
                <w:noProof/>
                <w:sz w:val="20"/>
                <w:lang w:eastAsia="en-GB"/>
              </w:rPr>
              <w:t>27 854</w:t>
            </w:r>
          </w:p>
        </w:tc>
      </w:tr>
    </w:tbl>
    <w:p>
      <w:pPr>
        <w:rPr>
          <w:bCs/>
          <w:noProof/>
          <w:szCs w:val="24"/>
          <w:lang w:eastAsia="en-GB"/>
        </w:rPr>
      </w:pPr>
      <w:r>
        <w:rPr>
          <w:noProof/>
          <w:lang w:eastAsia="en-GB"/>
        </w:rPr>
        <w:br w:type="page"/>
      </w:r>
      <w:bookmarkStart w:id="66" w:name="_Toc514938059"/>
      <w:bookmarkStart w:id="67" w:name="_Toc520485057"/>
      <w:r>
        <w:rPr>
          <w:noProof/>
          <w:lang w:eastAsia="en-GB"/>
        </w:rPr>
        <w:t>Estimated impact on revenue</w:t>
      </w:r>
      <w:bookmarkEnd w:id="66"/>
      <w:bookmarkEnd w:id="67"/>
      <w:r>
        <w:rPr>
          <w:noProof/>
          <w:lang w:eastAsia="en-GB"/>
        </w:rPr>
        <w:t xml:space="preserve"> </w:t>
      </w:r>
    </w:p>
    <w:p>
      <w:pPr>
        <w:tabs>
          <w:tab w:val="num" w:pos="1134"/>
        </w:tabs>
        <w:ind w:left="1134" w:hanging="283"/>
        <w:rPr>
          <w:noProof/>
          <w:lang w:eastAsia="en-GB"/>
        </w:rPr>
      </w:pPr>
      <w:r>
        <w:rPr>
          <w:noProof/>
          <w:lang w:eastAsia="en-GB"/>
        </w:rPr>
        <w:sym w:font="Wingdings" w:char="F0A8"/>
      </w:r>
      <w:r>
        <w:rPr>
          <w:noProof/>
          <w:lang w:eastAsia="en-GB"/>
        </w:rPr>
        <w:tab/>
        <w:t>The proposal/initiative has no financial impact on revenue.</w:t>
      </w:r>
    </w:p>
    <w:p>
      <w:pPr>
        <w:tabs>
          <w:tab w:val="num" w:pos="1134"/>
        </w:tabs>
        <w:ind w:left="1134" w:hanging="283"/>
        <w:rPr>
          <w:noProof/>
          <w:lang w:eastAsia="en-GB"/>
        </w:rPr>
      </w:pPr>
      <w:r>
        <w:rPr>
          <w:noProof/>
          <w:lang w:eastAsia="en-GB"/>
        </w:rPr>
        <w:sym w:font="Wingdings" w:char="F078"/>
      </w:r>
      <w:r>
        <w:rPr>
          <w:noProof/>
          <w:lang w:eastAsia="en-GB"/>
        </w:rPr>
        <w:tab/>
        <w:t>The proposal/initiative has the following financial impact:</w:t>
      </w:r>
    </w:p>
    <w:p>
      <w:pPr>
        <w:numPr>
          <w:ilvl w:val="2"/>
          <w:numId w:val="0"/>
        </w:numPr>
        <w:tabs>
          <w:tab w:val="num" w:pos="1843"/>
        </w:tabs>
        <w:ind w:left="2126" w:hanging="709"/>
        <w:rPr>
          <w:noProof/>
          <w:lang w:eastAsia="en-GB"/>
        </w:rPr>
      </w:pPr>
      <w:r>
        <w:rPr>
          <w:noProof/>
          <w:lang w:eastAsia="en-GB"/>
        </w:rPr>
        <w:sym w:font="Wingdings" w:char="F0A8"/>
      </w:r>
      <w:r>
        <w:rPr>
          <w:noProof/>
          <w:lang w:eastAsia="en-GB"/>
        </w:rPr>
        <w:tab/>
        <w:t xml:space="preserve">on own resources </w:t>
      </w:r>
    </w:p>
    <w:p>
      <w:pPr>
        <w:numPr>
          <w:ilvl w:val="2"/>
          <w:numId w:val="0"/>
        </w:numPr>
        <w:tabs>
          <w:tab w:val="num" w:pos="1843"/>
        </w:tabs>
        <w:ind w:left="2126" w:hanging="709"/>
        <w:rPr>
          <w:noProof/>
          <w:lang w:eastAsia="en-GB"/>
        </w:rPr>
      </w:pPr>
      <w:r>
        <w:rPr>
          <w:noProof/>
          <w:lang w:eastAsia="en-GB"/>
        </w:rPr>
        <w:sym w:font="Wingdings" w:char="F078"/>
      </w:r>
      <w:r>
        <w:rPr>
          <w:noProof/>
          <w:lang w:eastAsia="en-GB"/>
        </w:rPr>
        <w:t>on other revenue</w:t>
      </w:r>
    </w:p>
    <w:p>
      <w:pPr>
        <w:numPr>
          <w:ilvl w:val="2"/>
          <w:numId w:val="0"/>
        </w:numPr>
        <w:tabs>
          <w:tab w:val="num" w:pos="2126"/>
        </w:tabs>
        <w:ind w:left="2126" w:hanging="709"/>
        <w:rPr>
          <w:noProof/>
          <w:lang w:eastAsia="en-GB"/>
        </w:rPr>
      </w:pPr>
      <w:r>
        <w:rPr>
          <w:noProof/>
          <w:lang w:eastAsia="en-GB"/>
        </w:rPr>
        <w:t xml:space="preserve">please indicate, if the revenue is assigned to expenditure lines </w:t>
      </w:r>
      <w:r>
        <w:rPr>
          <w:noProof/>
          <w:lang w:eastAsia="en-GB"/>
        </w:rPr>
        <w:sym w:font="Wingdings" w:char="F078"/>
      </w:r>
      <w:r>
        <w:rPr>
          <w:noProof/>
          <w:lang w:eastAsia="en-GB"/>
        </w:rPr>
        <w:tab/>
      </w:r>
    </w:p>
    <w:p>
      <w:pPr>
        <w:ind w:left="4320"/>
        <w:rPr>
          <w:i/>
          <w:noProof/>
          <w:sz w:val="20"/>
          <w:lang w:eastAsia="en-GB"/>
        </w:rPr>
      </w:pPr>
      <w:r>
        <w:rPr>
          <w:noProof/>
          <w:lang w:eastAsia="en-GB"/>
        </w:rPr>
        <w:t xml:space="preserve">     EUR million (to three decimal places)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776"/>
        <w:gridCol w:w="1843"/>
        <w:gridCol w:w="1843"/>
        <w:gridCol w:w="1689"/>
        <w:gridCol w:w="12"/>
      </w:tblGrid>
      <w:tr>
        <w:trPr>
          <w:gridAfter w:val="1"/>
          <w:wAfter w:w="12" w:type="dxa"/>
          <w:trHeight w:val="388"/>
        </w:trPr>
        <w:tc>
          <w:tcPr>
            <w:tcW w:w="2144" w:type="dxa"/>
            <w:vMerge w:val="restart"/>
            <w:vAlign w:val="center"/>
          </w:tcPr>
          <w:p>
            <w:pPr>
              <w:spacing w:before="40" w:after="40"/>
              <w:rPr>
                <w:noProof/>
                <w:sz w:val="18"/>
                <w:lang w:eastAsia="en-GB"/>
              </w:rPr>
            </w:pPr>
            <w:r>
              <w:rPr>
                <w:noProof/>
                <w:sz w:val="18"/>
                <w:lang w:eastAsia="en-GB"/>
              </w:rPr>
              <w:t>Budget revenue line:</w:t>
            </w:r>
          </w:p>
        </w:tc>
        <w:tc>
          <w:tcPr>
            <w:tcW w:w="1325" w:type="dxa"/>
            <w:vMerge w:val="restart"/>
            <w:vAlign w:val="center"/>
          </w:tcPr>
          <w:p>
            <w:pPr>
              <w:jc w:val="center"/>
              <w:rPr>
                <w:noProof/>
                <w:sz w:val="18"/>
                <w:lang w:eastAsia="en-GB"/>
              </w:rPr>
            </w:pPr>
            <w:r>
              <w:rPr>
                <w:noProof/>
                <w:sz w:val="18"/>
                <w:lang w:eastAsia="en-GB"/>
              </w:rPr>
              <w:t>Appropriations available for the current financial year</w:t>
            </w:r>
          </w:p>
        </w:tc>
        <w:tc>
          <w:tcPr>
            <w:tcW w:w="7151" w:type="dxa"/>
            <w:gridSpan w:val="4"/>
            <w:vAlign w:val="center"/>
          </w:tcPr>
          <w:p>
            <w:pPr>
              <w:jc w:val="center"/>
              <w:rPr>
                <w:noProof/>
                <w:sz w:val="18"/>
                <w:lang w:eastAsia="en-GB"/>
              </w:rPr>
            </w:pPr>
            <w:r>
              <w:rPr>
                <w:noProof/>
                <w:sz w:val="18"/>
                <w:lang w:eastAsia="en-GB"/>
              </w:rPr>
              <w:t>Impact of the proposal/initiative</w:t>
            </w:r>
            <w:r>
              <w:rPr>
                <w:rStyle w:val="FootnoteReference"/>
                <w:noProof/>
              </w:rPr>
              <w:footnoteReference w:id="21"/>
            </w:r>
          </w:p>
        </w:tc>
      </w:tr>
      <w:tr>
        <w:trPr>
          <w:trHeight w:val="388"/>
        </w:trPr>
        <w:tc>
          <w:tcPr>
            <w:tcW w:w="2144" w:type="dxa"/>
            <w:vMerge/>
          </w:tcPr>
          <w:p>
            <w:pPr>
              <w:spacing w:before="40" w:after="40"/>
              <w:rPr>
                <w:noProof/>
                <w:sz w:val="18"/>
                <w:lang w:eastAsia="en-GB"/>
              </w:rPr>
            </w:pPr>
          </w:p>
        </w:tc>
        <w:tc>
          <w:tcPr>
            <w:tcW w:w="1325" w:type="dxa"/>
            <w:vMerge/>
          </w:tcPr>
          <w:p>
            <w:pPr>
              <w:spacing w:beforeLines="40" w:before="96" w:afterLines="40" w:after="96"/>
              <w:rPr>
                <w:i/>
                <w:noProof/>
                <w:sz w:val="18"/>
                <w:lang w:eastAsia="en-GB"/>
              </w:rPr>
            </w:pPr>
          </w:p>
        </w:tc>
        <w:tc>
          <w:tcPr>
            <w:tcW w:w="1776" w:type="dxa"/>
            <w:vAlign w:val="center"/>
          </w:tcPr>
          <w:p>
            <w:pPr>
              <w:jc w:val="center"/>
              <w:rPr>
                <w:noProof/>
                <w:sz w:val="18"/>
                <w:lang w:eastAsia="en-GB"/>
              </w:rPr>
            </w:pPr>
            <w:r>
              <w:rPr>
                <w:noProof/>
                <w:sz w:val="18"/>
                <w:lang w:eastAsia="en-GB"/>
              </w:rPr>
              <w:t>Year</w:t>
            </w:r>
            <w:r>
              <w:rPr>
                <w:noProof/>
                <w:lang w:eastAsia="en-GB"/>
              </w:rPr>
              <w:br/>
            </w:r>
            <w:r>
              <w:rPr>
                <w:b/>
                <w:noProof/>
                <w:sz w:val="18"/>
                <w:lang w:eastAsia="en-GB"/>
              </w:rPr>
              <w:t>2020</w:t>
            </w:r>
          </w:p>
        </w:tc>
        <w:tc>
          <w:tcPr>
            <w:tcW w:w="1843" w:type="dxa"/>
            <w:vAlign w:val="center"/>
          </w:tcPr>
          <w:p>
            <w:pPr>
              <w:jc w:val="center"/>
              <w:rPr>
                <w:noProof/>
                <w:sz w:val="18"/>
                <w:lang w:eastAsia="en-GB"/>
              </w:rPr>
            </w:pPr>
            <w:r>
              <w:rPr>
                <w:noProof/>
                <w:sz w:val="18"/>
                <w:lang w:eastAsia="en-GB"/>
              </w:rPr>
              <w:t>Year</w:t>
            </w:r>
            <w:r>
              <w:rPr>
                <w:noProof/>
                <w:lang w:eastAsia="en-GB"/>
              </w:rPr>
              <w:br/>
            </w:r>
            <w:r>
              <w:rPr>
                <w:b/>
                <w:noProof/>
                <w:sz w:val="18"/>
                <w:lang w:eastAsia="en-GB"/>
              </w:rPr>
              <w:t>2021</w:t>
            </w:r>
          </w:p>
        </w:tc>
        <w:tc>
          <w:tcPr>
            <w:tcW w:w="1843" w:type="dxa"/>
            <w:vAlign w:val="center"/>
          </w:tcPr>
          <w:p>
            <w:pPr>
              <w:jc w:val="center"/>
              <w:rPr>
                <w:noProof/>
                <w:sz w:val="18"/>
                <w:lang w:eastAsia="en-GB"/>
              </w:rPr>
            </w:pPr>
            <w:r>
              <w:rPr>
                <w:noProof/>
                <w:sz w:val="18"/>
                <w:lang w:eastAsia="en-GB"/>
              </w:rPr>
              <w:t>Year</w:t>
            </w:r>
            <w:r>
              <w:rPr>
                <w:noProof/>
                <w:lang w:eastAsia="en-GB"/>
              </w:rPr>
              <w:br/>
            </w:r>
            <w:r>
              <w:rPr>
                <w:b/>
                <w:noProof/>
                <w:sz w:val="18"/>
                <w:lang w:eastAsia="en-GB"/>
              </w:rPr>
              <w:t>2022</w:t>
            </w:r>
          </w:p>
        </w:tc>
        <w:tc>
          <w:tcPr>
            <w:tcW w:w="1701" w:type="dxa"/>
            <w:gridSpan w:val="2"/>
            <w:vAlign w:val="center"/>
          </w:tcPr>
          <w:p>
            <w:pPr>
              <w:jc w:val="center"/>
              <w:rPr>
                <w:noProof/>
                <w:sz w:val="18"/>
                <w:lang w:eastAsia="en-GB"/>
              </w:rPr>
            </w:pPr>
            <w:r>
              <w:rPr>
                <w:noProof/>
                <w:sz w:val="18"/>
                <w:lang w:eastAsia="en-GB"/>
              </w:rPr>
              <w:t>Year</w:t>
            </w:r>
            <w:r>
              <w:rPr>
                <w:noProof/>
                <w:lang w:eastAsia="en-GB"/>
              </w:rPr>
              <w:br/>
            </w:r>
            <w:r>
              <w:rPr>
                <w:b/>
                <w:noProof/>
                <w:sz w:val="18"/>
                <w:lang w:eastAsia="en-GB"/>
              </w:rPr>
              <w:t>2023</w:t>
            </w:r>
          </w:p>
        </w:tc>
      </w:tr>
      <w:tr>
        <w:trPr>
          <w:trHeight w:val="388"/>
        </w:trPr>
        <w:tc>
          <w:tcPr>
            <w:tcW w:w="2144" w:type="dxa"/>
            <w:vAlign w:val="center"/>
          </w:tcPr>
          <w:p>
            <w:pPr>
              <w:spacing w:before="40" w:after="40"/>
              <w:rPr>
                <w:noProof/>
                <w:sz w:val="18"/>
                <w:lang w:eastAsia="en-GB"/>
              </w:rPr>
            </w:pPr>
            <w:r>
              <w:rPr>
                <w:noProof/>
                <w:sz w:val="18"/>
                <w:lang w:eastAsia="en-GB"/>
              </w:rPr>
              <w:t>Item 6221</w:t>
            </w:r>
          </w:p>
        </w:tc>
        <w:tc>
          <w:tcPr>
            <w:tcW w:w="1325" w:type="dxa"/>
          </w:tcPr>
          <w:p>
            <w:pPr>
              <w:spacing w:beforeLines="40" w:before="96" w:afterLines="40" w:after="96"/>
              <w:jc w:val="center"/>
              <w:rPr>
                <w:i/>
                <w:noProof/>
                <w:sz w:val="18"/>
                <w:lang w:eastAsia="en-GB"/>
              </w:rPr>
            </w:pPr>
          </w:p>
        </w:tc>
        <w:tc>
          <w:tcPr>
            <w:tcW w:w="1776" w:type="dxa"/>
          </w:tcPr>
          <w:p>
            <w:pPr>
              <w:spacing w:beforeLines="40" w:before="96" w:afterLines="40" w:after="96"/>
              <w:jc w:val="center"/>
              <w:rPr>
                <w:noProof/>
                <w:sz w:val="18"/>
                <w:lang w:eastAsia="en-GB"/>
              </w:rPr>
            </w:pPr>
            <w:r>
              <w:rPr>
                <w:noProof/>
                <w:sz w:val="18"/>
                <w:lang w:eastAsia="en-GB"/>
              </w:rPr>
              <w:t>p.m.</w:t>
            </w:r>
          </w:p>
        </w:tc>
        <w:tc>
          <w:tcPr>
            <w:tcW w:w="1843" w:type="dxa"/>
          </w:tcPr>
          <w:p>
            <w:pPr>
              <w:spacing w:beforeLines="40" w:before="96" w:afterLines="40" w:after="96"/>
              <w:jc w:val="center"/>
              <w:rPr>
                <w:noProof/>
                <w:sz w:val="18"/>
                <w:lang w:eastAsia="en-GB"/>
              </w:rPr>
            </w:pPr>
            <w:r>
              <w:rPr>
                <w:noProof/>
                <w:sz w:val="18"/>
                <w:lang w:eastAsia="en-GB"/>
              </w:rPr>
              <w:t>p.m.</w:t>
            </w:r>
          </w:p>
        </w:tc>
        <w:tc>
          <w:tcPr>
            <w:tcW w:w="1843" w:type="dxa"/>
          </w:tcPr>
          <w:p>
            <w:pPr>
              <w:spacing w:beforeLines="40" w:before="96" w:afterLines="40" w:after="96"/>
              <w:jc w:val="center"/>
              <w:rPr>
                <w:noProof/>
                <w:sz w:val="18"/>
                <w:lang w:eastAsia="en-GB"/>
              </w:rPr>
            </w:pPr>
            <w:r>
              <w:rPr>
                <w:noProof/>
                <w:sz w:val="18"/>
                <w:lang w:eastAsia="en-GB"/>
              </w:rPr>
              <w:t>p.m.</w:t>
            </w:r>
          </w:p>
        </w:tc>
        <w:tc>
          <w:tcPr>
            <w:tcW w:w="1701" w:type="dxa"/>
            <w:gridSpan w:val="2"/>
          </w:tcPr>
          <w:p>
            <w:pPr>
              <w:spacing w:beforeLines="40" w:before="96" w:afterLines="40" w:after="96"/>
              <w:jc w:val="center"/>
              <w:rPr>
                <w:noProof/>
                <w:sz w:val="18"/>
                <w:lang w:eastAsia="en-GB"/>
              </w:rPr>
            </w:pPr>
            <w:r>
              <w:rPr>
                <w:noProof/>
                <w:sz w:val="18"/>
                <w:lang w:eastAsia="en-GB"/>
              </w:rPr>
              <w:t>p.m.</w:t>
            </w:r>
          </w:p>
        </w:tc>
      </w:tr>
    </w:tbl>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Item 6 2 2 1</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Revenue from the operation of the high-flux reactor (HFR) — Assigned revenue</w:t>
      </w:r>
    </w:p>
    <w:p>
      <w:pPr>
        <w:ind w:left="850"/>
        <w:rPr>
          <w:noProof/>
          <w:sz w:val="20"/>
          <w:lang w:eastAsia="en-GB"/>
        </w:rPr>
      </w:pPr>
      <w:r>
        <w:rPr>
          <w:noProof/>
          <w:sz w:val="20"/>
          <w:lang w:eastAsia="en-GB"/>
        </w:rPr>
        <w:t>Other remarks (e.g. method/formula used for calculating the impact on revenue or any other information).</w:t>
      </w:r>
    </w:p>
    <w:p>
      <w:pPr>
        <w:pBdr>
          <w:top w:val="single" w:sz="4" w:space="1" w:color="auto"/>
          <w:left w:val="single" w:sz="4" w:space="4" w:color="auto"/>
          <w:bottom w:val="single" w:sz="4" w:space="1" w:color="auto"/>
          <w:right w:val="single" w:sz="4" w:space="4" w:color="auto"/>
        </w:pBdr>
        <w:ind w:left="850"/>
        <w:rPr>
          <w:noProof/>
          <w:lang w:eastAsia="en-GB"/>
        </w:rPr>
      </w:pPr>
      <w:r>
        <w:rPr>
          <w:noProof/>
          <w:lang w:eastAsia="en-GB"/>
        </w:rPr>
        <w:t>The supplementary research programme is financed by contributions coming from the participant Member States, calculated on the basis of the budget in the period 2016-2019.</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Minutes of the Scientific and Technical Committee Meeting held on 4 October 2019.</w:t>
      </w:r>
    </w:p>
  </w:footnote>
  <w:footnote w:id="2">
    <w:p>
      <w:pPr>
        <w:pStyle w:val="FootnoteText"/>
        <w:rPr>
          <w:rFonts w:eastAsia="Arial Unicode MS"/>
          <w:color w:val="0000FF"/>
        </w:rPr>
      </w:pPr>
      <w:r>
        <w:rPr>
          <w:rStyle w:val="FootnoteReference"/>
        </w:rPr>
        <w:footnoteRef/>
      </w:r>
      <w:r>
        <w:tab/>
        <w:t>Council Decision (Euratom) 2017/956 of 29 May 2017 on the adoption of the 2016-2019 high flux reactor supplementary research programme to be implemented by the Joint Research Centre for the European Atomic Energy Community (OJ L 144, 7.6.2017, p. 23).</w:t>
      </w:r>
    </w:p>
  </w:footnote>
  <w:footnote w:id="3">
    <w:p>
      <w:pPr>
        <w:pStyle w:val="FootnoteText"/>
      </w:pPr>
      <w:r>
        <w:rPr>
          <w:rStyle w:val="FootnoteReference"/>
        </w:rPr>
        <w:footnoteRef/>
      </w:r>
      <w:r>
        <w:tab/>
        <w:t>Opinion   of 18.12. 2019.</w:t>
      </w:r>
    </w:p>
  </w:footnote>
  <w:footnote w:id="4">
    <w:p>
      <w:pPr>
        <w:pStyle w:val="FootnoteText"/>
        <w:rPr>
          <w:lang w:val="en-IE"/>
        </w:rPr>
      </w:pPr>
      <w:r>
        <w:rPr>
          <w:rStyle w:val="FootnoteReference"/>
        </w:rPr>
        <w:footnoteRef/>
      </w:r>
      <w:r>
        <w:tab/>
        <w:t>Commission Decision 96/282/Euratom of 10 April 1996 on the reorganization of the Joint Research Centre (OJ L 107 of 30.04.1996, p. 12).</w:t>
      </w:r>
    </w:p>
  </w:footnote>
  <w:footnote w:id="5">
    <w:p>
      <w:pPr>
        <w:pStyle w:val="FootnoteText"/>
        <w:ind w:left="0" w:hanging="142"/>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30.07.2018, p. 1).</w:t>
      </w:r>
    </w:p>
  </w:footnote>
  <w:footnote w:id="6">
    <w:p>
      <w:pPr>
        <w:pStyle w:val="FootnoteText"/>
        <w:rPr>
          <w:szCs w:val="24"/>
        </w:rPr>
      </w:pPr>
      <w:r>
        <w:rPr>
          <w:rStyle w:val="FootnoteReference"/>
        </w:rPr>
        <w:footnoteRef/>
      </w:r>
      <w:r>
        <w:tab/>
        <w:t>As referred to in Article 58(2)(a) or (b) of the Financial Regulation.</w:t>
      </w:r>
    </w:p>
  </w:footnote>
  <w:footnote w:id="7">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8">
    <w:p>
      <w:pPr>
        <w:pStyle w:val="FootnoteText"/>
        <w:rPr>
          <w:szCs w:val="24"/>
        </w:rPr>
      </w:pPr>
      <w:r>
        <w:rPr>
          <w:rStyle w:val="FootnoteReference"/>
        </w:rPr>
        <w:footnoteRef/>
      </w:r>
      <w:r>
        <w:tab/>
        <w:t>Diff. = Differentiated appropriations / Non-diff. = Non-differentiated appropriations.</w:t>
      </w:r>
    </w:p>
  </w:footnote>
  <w:footnote w:id="9">
    <w:p>
      <w:pPr>
        <w:pStyle w:val="FootnoteText"/>
        <w:rPr>
          <w:szCs w:val="24"/>
        </w:rPr>
      </w:pPr>
      <w:r>
        <w:rPr>
          <w:rStyle w:val="FootnoteReference"/>
        </w:rPr>
        <w:footnoteRef/>
      </w:r>
      <w:r>
        <w:tab/>
        <w:t xml:space="preserve">EFTA: European Free Trade Association. </w:t>
      </w:r>
    </w:p>
  </w:footnote>
  <w:footnote w:id="10">
    <w:p>
      <w:pPr>
        <w:pStyle w:val="FootnoteText"/>
        <w:rPr>
          <w:szCs w:val="24"/>
        </w:rPr>
      </w:pPr>
      <w:r>
        <w:rPr>
          <w:rStyle w:val="FootnoteReference"/>
        </w:rPr>
        <w:footnoteRef/>
      </w:r>
      <w:r>
        <w:tab/>
        <w:t>Candidate countries and, where applicable, potential candidates from the Western Balkans.</w:t>
      </w:r>
    </w:p>
  </w:footnote>
  <w:footnote w:id="11">
    <w:p>
      <w:pPr>
        <w:pStyle w:val="FootnoteText"/>
        <w:rPr>
          <w:sz w:val="18"/>
          <w:szCs w:val="18"/>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12">
    <w:p>
      <w:pPr>
        <w:pStyle w:val="FootnoteText"/>
        <w:rPr>
          <w:sz w:val="18"/>
          <w:szCs w:val="18"/>
        </w:rPr>
      </w:pPr>
      <w:r>
        <w:rPr>
          <w:rStyle w:val="FootnoteReference"/>
        </w:rPr>
        <w:footnoteRef/>
      </w:r>
      <w:r>
        <w:rPr>
          <w:sz w:val="18"/>
          <w:szCs w:val="18"/>
        </w:rPr>
        <w:tab/>
        <w:t>According to the official budget nomenclature for 2020, for the years 2021-2023 to be specified with the nomenclature for the MFF 2021-2027</w:t>
      </w:r>
    </w:p>
  </w:footnote>
  <w:footnote w:id="13">
    <w:p>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14">
    <w:p>
      <w:pPr>
        <w:pStyle w:val="FootnoteText"/>
        <w:rPr>
          <w:szCs w:val="24"/>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15">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6">
    <w:p>
      <w:pPr>
        <w:pStyle w:val="FootnoteText"/>
        <w:rPr>
          <w:szCs w:val="24"/>
        </w:rPr>
      </w:pPr>
      <w:r>
        <w:rPr>
          <w:rStyle w:val="FootnoteReference"/>
        </w:rPr>
        <w:footnoteRef/>
      </w:r>
      <w:r>
        <w:tab/>
        <w:t xml:space="preserve">As described in point 1.4.2. ‘Specific objective(s)…’ </w:t>
      </w:r>
    </w:p>
  </w:footnote>
  <w:footnote w:id="17">
    <w:p>
      <w:pPr>
        <w:pStyle w:val="FootnoteText"/>
        <w:rPr>
          <w:sz w:val="18"/>
          <w:szCs w:val="18"/>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18">
    <w:p>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19">
    <w:p>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20">
    <w:p>
      <w:pPr>
        <w:pStyle w:val="FootnoteText"/>
        <w:rPr>
          <w:szCs w:val="24"/>
        </w:rPr>
      </w:pPr>
      <w:r>
        <w:rPr>
          <w:rStyle w:val="FootnoteReference"/>
        </w:rPr>
        <w:footnoteRef/>
      </w:r>
      <w:r>
        <w:tab/>
        <w:t>Sub-ceiling for external staff covered by operational appropriations (former ‘BA’ lines).</w:t>
      </w:r>
    </w:p>
  </w:footnote>
  <w:footnote w:id="21">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1C6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28D5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1651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EC8E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0EA1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F2F6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920C52"/>
    <w:lvl w:ilvl="0">
      <w:start w:val="1"/>
      <w:numFmt w:val="decimal"/>
      <w:pStyle w:val="ListNumber"/>
      <w:lvlText w:val="%1."/>
      <w:lvlJc w:val="left"/>
      <w:pPr>
        <w:tabs>
          <w:tab w:val="num" w:pos="360"/>
        </w:tabs>
        <w:ind w:left="360" w:hanging="360"/>
      </w:pPr>
    </w:lvl>
  </w:abstractNum>
  <w:abstractNum w:abstractNumId="7">
    <w:nsid w:val="FFFFFF89"/>
    <w:multiLevelType w:val="singleLevel"/>
    <w:tmpl w:val="4FAE5D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lvlOverride w:ilvl="0">
      <w:startOverride w:val="1"/>
    </w:lvlOverride>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num>
  <w:num w:numId="13">
    <w:abstractNumId w:val="13"/>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24"/>
  </w:num>
  <w:num w:numId="19">
    <w:abstractNumId w:val="12"/>
  </w:num>
  <w:num w:numId="20">
    <w:abstractNumId w:val="15"/>
  </w:num>
  <w:num w:numId="21">
    <w:abstractNumId w:val="10"/>
  </w:num>
  <w:num w:numId="22">
    <w:abstractNumId w:val="23"/>
  </w:num>
  <w:num w:numId="23">
    <w:abstractNumId w:val="9"/>
  </w:num>
  <w:num w:numId="24">
    <w:abstractNumId w:val="16"/>
  </w:num>
  <w:num w:numId="25">
    <w:abstractNumId w:val="19"/>
  </w:num>
  <w:num w:numId="26">
    <w:abstractNumId w:val="20"/>
  </w:num>
  <w:num w:numId="27">
    <w:abstractNumId w:val="11"/>
  </w:num>
  <w:num w:numId="28">
    <w:abstractNumId w:val="18"/>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attachedTemplate r:id="rId1"/>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7 13:39: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7F9F6589-7068-4D7C-B07E-55DC6FA23522"/>
    <w:docVar w:name="LW_COVERPAGE_TYPE" w:val="1"/>
    <w:docVar w:name="LW_CROSSREFERENCE" w:val="&lt;UNUSED&gt;"/>
    <w:docVar w:name="LW_DocType" w:val="COM"/>
    <w:docVar w:name="LW_EMISSION" w:val="24.3.2020"/>
    <w:docVar w:name="LW_EMISSION_ISODATE" w:val="2020-03-2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40"/>
    <w:docVar w:name="LW_REF.II.NEW.CP_YEAR" w:val="2020"/>
    <w:docVar w:name="LW_REF.INST.NEW" w:val="COM"/>
    <w:docVar w:name="LW_REF.INST.NEW_ADOPTED" w:val="final"/>
    <w:docVar w:name="LW_REF.INST.NEW_TEXT" w:val="(2020) 1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adoption of the 2020-2023 high flux reactor supplementary research programme at Petten to be implemented by the Joint Research Centre for the European Atomic Energy Community_x000b_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customStyle="1" w:styleId="ListDash1">
    <w:name w:val="List Dash 1"/>
    <w:basedOn w:val="Normal"/>
    <w:pPr>
      <w:numPr>
        <w:numId w:val="2"/>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numbering" w:customStyle="1" w:styleId="NoList1">
    <w:name w:val="No List1"/>
    <w:next w:val="NoList"/>
    <w:uiPriority w:val="99"/>
    <w:semiHidden/>
    <w:unhideWhenUsed/>
  </w:style>
  <w:style w:type="paragraph" w:customStyle="1" w:styleId="ListBullet1">
    <w:name w:val="List Bullet 1"/>
    <w:basedOn w:val="Normal"/>
    <w:pPr>
      <w:numPr>
        <w:numId w:val="12"/>
      </w:numPr>
    </w:pPr>
    <w:rPr>
      <w:lang w:eastAsia="en-GB"/>
    </w:rPr>
  </w:style>
  <w:style w:type="paragraph" w:customStyle="1" w:styleId="ListDash">
    <w:name w:val="List Dash"/>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customStyle="1" w:styleId="ListDash1">
    <w:name w:val="List Dash 1"/>
    <w:basedOn w:val="Normal"/>
    <w:pPr>
      <w:numPr>
        <w:numId w:val="2"/>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numbering" w:customStyle="1" w:styleId="NoList1">
    <w:name w:val="No List1"/>
    <w:next w:val="NoList"/>
    <w:uiPriority w:val="99"/>
    <w:semiHidden/>
    <w:unhideWhenUsed/>
  </w:style>
  <w:style w:type="paragraph" w:customStyle="1" w:styleId="ListBullet1">
    <w:name w:val="List Bullet 1"/>
    <w:basedOn w:val="Normal"/>
    <w:pPr>
      <w:numPr>
        <w:numId w:val="12"/>
      </w:numPr>
    </w:pPr>
    <w:rPr>
      <w:lang w:eastAsia="en-GB"/>
    </w:rPr>
  </w:style>
  <w:style w:type="paragraph" w:customStyle="1" w:styleId="ListDash">
    <w:name w:val="List Dash"/>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4639">
      <w:bodyDiv w:val="1"/>
      <w:marLeft w:val="0"/>
      <w:marRight w:val="0"/>
      <w:marTop w:val="0"/>
      <w:marBottom w:val="0"/>
      <w:divBdr>
        <w:top w:val="none" w:sz="0" w:space="0" w:color="auto"/>
        <w:left w:val="none" w:sz="0" w:space="0" w:color="auto"/>
        <w:bottom w:val="none" w:sz="0" w:space="0" w:color="auto"/>
        <w:right w:val="none" w:sz="0" w:space="0" w:color="auto"/>
      </w:divBdr>
    </w:div>
    <w:div w:id="1189487591">
      <w:bodyDiv w:val="1"/>
      <w:marLeft w:val="0"/>
      <w:marRight w:val="0"/>
      <w:marTop w:val="0"/>
      <w:marBottom w:val="0"/>
      <w:divBdr>
        <w:top w:val="none" w:sz="0" w:space="0" w:color="auto"/>
        <w:left w:val="none" w:sz="0" w:space="0" w:color="auto"/>
        <w:bottom w:val="none" w:sz="0" w:space="0" w:color="auto"/>
        <w:right w:val="none" w:sz="0" w:space="0" w:color="auto"/>
      </w:divBdr>
    </w:div>
    <w:div w:id="1191458400">
      <w:bodyDiv w:val="1"/>
      <w:marLeft w:val="0"/>
      <w:marRight w:val="0"/>
      <w:marTop w:val="0"/>
      <w:marBottom w:val="0"/>
      <w:divBdr>
        <w:top w:val="none" w:sz="0" w:space="0" w:color="auto"/>
        <w:left w:val="none" w:sz="0" w:space="0" w:color="auto"/>
        <w:bottom w:val="none" w:sz="0" w:space="0" w:color="auto"/>
        <w:right w:val="none" w:sz="0" w:space="0" w:color="auto"/>
      </w:divBdr>
    </w:div>
    <w:div w:id="1395855641">
      <w:bodyDiv w:val="1"/>
      <w:marLeft w:val="0"/>
      <w:marRight w:val="0"/>
      <w:marTop w:val="0"/>
      <w:marBottom w:val="0"/>
      <w:divBdr>
        <w:top w:val="none" w:sz="0" w:space="0" w:color="auto"/>
        <w:left w:val="none" w:sz="0" w:space="0" w:color="auto"/>
        <w:bottom w:val="none" w:sz="0" w:space="0" w:color="auto"/>
        <w:right w:val="none" w:sz="0" w:space="0" w:color="auto"/>
      </w:divBdr>
    </w:div>
    <w:div w:id="20023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C23EF-7332-4E28-A4EE-CD6A760F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22</Pages>
  <Words>4987</Words>
  <Characters>27684</Characters>
  <Application>Microsoft Office Word</Application>
  <DocSecurity>0</DocSecurity>
  <Lines>1258</Lines>
  <Paragraphs>653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19</cp:revision>
  <cp:lastPrinted>2019-11-08T10:52:00Z</cp:lastPrinted>
  <dcterms:created xsi:type="dcterms:W3CDTF">2020-03-13T15:18:00Z</dcterms:created>
  <dcterms:modified xsi:type="dcterms:W3CDTF">2020-03-17T12:39:00Z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