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75" w:rsidRDefault="00DE0337" w:rsidP="00DE0337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117DABBE-37E4-44D7-8AC7-2B391C7FC5D3" style="width:450.5pt;height:361.95pt">
            <v:imagedata r:id="rId7" o:title=""/>
          </v:shape>
        </w:pict>
      </w:r>
    </w:p>
    <w:bookmarkEnd w:id="0"/>
    <w:p w:rsidR="00564F75" w:rsidRDefault="00564F75">
      <w:pPr>
        <w:rPr>
          <w:noProof/>
        </w:rPr>
        <w:sectPr w:rsidR="00564F75" w:rsidSect="00DE03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564F75" w:rsidRDefault="00DE0337">
      <w:pPr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lastRenderedPageBreak/>
        <w:t>ОБЯСНИТЕЛЕН МЕМОРАНДУМ</w:t>
      </w:r>
    </w:p>
    <w:p w:rsidR="00564F75" w:rsidRDefault="00564F75">
      <w:pPr>
        <w:pStyle w:val="ListParagraph"/>
        <w:tabs>
          <w:tab w:val="left" w:pos="284"/>
        </w:tabs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64F75" w:rsidRDefault="00DE0337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Външната дейност на Съюза преследва целите, определени в член 21 от Договора за Европейския съюз по отношение на демокрацията, правовата държава, универсалността и неделимостта на правата на човека и на основните свободи. </w:t>
      </w:r>
    </w:p>
    <w:p w:rsidR="00564F75" w:rsidRDefault="00564F75">
      <w:pPr>
        <w:pStyle w:val="ListParagraph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64F75" w:rsidRDefault="00DE0337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За тази цел Комисията и </w:t>
      </w:r>
      <w:r>
        <w:rPr>
          <w:rFonts w:ascii="Times New Roman" w:hAnsi="Times New Roman"/>
          <w:noProof/>
          <w:sz w:val="24"/>
          <w:szCs w:val="24"/>
        </w:rPr>
        <w:t>върховният представител предлагат на Съвета да препоръча на Европейския съвет приемането на решение на Европейския съвет за определяне на стратегическите интереси и цели на Съюза съгласно член 22, параграф 1 от Договора за Европейския съюз посредством План</w:t>
      </w:r>
      <w:r>
        <w:rPr>
          <w:rFonts w:ascii="Times New Roman" w:hAnsi="Times New Roman"/>
          <w:noProof/>
          <w:sz w:val="24"/>
          <w:szCs w:val="24"/>
        </w:rPr>
        <w:t>а за действие на ЕС относно правата на човека и демокрацията за 2020—2024 г. Настоящото решение не засяга разпределението на компетентностите и процедурите за вземане на решения съгласно Договорите. По-специално то не засяга гласуването с квалифицирано мно</w:t>
      </w:r>
      <w:r>
        <w:rPr>
          <w:rFonts w:ascii="Times New Roman" w:hAnsi="Times New Roman"/>
          <w:noProof/>
          <w:sz w:val="24"/>
          <w:szCs w:val="24"/>
        </w:rPr>
        <w:t>зинство в случаите, в които то се прилага понастоящем.</w:t>
      </w:r>
    </w:p>
    <w:p w:rsidR="00564F75" w:rsidRDefault="00564F75">
      <w:pPr>
        <w:pStyle w:val="ListParagraph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64F75" w:rsidRDefault="00DE0337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Планът за действие набелязва целите, които трябва да бъдат преследвани, и конкретните мерки, които следва да бъдат предприети за изпълнение на Плана за действие. Приемането на решение от Европейския с</w:t>
      </w:r>
      <w:r>
        <w:rPr>
          <w:rFonts w:ascii="Times New Roman" w:hAnsi="Times New Roman"/>
          <w:noProof/>
          <w:sz w:val="24"/>
          <w:szCs w:val="24"/>
        </w:rPr>
        <w:t>ъвет ще осигури рамката, която да позволи определянето на конкретни предложения за действия или позиции на Съюза при изпълнението на неговите цели относно правата на човека и демокрацията, и ще улесни набелязва</w:t>
      </w:r>
      <w:bookmarkStart w:id="1" w:name="_GoBack"/>
      <w:bookmarkEnd w:id="1"/>
      <w:r>
        <w:rPr>
          <w:rFonts w:ascii="Times New Roman" w:hAnsi="Times New Roman"/>
          <w:noProof/>
          <w:sz w:val="24"/>
          <w:szCs w:val="24"/>
        </w:rPr>
        <w:t>нето на средствата, които да бъдат предназначе</w:t>
      </w:r>
      <w:r>
        <w:rPr>
          <w:rFonts w:ascii="Times New Roman" w:hAnsi="Times New Roman"/>
          <w:noProof/>
          <w:sz w:val="24"/>
          <w:szCs w:val="24"/>
        </w:rPr>
        <w:t>ни за тези цели от Съюза и държавите членки.</w:t>
      </w:r>
    </w:p>
    <w:p w:rsidR="00564F75" w:rsidRDefault="00564F75">
      <w:pPr>
        <w:pStyle w:val="ListParagraph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64F75" w:rsidRDefault="00564F75">
      <w:pPr>
        <w:pStyle w:val="ListParagraph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64F75" w:rsidRDefault="00DE033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br w:type="page"/>
      </w:r>
    </w:p>
    <w:p w:rsidR="00564F75" w:rsidRDefault="00DE033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t>Съвместно предложение за</w:t>
      </w:r>
    </w:p>
    <w:p w:rsidR="00564F75" w:rsidRDefault="00DE033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ПРЕПОРЪКА НА СЪВЕТА ДО ЕВРОПЕЙСКИЯ СЪВЕТ</w:t>
      </w:r>
    </w:p>
    <w:p w:rsidR="00564F75" w:rsidRDefault="00DE033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за приемане на решение за определяне на стратегическите цели на Съюза, които да се преследват с Плана за действие на ЕС относно правата на чо</w:t>
      </w:r>
      <w:r>
        <w:rPr>
          <w:rFonts w:ascii="Times New Roman" w:hAnsi="Times New Roman"/>
          <w:b/>
          <w:noProof/>
          <w:sz w:val="24"/>
          <w:szCs w:val="24"/>
        </w:rPr>
        <w:t>века и демокрацията за периода 2020—2024 г.</w:t>
      </w:r>
    </w:p>
    <w:p w:rsidR="00564F75" w:rsidRDefault="00564F75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64F75" w:rsidRDefault="00DE033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Върховният представител на Съюза по въпросите на външните работи и политиката на сигурност — относно областта на общата външна политика и политика на сигурност, и Комисията — относно други области на външната де</w:t>
      </w:r>
      <w:r>
        <w:rPr>
          <w:rFonts w:ascii="Times New Roman" w:hAnsi="Times New Roman"/>
          <w:noProof/>
          <w:sz w:val="24"/>
          <w:szCs w:val="24"/>
        </w:rPr>
        <w:t xml:space="preserve">йност, предлагат на Съвета да препоръча на Европейския съвет да приеме решение съгласно член 22, параграф 1 от Договора за Европейския съюз. </w:t>
      </w:r>
    </w:p>
    <w:p w:rsidR="00564F75" w:rsidRDefault="00564F75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64F75" w:rsidRDefault="00DE033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Предлага се Съветът да препоръча на Европейския съвет приемането на проекта на решение на Европейския съвет, прил</w:t>
      </w:r>
      <w:r>
        <w:rPr>
          <w:rFonts w:ascii="Times New Roman" w:hAnsi="Times New Roman"/>
          <w:noProof/>
          <w:sz w:val="24"/>
          <w:szCs w:val="24"/>
        </w:rPr>
        <w:t>ожен към настоящото предложение.</w:t>
      </w:r>
    </w:p>
    <w:p w:rsidR="00564F75" w:rsidRDefault="00564F75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64F75" w:rsidRDefault="00564F75">
      <w:pPr>
        <w:rPr>
          <w:noProof/>
          <w:sz w:val="24"/>
          <w:szCs w:val="24"/>
        </w:rPr>
      </w:pPr>
    </w:p>
    <w:sectPr w:rsidR="00564F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F75" w:rsidRDefault="00DE0337">
      <w:pPr>
        <w:spacing w:after="0" w:line="240" w:lineRule="auto"/>
      </w:pPr>
      <w:r>
        <w:separator/>
      </w:r>
    </w:p>
  </w:endnote>
  <w:endnote w:type="continuationSeparator" w:id="0">
    <w:p w:rsidR="00564F75" w:rsidRDefault="00DE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337" w:rsidRPr="00DE0337" w:rsidRDefault="00DE0337" w:rsidP="00DE0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337" w:rsidRPr="00DE0337" w:rsidRDefault="00DE0337" w:rsidP="00DE0337">
    <w:pPr>
      <w:pStyle w:val="FooterCoverPage"/>
      <w:rPr>
        <w:rFonts w:ascii="Arial" w:hAnsi="Arial" w:cs="Arial"/>
        <w:b/>
        <w:sz w:val="48"/>
      </w:rPr>
    </w:pPr>
    <w:r w:rsidRPr="00DE0337">
      <w:rPr>
        <w:rFonts w:ascii="Arial" w:hAnsi="Arial" w:cs="Arial"/>
        <w:b/>
        <w:sz w:val="48"/>
      </w:rPr>
      <w:t>BG</w:t>
    </w:r>
    <w:r w:rsidRPr="00DE0337">
      <w:rPr>
        <w:rFonts w:ascii="Arial" w:hAnsi="Arial" w:cs="Arial"/>
        <w:b/>
        <w:sz w:val="48"/>
      </w:rPr>
      <w:tab/>
    </w:r>
    <w:r w:rsidRPr="00DE0337">
      <w:rPr>
        <w:rFonts w:ascii="Arial" w:hAnsi="Arial" w:cs="Arial"/>
        <w:b/>
        <w:sz w:val="48"/>
      </w:rPr>
      <w:tab/>
    </w:r>
    <w:r w:rsidRPr="00DE0337">
      <w:tab/>
    </w:r>
    <w:proofErr w:type="spellStart"/>
    <w:r w:rsidRPr="00DE0337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337" w:rsidRPr="00DE0337" w:rsidRDefault="00DE0337" w:rsidP="00DE0337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75" w:rsidRDefault="00564F7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75" w:rsidRDefault="00564F7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75" w:rsidRDefault="00564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F75" w:rsidRDefault="00DE0337">
      <w:pPr>
        <w:spacing w:after="0" w:line="240" w:lineRule="auto"/>
      </w:pPr>
      <w:r>
        <w:separator/>
      </w:r>
    </w:p>
  </w:footnote>
  <w:footnote w:type="continuationSeparator" w:id="0">
    <w:p w:rsidR="00564F75" w:rsidRDefault="00DE0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337" w:rsidRPr="00DE0337" w:rsidRDefault="00DE0337" w:rsidP="00DE0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337" w:rsidRPr="00DE0337" w:rsidRDefault="00DE0337" w:rsidP="00DE0337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337" w:rsidRPr="00DE0337" w:rsidRDefault="00DE0337" w:rsidP="00DE0337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75" w:rsidRDefault="00564F7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75" w:rsidRDefault="00564F7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75" w:rsidRDefault="00564F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0CCF"/>
    <w:multiLevelType w:val="hybridMultilevel"/>
    <w:tmpl w:val="2FA07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hideSpellingErrors/>
  <w:hideGrammaticalErrors/>
  <w:proofState w:spelling="clean" w:grammar="clean"/>
  <w:revisionView w:markup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117DABBE-37E4-44D7-8AC7-2B391C7FC5D3"/>
    <w:docVar w:name="LW_COVERPAGE_TYPE" w:val="1"/>
    <w:docVar w:name="LW_CROSSREFERENCE" w:val="&lt;UNUSED&gt;"/>
    <w:docVar w:name="LW_DocType" w:val="NORMAL"/>
    <w:docVar w:name="LW_EMISSION" w:val="25.3.2020"/>
    <w:docVar w:name="LW_EMISSION_ISODATE" w:val="2020-03-25"/>
    <w:docVar w:name="LW_EMISSION_LOCATION" w:val="BRX"/>
    <w:docVar w:name="LW_EMISSION_PREFIX" w:val="\u1041?\u1088?\u1102?\u1082?\u1089?\u1077?\u1083?, "/>
    <w:docVar w:name="LW_EMISSION_SUFFIX" w:val=" \u1075?."/>
    <w:docVar w:name="LW_ID_DOCTYPE_NONLW" w:val="CP-042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_x000b_\u1053?\u1040? \u1057?\u1066?\u1070?\u1047?A \u1055?\u1054? 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PART_NBR" w:val="1"/>
    <w:docVar w:name="LW_PART_NBR_TOTAL" w:val="1"/>
    <w:docVar w:name="LW_REF.II.NEW.CP" w:val="NLE"/>
    <w:docVar w:name="LW_REF.II.NEW.CP_NUMBER" w:val="0047"/>
    <w:docVar w:name="LW_REF.II.NEW.CP_YEAR" w:val="2020"/>
    <w:docVar w:name="LW_REF.INST.NEW" w:val="JOIN"/>
    <w:docVar w:name="LW_REF.INST.NEW_ADOPTED" w:val="final"/>
    <w:docVar w:name="LW_REF.INST.NEW_TEXT" w:val="(2020) 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FMT:Bold&gt;\u1079?\u1072? \u1087?\u1088?\u1080?\u1077?\u1084?\u1072?\u1085?\u1077? \u1085?\u1072? \u1088?\u1077?\u1096?\u1077?\u1085?\u1080?\u1077? \u1079?\u1072? \u1086?\u1087?\u1088?\u1077?\u1076?\u1077?\u1083?\u1103?\u1085?\u1077? \u1085?\u1072? \u1089?\u1090?\u1088?\u1072?\u1090?\u1077?\u1075?\u1080?\u1095?\u1077?\u1089?\u1082?\u1080?\u1090?\u1077? \u1094?\u1077?\u1083?\u1080? \u1085?\u1072? \u1057?\u1098?\u1102?\u1079?\u1072?, \u1082?\u1086?\u1080?\u1090?\u1086? \u1076?\u1072? \u1089?\u1077? \u1087?\u1088?\u1077?\u1089?\u1083?\u1077?\u1076?\u1074?\u1072?\u1090? \u1089? \u1055?\u1083?\u1072?\u1085?\u1072? \u1079?\u1072? \u1076?\u1077?\u1081?\u1089?\u1090?\u1074?\u1080?\u1077? \u1085?\u1072? \u1045?\u1057? \u1086?\u1090?\u1085?\u1086?\u1089?\u1085?\u1086? \u1087?\u1088?\u1072?\u1074?\u1072?\u1090?\u1072? \u1085?\u1072? \u1095?\u1086?\u1074?\u1077?\u1082?\u1072? \u1080? \u1076?\u1077?\u1084?\u1086?\u1082?\u1088?\u1072?\u1094?\u1080?\u1103?\u1090?\u1072? \u1079?\u1072? \u1087?\u1077?\u1088?\u1080?\u1086?\u1076?\u1072? 2020\u8212?2024 \u1075?.&lt;/FMT&gt;"/>
    <w:docVar w:name="LW_TYPE.DOC.CP" w:val="\u1057?\u1098?\u1074?\u1084?\u1077?\u1089?\u1090?\u1085?\u1086? \u1087?\u1088?\u1077?\u1076?\u1083?\u1086?\u1078?\u1077?\u1085?\u1080?\u1077? \u1079?\u1072?_x000b_\u1055?\u1056?\u1045?\u1055?\u1054?\u1056?\u1066?\u1050?\u1040? \u1053?\u1040? \u1057?\u1066?\u1042?\u1045?\u1058?\u1040? \u1044?\u1054? \u1045?\u1042?\u1056?\u1054?\u1055?\u1045?\u1049?\u1057?\u1050?\u1048?\u1071? \u1057?\u1066?\u1042?\u1045?\u1058?_x000b_"/>
  </w:docVars>
  <w:rsids>
    <w:rsidRoot w:val="00564F75"/>
    <w:rsid w:val="00564F75"/>
    <w:rsid w:val="00D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23545408-7767-4893-85D4-BE0035AB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Issue Action POC,3,POCG Table Text,No Spacing1,WB 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link w:val="ListParagraph"/>
    <w:uiPriority w:val="34"/>
    <w:qFormat/>
    <w:locked/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313</Words>
  <Characters>1789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PAREDES ECHAURI Cristina (SG)</cp:lastModifiedBy>
  <cp:revision>28</cp:revision>
  <dcterms:created xsi:type="dcterms:W3CDTF">2020-02-27T14:52:00Z</dcterms:created>
  <dcterms:modified xsi:type="dcterms:W3CDTF">2020-03-24T16:11:00Z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CP-042</vt:lpwstr>
  </property>
  <property fmtid="{D5CDD505-2E9C-101B-9397-08002B2CF9AE}" pid="7" name="Last edited using">
    <vt:lpwstr>LW 7.0, Build 20190717</vt:lpwstr>
  </property>
  <property fmtid="{D5CDD505-2E9C-101B-9397-08002B2CF9AE}" pid="8" name="Created using">
    <vt:lpwstr>LW 7.0, Build 20190717</vt:lpwstr>
  </property>
</Properties>
</file>