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59735AF4-9495-415D-8B5A-0F52813768EA" style="width:450.45pt;height:36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pStyle w:val="Text1"/>
        <w:ind w:left="0"/>
        <w:rPr>
          <w:noProof/>
        </w:rPr>
      </w:pPr>
      <w:r>
        <w:rPr>
          <w:noProof/>
        </w:rPr>
        <w:t>Предмет на настоящото предложение е решението за установяване на позицията, която трябва да се заеме от името на Европейския съюз в Комитета за държавен пристанищен контрол на Парижкия меморандум за разбирателство за държавния пристанищен контрол, във връзка с предвиденото приемане на решения, необходими за правилното функциониране на предвидения в Директива 2009/16/ЕО</w:t>
      </w:r>
      <w:r>
        <w:rPr>
          <w:rStyle w:val="FootnoteReference"/>
          <w:noProof/>
        </w:rPr>
        <w:footnoteReference w:id="1"/>
      </w:r>
      <w:r>
        <w:rPr>
          <w:noProof/>
        </w:rPr>
        <w:t xml:space="preserve"> режим на ЕС за държавен пристанищен контрол (ДПК).</w:t>
      </w:r>
    </w:p>
    <w:p>
      <w:pPr>
        <w:pStyle w:val="ManualHeading1"/>
        <w:rPr>
          <w:noProof/>
        </w:rPr>
      </w:pPr>
      <w:r>
        <w:rPr>
          <w:noProof/>
        </w:rPr>
        <w:t>2.</w:t>
      </w:r>
      <w:r>
        <w:rPr>
          <w:noProof/>
        </w:rPr>
        <w:tab/>
        <w:t xml:space="preserve"> Контекст на предложението</w:t>
      </w:r>
    </w:p>
    <w:p>
      <w:pPr>
        <w:pStyle w:val="Text1"/>
        <w:ind w:left="0"/>
        <w:rPr>
          <w:noProof/>
        </w:rPr>
      </w:pPr>
      <w:r>
        <w:rPr>
          <w:b/>
          <w:bCs/>
          <w:noProof/>
          <w:sz w:val="23"/>
          <w:szCs w:val="23"/>
        </w:rPr>
        <w:t>2.1. Парижкият меморандум за разбирателство („Парижкият МР“) за държавния пристанищен контрол</w:t>
      </w:r>
    </w:p>
    <w:p>
      <w:pPr>
        <w:spacing w:before="100" w:beforeAutospacing="1" w:after="100" w:afterAutospacing="1"/>
        <w:rPr>
          <w:rFonts w:eastAsia="Times New Roman"/>
          <w:noProof/>
        </w:rPr>
      </w:pPr>
      <w:r>
        <w:rPr>
          <w:noProof/>
        </w:rPr>
        <w:t xml:space="preserve">Парижкият меморандум за разбирателство („Парижкият МР“) предвижда международен режим за инспекции на чуждестранни кораби в други национални пристанища от служители на ДПК, с цел да се удостовери, че компетентността на капитана, офицерите и екипажа на борда, състоянието на кораба и неговото оборудване отговарят на изискванията на международните конвенции, както и че плавателният съд се обслужва и оперира в съответствие с приложимото международно право. Парижкият МР бе подписан на 26 януари 1982 г. </w:t>
      </w:r>
    </w:p>
    <w:p>
      <w:pPr>
        <w:spacing w:before="100" w:beforeAutospacing="1" w:after="100" w:afterAutospacing="1"/>
        <w:rPr>
          <w:rFonts w:eastAsia="Times New Roman"/>
          <w:noProof/>
        </w:rPr>
      </w:pPr>
      <w:r>
        <w:rPr>
          <w:noProof/>
        </w:rPr>
        <w:t>В Директива 2009/16/ЕО (с измененията) са включени процедурите и инструментите на Парижкия МР. В Парижкия МР членуват всички държави членки на ЕС с морски пристанища</w:t>
      </w:r>
      <w:r>
        <w:rPr>
          <w:rStyle w:val="FootnoteReference"/>
          <w:noProof/>
        </w:rPr>
        <w:footnoteReference w:id="2"/>
      </w:r>
      <w:r>
        <w:rPr>
          <w:noProof/>
        </w:rPr>
        <w:t>, а също така Канада, Русия, Исландия и Норвегия.  Европейският съюз не е член на Парижкия МР.</w:t>
      </w:r>
    </w:p>
    <w:p>
      <w:pPr>
        <w:spacing w:before="100" w:beforeAutospacing="1" w:after="100" w:afterAutospacing="1"/>
        <w:rPr>
          <w:rFonts w:eastAsia="Times New Roman"/>
          <w:noProof/>
        </w:rPr>
      </w:pPr>
      <w:r>
        <w:rPr>
          <w:b/>
          <w:bCs/>
          <w:noProof/>
          <w:sz w:val="23"/>
          <w:szCs w:val="23"/>
        </w:rPr>
        <w:t>2.2. Предвиденият акт на Комитета за държавен пристанищен контрол на Парижкия МР</w:t>
      </w:r>
    </w:p>
    <w:p>
      <w:pPr>
        <w:spacing w:before="100" w:beforeAutospacing="1" w:after="100" w:afterAutospacing="1"/>
        <w:rPr>
          <w:rFonts w:eastAsia="Times New Roman"/>
          <w:noProof/>
        </w:rPr>
      </w:pPr>
      <w:r>
        <w:rPr>
          <w:noProof/>
        </w:rPr>
        <w:t>За функционирането на ДПК в Съюза е необходимо всяка година в Парижкия МР да бъдат взимани определен брой решения. Тези решения се взимат с консенсус на заседанията на Комитета за държавен пристанищен контрол (КДПК), които се провеждат ежегодно през май. По силата на Директива 2009/16/ЕО решенията, взети от съответния компетентен орган на Парижкия МР, са задължителни за държавите членки на ЕС.</w:t>
      </w:r>
    </w:p>
    <w:p>
      <w:pPr>
        <w:spacing w:before="100" w:beforeAutospacing="1" w:after="100" w:afterAutospacing="1"/>
        <w:rPr>
          <w:rFonts w:eastAsia="Times New Roman"/>
          <w:noProof/>
        </w:rPr>
      </w:pPr>
      <w:r>
        <w:rPr>
          <w:b/>
          <w:bCs/>
          <w:noProof/>
          <w:sz w:val="23"/>
          <w:szCs w:val="23"/>
        </w:rPr>
        <w:t xml:space="preserve">3. </w:t>
      </w:r>
      <w:r>
        <w:rPr>
          <w:b/>
          <w:bCs/>
          <w:noProof/>
          <w:sz w:val="19"/>
          <w:szCs w:val="19"/>
        </w:rPr>
        <w:t>ПОЗИЦИЯ, КОЯТО ТРЯБВА ДА СЕ ЗАЕМЕ ОТ ИМЕТО НА СЪЮЗА</w:t>
      </w:r>
    </w:p>
    <w:p>
      <w:pPr>
        <w:spacing w:before="100" w:beforeAutospacing="1" w:after="100" w:afterAutospacing="1"/>
        <w:rPr>
          <w:rFonts w:eastAsia="Times New Roman"/>
          <w:noProof/>
        </w:rPr>
      </w:pPr>
      <w:r>
        <w:rPr>
          <w:noProof/>
        </w:rPr>
        <w:lastRenderedPageBreak/>
        <w:t>По силата на член 218, параграф 9 от Договора за функционирането на Европейския съюз позицията, която трябва да се заеме от името на Съюза в международни организации като Парижкия МР, когато те имат за задача да приемат актове с правно действие, се приема с решение на Съвета, по предложение на Комисията.</w:t>
      </w:r>
    </w:p>
    <w:p>
      <w:pPr>
        <w:spacing w:before="100" w:beforeAutospacing="1" w:after="100" w:afterAutospacing="1"/>
        <w:rPr>
          <w:rFonts w:eastAsia="Times New Roman"/>
          <w:noProof/>
        </w:rPr>
      </w:pPr>
      <w:r>
        <w:rPr>
          <w:noProof/>
        </w:rPr>
        <w:t>През 2016 г. с Решение (ЕС) 2016/381 на Съвета</w:t>
      </w:r>
      <w:r>
        <w:rPr>
          <w:rStyle w:val="FootnoteReference"/>
          <w:noProof/>
        </w:rPr>
        <w:footnoteReference w:id="3"/>
      </w:r>
      <w:r>
        <w:rPr>
          <w:noProof/>
        </w:rPr>
        <w:t xml:space="preserve"> бе определена позицията, която трябва да се заема от името на Европейския съюз в КДПК за периода 2016—2019 г. При изготвянето на решението на Съвета бе следван двустепенен подход. В самото решение бяха определени ръководните принципи и насоки във връзка с позицията на Съюза за многогодишния период. От своя страна, с неофициални документи на Комисията, предназначени за обсъждане в работната група „Морски транспорт“ на Съвета, тази позиция бе уточнявана при всяко годишно заседание на КДПК. Целта на настоящото предложение е да се определи позицията на Съюза в КДПК за периода 2020—2024 г.  </w:t>
      </w:r>
    </w:p>
    <w:p>
      <w:pPr>
        <w:spacing w:before="100" w:beforeAutospacing="1" w:after="100" w:afterAutospacing="1"/>
        <w:rPr>
          <w:rFonts w:eastAsia="Times New Roman"/>
          <w:noProof/>
        </w:rPr>
      </w:pPr>
      <w:r>
        <w:rPr>
          <w:noProof/>
        </w:rPr>
        <w:t xml:space="preserve">Предвиденият в настоящото предложение подход е съобразен със спецификата на процеса на взимане на решения в Парижкия МР. Съгласно вътрешните правила на Парижкия МР, крайният срок за представяне на документи от членовете му и от работните групи, натоварени с разработването на насоки и указания, е шест седмици преди заседанието на КДПК. Едва след изтичането му всички изявления са налице, което позволява на Комисията да започне анализа си, за да изготви предложение за координирана позиция на Съюза по член 218, параграф 9 от ДФЕС, която след това да бъде приета от Съвета. Предвид краткия срок за анализа, изготвянето на позицията на Комисията и приемането ѝ от Съвета, в приложение 2 е определена процедурата за ежегодното уточняване на позицията на Съюза. </w:t>
      </w:r>
    </w:p>
    <w:p>
      <w:pPr>
        <w:pStyle w:val="ManualHeading1"/>
        <w:rPr>
          <w:noProof/>
        </w:rPr>
      </w:pPr>
      <w:r>
        <w:rPr>
          <w:noProof/>
        </w:rPr>
        <w:t xml:space="preserve">4. </w:t>
      </w:r>
      <w:r>
        <w:rPr>
          <w:noProof/>
        </w:rPr>
        <w:tab/>
        <w:t>Правно основание</w:t>
      </w:r>
    </w:p>
    <w:p>
      <w:pPr>
        <w:pStyle w:val="Default"/>
        <w:rPr>
          <w:b/>
          <w:bCs/>
          <w:noProof/>
          <w:sz w:val="23"/>
          <w:szCs w:val="23"/>
        </w:rPr>
      </w:pPr>
      <w:r>
        <w:rPr>
          <w:b/>
          <w:bCs/>
          <w:noProof/>
          <w:sz w:val="23"/>
          <w:szCs w:val="23"/>
        </w:rPr>
        <w:t xml:space="preserve">4.1. Процесуалноправно основание </w:t>
      </w:r>
    </w:p>
    <w:p>
      <w:pPr>
        <w:pStyle w:val="Default"/>
        <w:rPr>
          <w:noProof/>
          <w:sz w:val="23"/>
          <w:szCs w:val="23"/>
        </w:rPr>
      </w:pPr>
    </w:p>
    <w:p>
      <w:pPr>
        <w:pStyle w:val="Default"/>
        <w:rPr>
          <w:i/>
          <w:iCs/>
          <w:noProof/>
          <w:sz w:val="23"/>
          <w:szCs w:val="23"/>
        </w:rPr>
      </w:pPr>
      <w:r>
        <w:rPr>
          <w:i/>
          <w:iCs/>
          <w:noProof/>
          <w:sz w:val="23"/>
          <w:szCs w:val="23"/>
        </w:rPr>
        <w:t xml:space="preserve">4.1.1. Принципи </w:t>
      </w:r>
    </w:p>
    <w:p>
      <w:pPr>
        <w:spacing w:before="100" w:beforeAutospacing="1" w:after="100" w:afterAutospacing="1"/>
        <w:rPr>
          <w:noProof/>
          <w:szCs w:val="24"/>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 </w:t>
      </w:r>
    </w:p>
    <w:p>
      <w:pPr>
        <w:spacing w:before="100" w:beforeAutospacing="1" w:after="100" w:afterAutospacing="1"/>
        <w:rPr>
          <w:noProof/>
          <w:sz w:val="23"/>
          <w:szCs w:val="23"/>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szCs w:val="23"/>
        </w:rPr>
        <w:footnoteReference w:id="4"/>
      </w:r>
      <w:r>
        <w:rPr>
          <w:noProof/>
          <w:sz w:val="23"/>
          <w:szCs w:val="23"/>
        </w:rPr>
        <w:t xml:space="preserve">. </w:t>
      </w:r>
    </w:p>
    <w:p>
      <w:pPr>
        <w:spacing w:before="100" w:beforeAutospacing="1" w:after="100" w:afterAutospacing="1"/>
        <w:rPr>
          <w:noProof/>
          <w:sz w:val="23"/>
          <w:szCs w:val="23"/>
        </w:rPr>
      </w:pPr>
      <w:r>
        <w:rPr>
          <w:noProof/>
        </w:rPr>
        <w:t xml:space="preserve">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инструментите, които нямат задължителен характер съгласно международното право, </w:t>
      </w:r>
      <w:r>
        <w:rPr>
          <w:noProof/>
        </w:rPr>
        <w:lastRenderedPageBreak/>
        <w:t>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szCs w:val="23"/>
        </w:rPr>
        <w:footnoteReference w:id="5"/>
      </w:r>
      <w:r>
        <w:rPr>
          <w:noProof/>
          <w:sz w:val="23"/>
          <w:szCs w:val="23"/>
        </w:rPr>
        <w:t xml:space="preserve">. </w:t>
      </w:r>
    </w:p>
    <w:p>
      <w:pPr>
        <w:pStyle w:val="Default"/>
        <w:rPr>
          <w:noProof/>
        </w:rPr>
      </w:pPr>
      <w:r>
        <w:rPr>
          <w:i/>
          <w:iCs/>
          <w:noProof/>
        </w:rPr>
        <w:t xml:space="preserve">4.1.2. Прилагане в конкретния случай </w:t>
      </w:r>
    </w:p>
    <w:p>
      <w:pPr>
        <w:spacing w:before="100" w:beforeAutospacing="1" w:after="100" w:afterAutospacing="1"/>
        <w:rPr>
          <w:rFonts w:eastAsia="Times New Roman"/>
          <w:noProof/>
          <w:szCs w:val="24"/>
        </w:rPr>
      </w:pPr>
      <w:r>
        <w:rPr>
          <w:noProof/>
        </w:rPr>
        <w:t>Парижкият МР е орган, създаден със споразумение.</w:t>
      </w:r>
    </w:p>
    <w:p>
      <w:pPr>
        <w:pStyle w:val="Default"/>
        <w:jc w:val="both"/>
        <w:rPr>
          <w:noProof/>
        </w:rPr>
      </w:pPr>
      <w:r>
        <w:rPr>
          <w:noProof/>
        </w:rPr>
        <w:t xml:space="preserve">Актът, който Парижкият МР има за задача да приеме, представлява акт с правно действие. Предвиденият акт може да окаже съществено въздействие върху съдържанието на законодателството на ЕС, а именно Директива 2009/16/ЕО относно държавния пристанищен контрол, тъй като Комитетът за държавен пристанищен контрол на Парижкия МР приема редица решения, които трябва да се взимат всяка година с оглед на правилното функциониране на директивата. </w:t>
      </w:r>
    </w:p>
    <w:p>
      <w:pPr>
        <w:pStyle w:val="Default"/>
        <w:rPr>
          <w:noProof/>
          <w:sz w:val="23"/>
          <w:szCs w:val="23"/>
        </w:rPr>
      </w:pPr>
    </w:p>
    <w:p>
      <w:pPr>
        <w:pStyle w:val="Default"/>
        <w:jc w:val="both"/>
        <w:rPr>
          <w:noProof/>
        </w:rPr>
      </w:pPr>
      <w:r>
        <w:rPr>
          <w:noProof/>
        </w:rPr>
        <w:t>Предвиденият акт не допълва, нито изменя институционалната рамка на споразумението. Поради това процесуалноправното основание за предложеното решение е член 218, параграф 9 от ДФЕС.</w:t>
      </w:r>
    </w:p>
    <w:p>
      <w:pPr>
        <w:pStyle w:val="Default"/>
        <w:jc w:val="both"/>
        <w:rPr>
          <w:rFonts w:eastAsia="Times New Roman"/>
          <w:noProof/>
        </w:rPr>
      </w:pPr>
    </w:p>
    <w:p>
      <w:pPr>
        <w:pStyle w:val="Default"/>
        <w:rPr>
          <w:b/>
          <w:bCs/>
          <w:noProof/>
        </w:rPr>
      </w:pPr>
      <w:r>
        <w:rPr>
          <w:b/>
          <w:bCs/>
          <w:noProof/>
        </w:rPr>
        <w:t xml:space="preserve">4.2. Материалноправно основание </w:t>
      </w:r>
    </w:p>
    <w:p>
      <w:pPr>
        <w:pStyle w:val="Default"/>
        <w:rPr>
          <w:noProof/>
        </w:rPr>
      </w:pPr>
    </w:p>
    <w:p>
      <w:pPr>
        <w:pStyle w:val="Default"/>
        <w:rPr>
          <w:i/>
          <w:iCs/>
          <w:noProof/>
        </w:rPr>
      </w:pPr>
      <w:r>
        <w:rPr>
          <w:i/>
          <w:iCs/>
          <w:noProof/>
        </w:rPr>
        <w:t xml:space="preserve">4.2.1. Принципи </w:t>
      </w:r>
    </w:p>
    <w:p>
      <w:pPr>
        <w:pStyle w:val="Default"/>
        <w:rPr>
          <w:noProof/>
        </w:rPr>
      </w:pPr>
    </w:p>
    <w:p>
      <w:pPr>
        <w:pStyle w:val="Default"/>
        <w:jc w:val="both"/>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по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 </w:t>
      </w:r>
    </w:p>
    <w:p>
      <w:pPr>
        <w:pStyle w:val="Default"/>
        <w:rPr>
          <w:noProof/>
        </w:rPr>
      </w:pPr>
    </w:p>
    <w:p>
      <w:pPr>
        <w:pStyle w:val="Default"/>
        <w:rPr>
          <w:noProof/>
        </w:rPr>
      </w:pPr>
      <w:r>
        <w:rPr>
          <w:i/>
          <w:iCs/>
          <w:noProof/>
        </w:rPr>
        <w:t xml:space="preserve">4.2.2. Прилагане в конкретния случай </w:t>
      </w:r>
    </w:p>
    <w:p>
      <w:pPr>
        <w:pStyle w:val="Default"/>
        <w:rPr>
          <w:noProof/>
        </w:rPr>
      </w:pPr>
    </w:p>
    <w:p>
      <w:pPr>
        <w:pStyle w:val="Default"/>
        <w:rPr>
          <w:noProof/>
        </w:rPr>
      </w:pPr>
      <w:r>
        <w:rPr>
          <w:noProof/>
        </w:rPr>
        <w:t xml:space="preserve">Основната цел и съдържанието на предвидения акт са свързани с транспорта. Поради това материалноправното основание за предложеното решение е член 100, параграф 2. </w:t>
      </w:r>
    </w:p>
    <w:p>
      <w:pPr>
        <w:pStyle w:val="Default"/>
        <w:rPr>
          <w:b/>
          <w:bCs/>
          <w:noProof/>
        </w:rPr>
      </w:pPr>
    </w:p>
    <w:p>
      <w:pPr>
        <w:pStyle w:val="Default"/>
        <w:rPr>
          <w:b/>
          <w:bCs/>
          <w:noProof/>
        </w:rPr>
      </w:pPr>
      <w:r>
        <w:rPr>
          <w:b/>
          <w:bCs/>
          <w:noProof/>
        </w:rPr>
        <w:t xml:space="preserve">4.3. Заключение </w:t>
      </w:r>
    </w:p>
    <w:p>
      <w:pPr>
        <w:pStyle w:val="Default"/>
        <w:rPr>
          <w:noProof/>
        </w:rPr>
      </w:pPr>
    </w:p>
    <w:p>
      <w:pPr>
        <w:pStyle w:val="Default"/>
        <w:rPr>
          <w:noProof/>
        </w:rPr>
      </w:pPr>
      <w:r>
        <w:rPr>
          <w:noProof/>
        </w:rPr>
        <w:t xml:space="preserve">Правното основание на предложеното решение следва да бъде член 100, параграф 2 във връзка с член 218, параграф 9 от ДФЕС. </w:t>
      </w:r>
    </w:p>
    <w:p>
      <w:pPr>
        <w:pStyle w:val="Default"/>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позицията, която трябва да се заеме от името на Съюза в Комитета за държавен пристанищен контрол на Парижкия меморандум за разбирателство за държавния пристанищен контрол</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26 януари 1982 г. в Париж бе подписан Меморандумът за разбирателство за държавния пристанищен контрол („Парижки МР“), който влезе в сила на 1 юли 1982 г.</w:t>
      </w:r>
      <w:r>
        <w:t xml:space="preserve"> </w:t>
      </w:r>
      <w:r>
        <w:rPr>
          <w:noProof/>
        </w:rPr>
        <w:t>Съгласно раздел 8.1 от Парижкия МР всеки морски орган може да предлага изменения в него. Съгласно раздел 7.1 от Парижкия МР Комитетът за държавен пристанищен контрол (КДПК) е съставен от по един представител на всеки от морските органи и на Комисията; неговите правомощия са посочени в раздел 7.3.  Целесъобразно е да се определи позицията, която трябва да се заеме от името на Съюза в КДПК, тъй като решенията, които компетентният орган на Парижкия МР взима, са от значение за правото на Съюза и по-специално за Директива 2009/16/ЕО на Европейския парламент и на Съвета</w:t>
      </w:r>
      <w:r>
        <w:rPr>
          <w:rStyle w:val="FootnoteReference"/>
          <w:noProof/>
        </w:rPr>
        <w:footnoteReference w:id="6"/>
      </w:r>
      <w:r>
        <w:rPr>
          <w:noProof/>
        </w:rPr>
        <w:t>.</w:t>
      </w:r>
      <w:r>
        <w:t xml:space="preserve"> </w:t>
      </w:r>
    </w:p>
    <w:p>
      <w:pPr>
        <w:pStyle w:val="ManualConsidrant"/>
        <w:rPr>
          <w:noProof/>
        </w:rPr>
      </w:pPr>
      <w:r>
        <w:t>(2)</w:t>
      </w:r>
      <w:r>
        <w:tab/>
      </w:r>
      <w:r>
        <w:rPr>
          <w:noProof/>
        </w:rPr>
        <w:t>С Директива 2009/16/ЕО се урежда режимът на ЕС за държавен пристанищен контрол и се преработва и засилва действащото от 1995 г. законодателство на Съюза в тази област. Правният режим на Съюза се основава на вече съществуващата структура на Парижкия меморандум за разбирателство за държавния пристанищен контрол, която представлява международна организация, създадена през 1982 г. Що се отнася до държавите членки, с Директива 2009/16/ЕО процедурите, инструментите и дейностите на Парижкия МР фактически влязоха в обхвата на правото на Съюза.</w:t>
      </w:r>
    </w:p>
    <w:p>
      <w:pPr>
        <w:pStyle w:val="ManualConsidrant"/>
        <w:rPr>
          <w:noProof/>
        </w:rPr>
      </w:pPr>
      <w:r>
        <w:t>(3)</w:t>
      </w:r>
      <w:r>
        <w:tab/>
      </w:r>
      <w:r>
        <w:rPr>
          <w:noProof/>
        </w:rPr>
        <w:t xml:space="preserve">КДПК на Парижкия МР заседава ежегодно, като на заседанията си взима решения по редица точки от дневния ред, необходими за функционирането на Директива 2009/16/ЕО. </w:t>
      </w:r>
    </w:p>
    <w:p>
      <w:pPr>
        <w:pStyle w:val="ManualConsidrant"/>
        <w:rPr>
          <w:noProof/>
        </w:rPr>
      </w:pPr>
      <w:r>
        <w:t>(4)</w:t>
      </w:r>
      <w:r>
        <w:tab/>
      </w:r>
      <w:r>
        <w:rPr>
          <w:noProof/>
        </w:rPr>
        <w:t xml:space="preserve">Съгласно вътрешните правила на Парижкия МР, крайният срок за представяне на документи от членовете му и от работните групи, натоварени с разработването на насоки и указания, е шест седмици преди заседанието на КДПК. Едва след изтичането му всички изявления са налице, което позволява на Комисията да започне анализа си, за да изготви предложение за координирана позиция на Съюза по член 218, параграф 9 от ДФЕС. Предвид краткия срок за извършването на анализа и приемането на предложението е необходимо да </w:t>
      </w:r>
      <w:r>
        <w:rPr>
          <w:noProof/>
        </w:rPr>
        <w:lastRenderedPageBreak/>
        <w:t xml:space="preserve">бъдат определени ръководните принципи и насоки във връзка с позицията на Съюза за многогодишния период, както и рамката за ежегодното уточняване на позицията на Съюза. </w:t>
      </w:r>
    </w:p>
    <w:p>
      <w:pPr>
        <w:pStyle w:val="ManualConsidrant"/>
        <w:rPr>
          <w:noProof/>
        </w:rPr>
      </w:pPr>
      <w:r>
        <w:t>(5)</w:t>
      </w:r>
      <w:r>
        <w:tab/>
      </w:r>
      <w:r>
        <w:rPr>
          <w:noProof/>
        </w:rPr>
        <w:t>Настоящото решение следва да обхване периода 2020—2024 г.</w:t>
      </w:r>
    </w:p>
    <w:p>
      <w:pPr>
        <w:pStyle w:val="ManualConsidrant"/>
        <w:rPr>
          <w:noProof/>
        </w:rPr>
      </w:pPr>
      <w:r>
        <w:t>(6)</w:t>
      </w:r>
      <w:r>
        <w:tab/>
      </w:r>
      <w:r>
        <w:rPr>
          <w:noProof/>
        </w:rPr>
        <w:t>Позицията на Съюза се изразява съвместно от държавите членки на Съюза, чиито морски органи са членове на КДПК на Парижкия МР</w:t>
      </w:r>
      <w:r>
        <w:t>.</w:t>
      </w:r>
    </w:p>
    <w:p>
      <w:pPr>
        <w:pStyle w:val="Formuledadoption"/>
        <w:rPr>
          <w:noProof/>
        </w:rPr>
      </w:pPr>
      <w:r>
        <w:rPr>
          <w:noProof/>
        </w:rPr>
        <w:t xml:space="preserve">ПРИЕ НАСТОЯЩОТО РЕШЕНИЕ: </w:t>
      </w:r>
    </w:p>
    <w:p>
      <w:pPr>
        <w:pStyle w:val="Titrearticle"/>
        <w:rPr>
          <w:noProof/>
        </w:rPr>
      </w:pPr>
      <w:r>
        <w:rPr>
          <w:noProof/>
        </w:rPr>
        <w:t>Член 1</w:t>
      </w:r>
    </w:p>
    <w:p>
      <w:pPr>
        <w:widowControl w:val="0"/>
        <w:spacing w:before="0" w:after="0"/>
        <w:rPr>
          <w:rFonts w:eastAsia="Times New Roman"/>
          <w:noProof/>
        </w:rPr>
      </w:pPr>
      <w:r>
        <w:rPr>
          <w:noProof/>
        </w:rPr>
        <w:t>Позицията, която трябва да се заеме от името на Съюза на годишното заседание на Комитета за държавен пристанищен контрол (КДПК) на Парижкия меморандум за разбирателство за държавния пристанищен контрол („Парижкия МР“), е посочена в приложение I към настоящото решение.</w:t>
      </w:r>
    </w:p>
    <w:p>
      <w:pPr>
        <w:pStyle w:val="Titrearticle"/>
        <w:keepNext w:val="0"/>
        <w:rPr>
          <w:noProof/>
        </w:rPr>
      </w:pPr>
      <w:r>
        <w:rPr>
          <w:noProof/>
        </w:rPr>
        <w:t xml:space="preserve">Член 2 </w:t>
      </w:r>
    </w:p>
    <w:p>
      <w:pPr>
        <w:widowControl w:val="0"/>
        <w:spacing w:before="0" w:after="0"/>
        <w:rPr>
          <w:rFonts w:eastAsia="Times New Roman"/>
          <w:noProof/>
        </w:rPr>
      </w:pPr>
      <w:r>
        <w:rPr>
          <w:noProof/>
        </w:rPr>
        <w:t>Ежегодното уточняване на позицията, която трябва да се заеме от името на Съюза на годишните заседания на КДПК на Парижкия МР, е посочено в приложение II към настоящото решение.</w:t>
      </w:r>
    </w:p>
    <w:p>
      <w:pPr>
        <w:pStyle w:val="Titrearticle"/>
        <w:rPr>
          <w:noProof/>
        </w:rPr>
      </w:pPr>
      <w:r>
        <w:rPr>
          <w:noProof/>
        </w:rPr>
        <w:t>Член 3</w:t>
      </w:r>
    </w:p>
    <w:p>
      <w:pPr>
        <w:widowControl w:val="0"/>
        <w:spacing w:before="0" w:after="0"/>
        <w:rPr>
          <w:rFonts w:eastAsia="Times New Roman"/>
          <w:noProof/>
        </w:rPr>
      </w:pPr>
      <w:r>
        <w:rPr>
          <w:noProof/>
        </w:rPr>
        <w:t>Най-късно за годишното заседание на КДПК на Парижкия МР през 2024 г. посочената в приложение I позиция на Съюза се оценява и при необходимост се преразглежда от Съвета по предложение на Комисията.</w:t>
      </w:r>
    </w:p>
    <w:p>
      <w:pPr>
        <w:pStyle w:val="Titrearticle"/>
        <w:rPr>
          <w:noProof/>
        </w:rPr>
      </w:pPr>
      <w:r>
        <w:rPr>
          <w:noProof/>
        </w:rPr>
        <w:t>Член 4</w:t>
      </w:r>
    </w:p>
    <w:p>
      <w:pPr>
        <w:rPr>
          <w:noProof/>
        </w:rPr>
      </w:pPr>
      <w:r>
        <w:rPr>
          <w:noProof/>
        </w:rPr>
        <w:t>Позицията по член 1 се изразява съвместно от държавите членки на Съюза, които са членове на КДПК на Парижкия МР.</w:t>
      </w:r>
    </w:p>
    <w:p>
      <w:pPr>
        <w:pStyle w:val="Titrearticle"/>
        <w:rPr>
          <w:noProof/>
        </w:rPr>
      </w:pPr>
      <w:r>
        <w:rPr>
          <w:noProof/>
        </w:rPr>
        <w:t xml:space="preserve">Член 5 </w:t>
      </w:r>
    </w:p>
    <w:p>
      <w:pPr>
        <w:keepLines/>
        <w:rPr>
          <w:noProof/>
        </w:rPr>
      </w:pPr>
      <w:r>
        <w:rPr>
          <w:noProof/>
        </w:rPr>
        <w:t>Адресати на настоящото решение са държавите членки.</w:t>
      </w:r>
    </w:p>
    <w:p>
      <w:pPr>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rFonts w:eastAsia="Calibri"/>
          <w:noProof/>
        </w:rPr>
      </w:pPr>
      <w:r>
        <w:rPr>
          <w:noProof/>
        </w:rPr>
        <w:tab/>
        <w:t>Председател</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2009/16/ЕО на Европейския парламент и на Съвета от 23 април 2009 г. относно държавния пристанищен контрол (ОВ L 131, 28.5.2009 г., стр. 57).</w:t>
      </w:r>
    </w:p>
  </w:footnote>
  <w:footnote w:id="2">
    <w:p>
      <w:pPr>
        <w:pStyle w:val="FootnoteText"/>
      </w:pPr>
      <w:r>
        <w:rPr>
          <w:rStyle w:val="FootnoteReference"/>
        </w:rPr>
        <w:footnoteRef/>
      </w:r>
      <w:r>
        <w:tab/>
        <w:t>На 26 януари 1982 г. към меморандума се присъединиха Белгия, Дания, Финландия, Франция, Германия, Гърция, Ирландия, Италия, Нидерландия, Португалия, Испания и Обединеното кралство. България се присъедини към меморандума на 10 май 2007 г. Хърватия се присъедини към меморандума на 8 ноември 1996 г. Кипър се присъедини към меморандума на 12 май 2006 г. Естония и Латвия се присъединиха към меморандума на 12 май 2005 г. Литва се присъедини към меморандума на 12 май 2006 г. Малта се присъедини към меморандума на 12 май 2006 г. Полша се присъедини към меморандума на 27 ноември 1991 г. Румъния се присъедини към меморандума на 10 май 2007 г. Словения се присъедини към меморандума на 15 май 2003 г.</w:t>
      </w:r>
    </w:p>
  </w:footnote>
  <w:footnote w:id="3">
    <w:p>
      <w:pPr>
        <w:pStyle w:val="FootnoteText"/>
      </w:pPr>
      <w:r>
        <w:rPr>
          <w:rStyle w:val="FootnoteReference"/>
        </w:rPr>
        <w:footnoteRef/>
      </w:r>
      <w:r>
        <w:tab/>
        <w:t>Решение (ЕС) 2016/381 на Съвета от 14 март 2016 г. за позицията, която да трябва да се заеме от името на Европейския съюз в рамките на Комитета за държавен пристанищен контрол на Парижкия меморандум за разбирателство за държавния пристанищен контрол (ОВ L 72, 17.3.2016 г., стр. 53).</w:t>
      </w:r>
    </w:p>
  </w:footnote>
  <w:footnote w:id="4">
    <w:p>
      <w:pPr>
        <w:pStyle w:val="FootnoteText"/>
      </w:pPr>
      <w:r>
        <w:rPr>
          <w:rStyle w:val="FootnoteReference"/>
        </w:rPr>
        <w:footnoteRef/>
      </w:r>
      <w:r>
        <w:tab/>
        <w:t>Решение на Съда от 7 октомври 2014 г., Германия/Съвет, C-399/12, ECLI:EU:C:2014:2258, т. 64.</w:t>
      </w:r>
    </w:p>
  </w:footnote>
  <w:footnote w:id="5">
    <w:p>
      <w:pPr>
        <w:pStyle w:val="FootnoteText"/>
      </w:pPr>
      <w:r>
        <w:rPr>
          <w:rStyle w:val="FootnoteReference"/>
        </w:rPr>
        <w:footnoteRef/>
      </w:r>
      <w:r>
        <w:tab/>
        <w:t>Решение на Съда на Европейския съюз от 7 октомври 2014 г., Германия/Съвет, C-399/12, ECLI:EU:C:2014:2258, т. 61—64.</w:t>
      </w:r>
    </w:p>
  </w:footnote>
  <w:footnote w:id="6">
    <w:p>
      <w:pPr>
        <w:pStyle w:val="FootnoteText"/>
      </w:pPr>
      <w:r>
        <w:rPr>
          <w:rStyle w:val="FootnoteReference"/>
        </w:rPr>
        <w:footnoteRef/>
      </w:r>
      <w:r>
        <w:tab/>
        <w:t>Директива 2009/16/ЕО на Европейския парламент и на Съвета от 23 април 2009 г. относно държавния пристанищен контрол (ОВ L 131, 28.5.2009 г., стр.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CB0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4C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8C4F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6C7B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A2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2C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9FA3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DC88A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31 10:30: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22"/>
    <w:docVar w:name="DQCStatus" w:val="Green"/>
    <w:docVar w:name="DQCVersion" w:val="3"/>
    <w:docVar w:name="DQCWithWarnings" w:val="0"/>
    <w:docVar w:name="LW_CORRIGENDUM" w:val="&lt;UNUSED&gt;"/>
    <w:docVar w:name="LW_COVERPAGE_EXISTS" w:val="True"/>
    <w:docVar w:name="LW_COVERPAGE_GUID" w:val="59735AF4-9495-415D-8B5A-0F52813768EA"/>
    <w:docVar w:name="LW_COVERPAGE_TYPE" w:val="1"/>
    <w:docVar w:name="LW_CROSSREFERENCE" w:val="&lt;UNUSED&gt;"/>
    <w:docVar w:name="LW_DocType" w:val="COM"/>
    <w:docVar w:name="LW_EMISSION" w:val="31.3.2020"/>
    <w:docVar w:name="LW_EMISSION_ISODATE" w:val="2020-03-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6"/>
    <w:docVar w:name="LW_REF.II.NEW.CP_YEAR" w:val="2020"/>
    <w:docVar w:name="LW_REF.INST.NEW" w:val="COM"/>
    <w:docVar w:name="LW_REF.INST.NEW_ADOPTED" w:val="final"/>
    <w:docVar w:name="LW_REF.INST.NEW_TEXT" w:val="(2020)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9?\u1080?\u1094?\u1080?\u1103?\u1090?\u1072?, \u1082?\u1086?\u1103?\u1090?\u1086? \u1090?\u1088?\u1103?\u1073?\u1074?\u1072? \u1076?\u1072? \u1089?\u1077? \u1079?\u1072?\u1077?\u1084?\u1077? \u1086?\u1090? \u1080?\u1084?\u1077?\u1090?\u1086? \u1085?\u1072? \u1057?\u1098?\u1102?\u1079?\u1072? \u1074? \u1050?\u1086?\u1084?\u1080?\u1090?\u1077?\u1090?\u1072? \u1079?\u1072? \u1076?\u1098?\u1088?\u1078?\u1072?\u1074?\u1077?\u1085? \u1087?\u1088?\u1080?\u1089?\u1090?\u1072?\u1085?\u1080?\u1097?\u1077?\u1085? \u1082?\u1086?\u1085?\u1090?\u1088?\u1086?\u1083? \u1085?\u1072? \u1055?\u1072?\u1088?\u1080?\u1078?\u1082?\u1080?\u1103? \u1084?\u1077?\u1084?\u1086?\u1088?\u1072?\u1085?\u1076?\u1091?\u1084? \u1079?\u1072? \u1088?\u1072?\u1079?\u1073?\u1080?\u1088?\u1072?\u1090?\u1077?\u1083?\u1089?\u1090?\u1074?\u1086? \u1079?\u1072? \u1076?\u1098?\u1088?\u1078?\u1072?\u1074?\u1085?\u1080?\u1103? \u1087?\u1088?\u1080?\u1089?\u1090?\u1072?\u1085?\u1080?\u1097?\u1077?\u1085? \u1082?\u1086?\u1085?\u1090?\u1088?\u1086?\u108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1407-1DFC-4EC9-97BA-54F9EF37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1528</Words>
  <Characters>8440</Characters>
  <Application>Microsoft Office Word</Application>
  <DocSecurity>0</DocSecurity>
  <Lines>175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2020-02-20T14:22:00Z</cp:lastPrinted>
  <dcterms:created xsi:type="dcterms:W3CDTF">2020-03-05T12:35:00Z</dcterms:created>
  <dcterms:modified xsi:type="dcterms:W3CDTF">2020-03-31T08:30:00Z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