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2A7C6672-37C7-4719-BD01-8662465437AF" style="width:450.4pt;height:306.4pt">
            <v:imagedata r:id="rId9" o:title=""/>
          </v:shape>
        </w:pict>
      </w:r>
    </w:p>
    <w:bookmarkEnd w:id="0"/>
    <w:p>
      <w:pPr>
        <w:rPr>
          <w:noProof/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ListParagraph"/>
        <w:numPr>
          <w:ilvl w:val="0"/>
          <w:numId w:val="1"/>
        </w:numPr>
        <w:spacing w:after="240" w:line="274" w:lineRule="exact"/>
        <w:ind w:left="567" w:hanging="567"/>
        <w:jc w:val="both"/>
        <w:rPr>
          <w:rFonts w:ascii="Times New Roman" w:hAnsi="Times New Roman" w:cs="Times New Roman"/>
          <w:b/>
          <w:smallCaps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mallCaps/>
          <w:noProof/>
          <w:sz w:val="24"/>
          <w:szCs w:val="24"/>
        </w:rPr>
        <w:lastRenderedPageBreak/>
        <w:t xml:space="preserve">Въведение 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Европейският съюз (ЕС) е основан на твърд ангажимент за утвърждаване и защита на правата на човека, демокрацията и правовата държава. Този ангажимент стои в центъра на неговите дейности както във вътрешен план, така и в отношенията му с други държави и региони. В съответствие с приетата от Европейския съвет стратегическа програма за периода 2019—2024 г. и с политическите насоки на Европейската комисия за 2019—2024 г. ЕС има стратегически интерес да засилва ролята си на </w:t>
      </w:r>
      <w:r>
        <w:rPr>
          <w:rFonts w:ascii="Times New Roman" w:hAnsi="Times New Roman"/>
          <w:b/>
          <w:noProof/>
          <w:sz w:val="24"/>
          <w:szCs w:val="24"/>
        </w:rPr>
        <w:t>глобален лидер</w:t>
      </w:r>
      <w:r>
        <w:rPr>
          <w:rFonts w:ascii="Times New Roman" w:hAnsi="Times New Roman"/>
          <w:noProof/>
          <w:sz w:val="24"/>
          <w:szCs w:val="24"/>
        </w:rPr>
        <w:t xml:space="preserve"> в областта на правата на човека и демокрацията с цел да донесе осезаеми ползи за хората по света. Вече е направено много. След приемането на Стратегическата рамка на ЕС за правата на човека и демокрацията през 2012 г.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 xml:space="preserve"> и на първите два плана за действие на ЕС относно правата на човека и демокрацията (за периодите 2012—2014 г. и 2015—2019 г.)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>, назначаването на първия специален представител на ЕС за правата на човека (СПЕС) през 2012 г. и приемането на заключенията на Съвета от 2019 г. относно демокрацията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/>
          <w:noProof/>
          <w:sz w:val="24"/>
          <w:szCs w:val="24"/>
        </w:rPr>
        <w:t>, ЕС стана по-координиран, активен, видим и ефективен в ангажимента си в трети държави и взаимодействието с тях и също така се ангажира по-изявено на многостранно равнище.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контекста на променящия се геополитически пейзаж ЕС остана неотклонно твърд защитник на правата на човека и демокрацията. Новите геополитически съперничества само подчертават ролята му на надежден и стабилен партньор, както и на защитник на основания на правила многостранен ред. Като цяло глобалната картина по отношение на правата на човека и демокрацията е смесена: въпреки големите крачки напред са нужни действия по отношение на отхвърлянето на универсалността и неделимостта на правата на човека и отстъплението от демокрацията. От технологична гледна точка преминаваме към нова парадигма, при която човешките способности все повече биват подсилвани от машини. Новите технологии (по-специално изкуственият интелект) стоят на преден план, като разкриват както възможности, така и заплахи. Същевременно правата на човека са все по-тясно обвързани с глобалните предизвикателства в областта на околната среда, като например изменението на климата. Ето защо е настъпил моментът ЕС да изготви </w:t>
      </w:r>
      <w:r>
        <w:rPr>
          <w:rFonts w:ascii="Times New Roman" w:hAnsi="Times New Roman"/>
          <w:b/>
          <w:noProof/>
          <w:sz w:val="24"/>
          <w:szCs w:val="24"/>
        </w:rPr>
        <w:t>нова геополитическа програма за правата на човека и демокрацията.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Като се стъпи на Плана за действие на ЕС относно правата на човека и демокрацията за 2015—2019 г., е важно дългосрочният ангажимент на ЕС за утвърждаване на правата на човека и демокрацията да се въплъти в обновена оперативна програма. Целта на настоящото съобщение е да представи нов план за действие за правата на човека и демокрацията. В него се определят амбициите и приоритетите за следващите 5 години в тази област на външните отношения, като той ще допринесе за една </w:t>
      </w:r>
      <w:r>
        <w:rPr>
          <w:rFonts w:ascii="Times New Roman" w:hAnsi="Times New Roman"/>
          <w:b/>
          <w:noProof/>
          <w:sz w:val="24"/>
          <w:szCs w:val="24"/>
        </w:rPr>
        <w:t>по-силна Европа на световната сцена.</w:t>
      </w:r>
      <w:r>
        <w:rPr>
          <w:rFonts w:ascii="Times New Roman" w:hAnsi="Times New Roman"/>
          <w:noProof/>
          <w:sz w:val="24"/>
          <w:szCs w:val="24"/>
        </w:rPr>
        <w:t xml:space="preserve"> Планът за действие е уникален, тъй като е единственият по рода си инструмент, целящ утвърждаването на световната сцена на дневен ред, основан на ценности. 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>
        <w:trPr>
          <w:trHeight w:val="433"/>
        </w:trPr>
        <w:tc>
          <w:tcPr>
            <w:tcW w:w="9242" w:type="dxa"/>
          </w:tcPr>
          <w:p>
            <w:pPr>
              <w:spacing w:after="120" w:line="274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настоящото съвместно съобщение се предлага:</w:t>
            </w:r>
          </w:p>
        </w:tc>
      </w:tr>
      <w:tr>
        <w:tc>
          <w:tcPr>
            <w:tcW w:w="9242" w:type="dxa"/>
          </w:tcPr>
          <w:p>
            <w:pPr>
              <w:pStyle w:val="ListParagraph"/>
              <w:numPr>
                <w:ilvl w:val="0"/>
                <w:numId w:val="5"/>
              </w:numPr>
              <w:spacing w:after="120" w:line="274" w:lineRule="exact"/>
              <w:ind w:left="681" w:hanging="39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засилване на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водещата роля на ЕС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в утвърждаването и защитата на правата на човека и демокрацията по света;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120" w:line="274" w:lineRule="exact"/>
              <w:ind w:left="681" w:hanging="39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определяне на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амбициите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на ЕС, набелязване на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приоритетите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и поставяне на акцент върху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изпълнението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с оглед на променящата се геополитическа среда, цифровизацията, екологичните предизвикателства и изменението на климата;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120" w:line="274" w:lineRule="exact"/>
              <w:ind w:left="681" w:hanging="39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максимално засилване на ролята на ЕС на световната сцена чрез разширяване на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инструментариума в областта на правата на човека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както и на основните му инструменти и политики; и</w:t>
            </w:r>
          </w:p>
          <w:p>
            <w:pPr>
              <w:pStyle w:val="ListParagraph"/>
              <w:numPr>
                <w:ilvl w:val="0"/>
                <w:numId w:val="5"/>
              </w:numPr>
              <w:spacing w:after="120" w:line="274" w:lineRule="exact"/>
              <w:ind w:left="681" w:hanging="397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способстване за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единен и сплотен ЕС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чрез насърчаване за по-ефективни и съгласувани действия.</w:t>
            </w:r>
          </w:p>
        </w:tc>
      </w:tr>
    </w:tbl>
    <w:p>
      <w:pPr>
        <w:spacing w:before="240" w:after="240" w:line="274" w:lineRule="exact"/>
        <w:jc w:val="both"/>
        <w:rPr>
          <w:rFonts w:ascii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Успоредно с настоящото съобщение, в съответствие с член 22, параграф 2 от Договора за Европейския съюз (ДЕС) Комисията и върховният представител представят на Съвета съвместно предложение, съгласно което Съветът да отправи препоръка до Европейския съвет за вземане на решение за приемане на съобщението и плана за действие като решение на Европейския съвет относно стратегическите интереси и цели на Съюза по смисъла на член 22, параграф 1 от ДЕС. Това решение на Европейския съвет ще позволи на Съвета да приеме конкретни мерки за изпълнение на плана за действие съгласно член 31, параграф 2 от ДЕС.</w:t>
      </w:r>
    </w:p>
    <w:p>
      <w:pPr>
        <w:pStyle w:val="ListParagraph"/>
        <w:numPr>
          <w:ilvl w:val="0"/>
          <w:numId w:val="1"/>
        </w:numPr>
        <w:spacing w:after="240" w:line="274" w:lineRule="exact"/>
        <w:ind w:left="567" w:hanging="567"/>
        <w:jc w:val="both"/>
        <w:rPr>
          <w:rFonts w:ascii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  <w:sz w:val="24"/>
          <w:szCs w:val="24"/>
        </w:rPr>
        <w:t xml:space="preserve">Растящи предизвикателства пред правата на човека и демокрацията: призив за водеща роля на ЕС 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/>
          <w:noProof/>
          <w:spacing w:val="-2"/>
          <w:sz w:val="24"/>
          <w:szCs w:val="24"/>
        </w:rPr>
        <w:t xml:space="preserve">През последните години ЕС действа по-стратегически и използва по-ефективно своята политическа тежест и инструментариума за правата на човека, за да се бори с нарушенията на правата на човека и да насърчава демократичните, устойчиви и мирни общества. Чрез иновативен ангажимент и инвестиции в икономическите и социалните права, както и силна политическа и финансова подкрепа за защита и овластяване на защитниците на правата на човека, гражданското общество и работещите в медиите той допринесе за постигането на </w:t>
      </w:r>
      <w:r>
        <w:rPr>
          <w:rFonts w:ascii="Times New Roman" w:hAnsi="Times New Roman"/>
          <w:b/>
          <w:noProof/>
          <w:spacing w:val="-2"/>
          <w:sz w:val="24"/>
          <w:szCs w:val="24"/>
        </w:rPr>
        <w:t>значителен напредък</w:t>
      </w:r>
      <w:r>
        <w:rPr>
          <w:rFonts w:ascii="Times New Roman" w:hAnsi="Times New Roman"/>
          <w:noProof/>
          <w:spacing w:val="-2"/>
          <w:sz w:val="24"/>
          <w:szCs w:val="24"/>
        </w:rPr>
        <w:t xml:space="preserve"> в държави и региони, в които правата на човека бяха подложени на натиск. В рамките на посветените на правата на човека форуми на Организацията на обединените нации (ООН) ЕС играе водеща роля за прокарването на резолюции относно конкретни държави и на тематични инициативи чрез изграждането на актуални, междурегионални коалиции, например с Организацията за ислямско сътрудничество. Междурегионалната инициатива „Добри истории за правата на човека“ постави ЕС начело на усилията за възвръщане на положителното послание за правата на човека посредством популяризиране на успехите. </w:t>
      </w:r>
    </w:p>
    <w:p>
      <w:pPr>
        <w:spacing w:after="12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Продължават обаче да са налице широко разпространени предизвикателства. Правата на човека и демокрацията са подложени на силен натиск в много държави по света. Основни свободи, като свободата на словото или на събранията и свободата на медиите, също са застрашени във все по-голяма степен. Последиците от</w:t>
      </w:r>
      <w:r>
        <w:rPr>
          <w:rFonts w:ascii="Times New Roman" w:hAnsi="Times New Roman"/>
          <w:b/>
          <w:noProof/>
          <w:sz w:val="24"/>
          <w:szCs w:val="24"/>
        </w:rPr>
        <w:t xml:space="preserve"> системните усилия за подкопаване на правовата държава, ограничаване на гражданското и политическото пространство</w:t>
      </w:r>
      <w:r>
        <w:rPr>
          <w:rFonts w:ascii="Times New Roman" w:hAnsi="Times New Roman"/>
          <w:noProof/>
          <w:sz w:val="24"/>
          <w:szCs w:val="24"/>
        </w:rPr>
        <w:t xml:space="preserve"> и отслабване на </w:t>
      </w:r>
      <w:r>
        <w:rPr>
          <w:rFonts w:ascii="Times New Roman" w:hAnsi="Times New Roman"/>
          <w:b/>
          <w:noProof/>
          <w:sz w:val="24"/>
          <w:szCs w:val="24"/>
        </w:rPr>
        <w:t>многостранния ред, основан на правила</w:t>
      </w:r>
      <w:r>
        <w:rPr>
          <w:rFonts w:ascii="Times New Roman" w:hAnsi="Times New Roman"/>
          <w:noProof/>
          <w:sz w:val="24"/>
          <w:szCs w:val="24"/>
        </w:rPr>
        <w:t xml:space="preserve">, бяха изострени от оттеглянето на някои от традиционните партньори на ЕС от активното утвърждаване и защита на правата на човека и демократичните ценности. Това се илюстрира от няколко тенденции, сред които: 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свиващото се пространство за гражданското общество; 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отслабването на правовата държава; 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нарастващите заплахи по отношение на честността на изборите и демократичните процеси;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увеличаването на случаите на сплашване на журналисти и заплахи срещу независими медии; 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ръстът при насилието и сплашването на защитници на правата на човека (над 2600 докладвани нападения през последните 3 години);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ширещата се безнаказаност за нарушенията на правата на човека и атаките по отношение на ролята на Международния наказателен съд;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нарушенията на международното хуманитарно право при въоръжени конфликти, включително в Сирия, Йемен и Южен Судан;</w:t>
      </w:r>
    </w:p>
    <w:p>
      <w:pPr>
        <w:pStyle w:val="ListParagraph"/>
        <w:numPr>
          <w:ilvl w:val="0"/>
          <w:numId w:val="3"/>
        </w:numPr>
        <w:spacing w:after="12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нарастващата съпротива срещу правата на жените и равенството между половете; както и</w:t>
      </w:r>
    </w:p>
    <w:p>
      <w:pPr>
        <w:pStyle w:val="ListParagraph"/>
        <w:numPr>
          <w:ilvl w:val="0"/>
          <w:numId w:val="3"/>
        </w:numPr>
        <w:spacing w:after="240" w:line="274" w:lineRule="exact"/>
        <w:ind w:left="681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продължаващите злоупотреби в сферата на труда, включително детския труд.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Преходът към ерата на цифровите технологии</w:t>
      </w:r>
      <w:r>
        <w:rPr>
          <w:rFonts w:ascii="Times New Roman" w:hAnsi="Times New Roman"/>
          <w:noProof/>
          <w:sz w:val="24"/>
          <w:szCs w:val="24"/>
        </w:rPr>
        <w:t xml:space="preserve"> поражда непосредствени нови възможности и предизвикателства. Цифровите технологии могат да благоприятстват правата на човека и демократизацията, като улесняват участието на обществеността, увеличават отчетността на държавното управление, давайки възможност за наблюдение и документиране на нарушенията и злоупотребите, подкрепят новия онлайн активизъм, осведомеността и достъпа до образование и информация и спомагат за икономическото и социалното приобщаване и достъпа до качествени обществени услуги. Този преход обаче може да спомогне и за неправомерни, противозаконни ограничения на движението и речта. Платформите на социалните медии се използват за канализиране на целенасочена дезинформация и слово на омразата, които често нарушават неприкосновеността на личния живот и подкопават демокрацията и правата на човека. Злоупотребата с нови технологии, включително изкуствения интелект (ИИ), крие риск от засилено наблюдение, контрол и репресии. В някои държави масовото наблюдение на гражданите е реалност. Данните и алгоритмите могат да се използват за дискриминация, съзнателна или несъзнателна, срещу отделни лица и групи, с което да се подсилват предразсъдъците в обществото. 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Другият ключов преход се обуславя от глобалните предизвикателства в областта на околната среда, като влошаването на състоянието на околната среда, замърсяването и </w:t>
      </w:r>
      <w:r>
        <w:rPr>
          <w:rFonts w:ascii="Times New Roman" w:hAnsi="Times New Roman"/>
          <w:b/>
          <w:noProof/>
          <w:sz w:val="24"/>
          <w:szCs w:val="24"/>
        </w:rPr>
        <w:t>изменението на климата</w:t>
      </w:r>
      <w:r>
        <w:rPr>
          <w:rFonts w:ascii="Times New Roman" w:hAnsi="Times New Roman"/>
          <w:noProof/>
          <w:sz w:val="24"/>
          <w:szCs w:val="24"/>
        </w:rPr>
        <w:t xml:space="preserve">. Връзката между тези предизвикателства и правата на човека става по-ясна. Гласът на младите хора бива чут. Гражданското общество и защитниците на правата на човека в областта на околната среда играят ключова роля за изобличаването на нарушения на правата на човека и изискването на действия за опазване на планетата и нейния климат. Изграждането на устойчиво екологично бъдеще е ключова цел, която не се ограничава от традиционните разделителни линии между икономиката и сигурността или между вътрешните и външните измерения на политиката. Отрицателните последици от влошаването на състоянието на околната среда и изменението на климата представляват заплаха и са в състояние да умножат предизвикателствата пред редица права — на здраве, храна, вода, всеобщо образование, и дори самото право на живот. 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същото време има задълбочаване на конфликти и се появяват нови опасности. Конфликтите и нестабилността застрашават поминъка на милиони хора по света, a броят на разселените лица в световен план е най-високият, регистриран досега. Инвестирането в правата на човека, демокрацията и правовата държава е най-добрият начин да се предотврати изпадането на обществата в криза. Правата на човека и демокрацията трябва да бъдат на преден план в усилията на ЕС за предотвратяване на конфликти и разрешаване на кризи. Кризисните ситуации създават особени предизвикателства пред ефективното упражняване и защита на правата на човека и поставят на изпитание функционирането на нашите демокрации. Примери като избухването на пандемията от COVID-19 показват безусловната необходимост от съгласувани действия и солидарност в световен мащаб.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Това означава ранен ангажимент за справяне с нарушенията на правата на човека и за подкрепа на демокрацията, включително чрез посредничество и предотвратяване на насилието по време на избори. Подновеният акцент върху правата на човека и демокрацията ще спомогне за </w:t>
      </w:r>
      <w:r>
        <w:rPr>
          <w:rFonts w:ascii="Times New Roman" w:hAnsi="Times New Roman"/>
          <w:b/>
          <w:noProof/>
          <w:sz w:val="24"/>
          <w:szCs w:val="24"/>
        </w:rPr>
        <w:t>устойчивостта на държава и обществото.</w:t>
      </w:r>
      <w:r>
        <w:rPr>
          <w:rFonts w:ascii="Times New Roman" w:hAnsi="Times New Roman"/>
          <w:noProof/>
          <w:sz w:val="24"/>
          <w:szCs w:val="24"/>
        </w:rPr>
        <w:t xml:space="preserve"> От особена полза за сигурността е да бъдат гарантирани гражданските и политическите, както и икономическите, социалните и културните права. Няма устойчива сигурност без права на човека за всички. Гарантирането на отчетност и борбата с безнаказаността са от централно значение в тази връзка. 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Целите на Програмата на ООН до 2030 г. за устойчиво развитие са изключителна възможност да се гарантира, че ангажиментът за приобщаване се вземе предвид при утвърждаването на правата на човека и демокрацията в световен мащаб. Ангажиментът </w:t>
      </w:r>
      <w:r>
        <w:rPr>
          <w:rFonts w:ascii="Times New Roman" w:hAnsi="Times New Roman"/>
          <w:b/>
          <w:noProof/>
          <w:sz w:val="24"/>
          <w:szCs w:val="24"/>
        </w:rPr>
        <w:t>„никой да не бъде изоставен“</w:t>
      </w:r>
      <w:r>
        <w:rPr>
          <w:rFonts w:ascii="Times New Roman" w:hAnsi="Times New Roman"/>
          <w:noProof/>
          <w:sz w:val="24"/>
          <w:szCs w:val="24"/>
        </w:rPr>
        <w:t xml:space="preserve"> е призив за укрепване на правата на човека за всички без дискриминация на каквото и да е основа.</w:t>
      </w:r>
      <w:r>
        <w:rPr>
          <w:rFonts w:ascii="Times New Roman" w:hAnsi="Times New Roman"/>
          <w:noProof/>
          <w:sz w:val="24"/>
          <w:szCs w:val="24"/>
        </w:rPr>
        <w:noBreakHyphen/>
        <w:t xml:space="preserve"> Във време на засилващо се </w:t>
      </w:r>
      <w:r>
        <w:rPr>
          <w:rFonts w:ascii="Times New Roman" w:hAnsi="Times New Roman"/>
          <w:b/>
          <w:noProof/>
          <w:sz w:val="24"/>
          <w:szCs w:val="24"/>
        </w:rPr>
        <w:t>неравенство</w:t>
      </w:r>
      <w:r>
        <w:rPr>
          <w:rFonts w:ascii="Times New Roman" w:hAnsi="Times New Roman"/>
          <w:noProof/>
          <w:sz w:val="24"/>
          <w:szCs w:val="24"/>
        </w:rPr>
        <w:t>, при което икономическите различния се установяват здраво на политическо равнище и пораждат социално разделение, предизвикателството никога не е било по-голямо.</w:t>
      </w:r>
    </w:p>
    <w:p>
      <w:pPr>
        <w:pStyle w:val="ListParagraph"/>
        <w:numPr>
          <w:ilvl w:val="0"/>
          <w:numId w:val="1"/>
        </w:numPr>
        <w:spacing w:after="240" w:line="274" w:lineRule="exact"/>
        <w:ind w:left="567" w:hanging="567"/>
        <w:jc w:val="both"/>
        <w:rPr>
          <w:rFonts w:ascii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hAnsi="Times New Roman"/>
          <w:b/>
          <w:smallCaps/>
          <w:noProof/>
          <w:sz w:val="24"/>
          <w:szCs w:val="24"/>
        </w:rPr>
        <w:t>Мерки за бъдещето: нов план за действие на ЕС относно правата на човека и демокрацията</w:t>
      </w:r>
    </w:p>
    <w:p>
      <w:pPr>
        <w:spacing w:after="12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новия план за действие ще се очертаят амбициите на ЕС и ще се набележат приоритетите за действие въз основа на пет взаимосвързани и взаимно подсилващи се </w:t>
      </w:r>
      <w:r>
        <w:rPr>
          <w:rFonts w:ascii="Times New Roman" w:hAnsi="Times New Roman"/>
          <w:b/>
          <w:noProof/>
          <w:sz w:val="24"/>
          <w:szCs w:val="24"/>
        </w:rPr>
        <w:t>направления на действие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4"/>
        </w:numPr>
        <w:spacing w:after="120" w:line="274" w:lineRule="exact"/>
        <w:ind w:left="964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Защита и овластяване на индивида;</w:t>
      </w:r>
    </w:p>
    <w:p>
      <w:pPr>
        <w:pStyle w:val="ListParagraph"/>
        <w:numPr>
          <w:ilvl w:val="0"/>
          <w:numId w:val="4"/>
        </w:numPr>
        <w:spacing w:after="120" w:line="274" w:lineRule="exact"/>
        <w:ind w:left="964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Изграждане на устойчиви, приобщаващи и демократични общества;</w:t>
      </w:r>
    </w:p>
    <w:p>
      <w:pPr>
        <w:pStyle w:val="ListParagraph"/>
        <w:numPr>
          <w:ilvl w:val="0"/>
          <w:numId w:val="4"/>
        </w:numPr>
        <w:spacing w:after="120" w:line="274" w:lineRule="exact"/>
        <w:ind w:left="964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Насърчаване на глобална система за правата на човека и демокрацията;</w:t>
      </w:r>
    </w:p>
    <w:p>
      <w:pPr>
        <w:pStyle w:val="ListParagraph"/>
        <w:numPr>
          <w:ilvl w:val="0"/>
          <w:numId w:val="4"/>
        </w:numPr>
        <w:spacing w:after="120" w:line="274" w:lineRule="exact"/>
        <w:ind w:left="964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Нови технологии: използване на възможностите и преодоляване на предизвикателствата; и</w:t>
      </w:r>
    </w:p>
    <w:p>
      <w:pPr>
        <w:pStyle w:val="ListParagraph"/>
        <w:numPr>
          <w:ilvl w:val="0"/>
          <w:numId w:val="4"/>
        </w:numPr>
        <w:spacing w:after="240" w:line="274" w:lineRule="exact"/>
        <w:ind w:left="964" w:hanging="397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Постигане на резултати чрез съвместна работа. 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Тези пет направления на действие ще бъдат разработени в новия план за действие, за да се осигури стратегическа всеобхватна насоченост. Планът за действие ще заложи рамката, съгласно която делегациите и службите на ЕС, заедно с посолствата на държавите членки, да определят конкретните оперативни мерки на </w:t>
      </w:r>
      <w:r>
        <w:rPr>
          <w:rFonts w:ascii="Times New Roman" w:hAnsi="Times New Roman"/>
          <w:b/>
          <w:noProof/>
          <w:spacing w:val="-4"/>
          <w:sz w:val="24"/>
          <w:szCs w:val="24"/>
        </w:rPr>
        <w:t>национално, регионално и многостранно равнище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, като се отчитат местните обстоятелства и особености. 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За да се постигнат резултати по тези нови пет направления на действие, ЕС ще използва </w:t>
      </w:r>
      <w:r>
        <w:rPr>
          <w:rFonts w:ascii="Times New Roman" w:hAnsi="Times New Roman"/>
          <w:b/>
          <w:noProof/>
          <w:sz w:val="24"/>
          <w:szCs w:val="24"/>
        </w:rPr>
        <w:t>широкия набор от политики и инструменти</w:t>
      </w:r>
      <w:r>
        <w:rPr>
          <w:rFonts w:ascii="Times New Roman" w:hAnsi="Times New Roman"/>
          <w:noProof/>
          <w:sz w:val="24"/>
          <w:szCs w:val="24"/>
        </w:rPr>
        <w:t>, с които разполага, за утвърждаване и защита на правата на човека, демокрацията и правовата държава. Това включва публична дипломация и комуникационни кампании, изявления и декларации на ЕС и тематични и насочени към конкретни държави резолюции в рамките на многостранни форуми по правата на човека.</w:t>
      </w:r>
      <w:r>
        <w:rPr>
          <w:rFonts w:ascii="Times New Roman" w:hAnsi="Times New Roman"/>
          <w:noProof/>
          <w:sz w:val="24"/>
          <w:szCs w:val="24"/>
        </w:rPr>
        <w:noBreakHyphen/>
        <w:t xml:space="preserve"> Сред тях са и по-дискретни дипломатически инструменти, като демарши, политически диалози и редовни диалози по правата на човека, както диалог за секторната политика. През годините установените с все повече държави диалози по правата на човека се доказаха като ключов инструмент за постигане на напредък по програмата на ЕС в областта на правата на човека в контекста на по-широките му политически отношения.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новия свят, който ни заобикаля, комуникацията относно правата на човека е от първостепенно значение. Въпреки ненамаляващата нужда открито да се обявяваме против нарушенията на правата на човека, е съществено да има положително послание за правата на човека и имащите отношение към тях въпроси. В поляризираната информационна среда, в която социалните медии играят все по-важна роля, това е задача, за която се изискват консолидирани усилия. </w:t>
      </w:r>
    </w:p>
    <w:p>
      <w:pPr>
        <w:spacing w:after="240" w:line="274" w:lineRule="exact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Новият план за действие ще се възползва от </w:t>
      </w:r>
      <w:r>
        <w:rPr>
          <w:rFonts w:ascii="Times New Roman" w:hAnsi="Times New Roman"/>
          <w:b/>
          <w:noProof/>
          <w:sz w:val="24"/>
          <w:szCs w:val="24"/>
        </w:rPr>
        <w:t>възможностите, предлагани от новата многогодишна финансова рамка (МФР)</w:t>
      </w:r>
      <w:r>
        <w:rPr>
          <w:rFonts w:ascii="Times New Roman" w:hAnsi="Times New Roman"/>
          <w:noProof/>
          <w:sz w:val="24"/>
          <w:szCs w:val="24"/>
        </w:rPr>
        <w:t>, като използва по-специално по-голямата гъвкавост, за да гарантира съгласуваност между сътрудничеството на държавна основа и подкрепата за организациите за правата на човека и организациите на гражданското общество. ЕС следва да реагира на внезапно подобрение или влошаване на положението по отношение на правата на човека и демокрацията, когато определя мащаба на подпомагането си за държавните институции и гражданското общество и баланса в разпределението на подпомагането между тях.</w:t>
      </w:r>
    </w:p>
    <w:p>
      <w:pPr>
        <w:spacing w:after="240" w:line="274" w:lineRule="exact"/>
        <w:jc w:val="both"/>
        <w:rPr>
          <w:rFonts w:ascii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От решаващо значение е, че планът за действие ще се стреми да подобри </w:t>
      </w:r>
      <w:r>
        <w:rPr>
          <w:rFonts w:ascii="Times New Roman" w:hAnsi="Times New Roman"/>
          <w:b/>
          <w:noProof/>
          <w:spacing w:val="-4"/>
          <w:sz w:val="24"/>
          <w:szCs w:val="24"/>
        </w:rPr>
        <w:t>съгласуваността и да преодолее тясноведомственото мислене, разделящо вътрешните и външните области на политиката.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ЕС ще увеличи усилията за интегриране на защитата на правата на човека, демокрацията и правовата държава във всички области на външната дейност. Така например полезните взаимодействия между политиките в областта на търговията и правата на човека ще бъдат засилени, като се надгражда върху свършеното в контекста на договореностите на ЕС за търговски преференции. Правата на човека ще бъдат интегрирани и във вътрешните политики, особено в приоритетните области в рамките на Зеления пакт, като например околната среда, както и в областите на миграцията и сигурността, а основаният на правата подход в областта на развитието ще бъде разширен, така че да обхване и други области на външната политика.</w:t>
      </w:r>
    </w:p>
    <w:p>
      <w:pPr>
        <w:spacing w:after="240" w:line="274" w:lineRule="exact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ЕС ще се стреми да бъде </w:t>
      </w:r>
      <w:r>
        <w:rPr>
          <w:rFonts w:ascii="Times New Roman" w:hAnsi="Times New Roman"/>
          <w:b/>
          <w:noProof/>
          <w:sz w:val="24"/>
          <w:szCs w:val="24"/>
        </w:rPr>
        <w:t>по-бърз и по-ефективен участник</w:t>
      </w:r>
      <w:r>
        <w:rPr>
          <w:rFonts w:ascii="Times New Roman" w:hAnsi="Times New Roman"/>
          <w:noProof/>
          <w:sz w:val="24"/>
          <w:szCs w:val="24"/>
        </w:rPr>
        <w:t xml:space="preserve"> по въпросите на правата на човека на равнище държави, където това е от най-голямо значение. Новият план за действие ще се стреми да овласти участниците на място. В този контекст ръководителите на делегациите на ЕС играят съществена роля за насърчаване и благоприятстване на правата на човека и демокрацията и тази им роля ще бъде доразвита. Гражданското общество продължава да бъде ключов партньор за постигане на устойчива промяна и за наблюдение и преглед на напредъка.</w:t>
      </w:r>
    </w:p>
    <w:p>
      <w:pPr>
        <w:spacing w:after="240" w:line="274" w:lineRule="exact"/>
        <w:jc w:val="both"/>
        <w:rPr>
          <w:noProof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>За ефективното изпълнение на плана за действие ще е необходим по-</w:t>
      </w:r>
      <w:r>
        <w:rPr>
          <w:rFonts w:ascii="Times New Roman" w:hAnsi="Times New Roman"/>
          <w:b/>
          <w:noProof/>
          <w:spacing w:val="-4"/>
          <w:sz w:val="24"/>
          <w:szCs w:val="24"/>
        </w:rPr>
        <w:t>единен подход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, включително с държавите членки, с който се гарантира по-голяма съгласуваност и въздействие на действията на ЕС на всички равнища и при всички инструменти и политики. Съгласно своя мандат специалният представител на ЕС за правата на човека ще продължи да бъде ключов политически участник и ще играе централна роля за насочване на динамичното изпълнение на плана за действие с цел постигането на устойчив напредък.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702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https://www.consilium.europa.eu/uedocs/cms_data/docs/pressdata/EN/foraff/131181.pdf</w:t>
        </w:r>
      </w:hyperlink>
      <w:r>
        <w:t xml:space="preserve"> 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hyperlink r:id="rId2" w:history="1">
        <w:r>
          <w:rPr>
            <w:rStyle w:val="Hyperlink"/>
            <w:rFonts w:ascii="Times New Roman" w:hAnsi="Times New Roman"/>
          </w:rPr>
          <w:t>https://eeas.europa.eu/sites/eeas/files/eu_action_plan_on_human_rights_and_democracy_en_0.pdf</w:t>
        </w:r>
      </w:hyperlink>
      <w:r>
        <w:rPr>
          <w:rFonts w:ascii="Times New Roman" w:hAnsi="Times New Roman"/>
        </w:rPr>
        <w:t xml:space="preserve">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https://data.consilium.europa.eu/doc/document/ST-12836-2019-INIT/en/pdf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5C0"/>
    <w:multiLevelType w:val="hybridMultilevel"/>
    <w:tmpl w:val="64D2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289"/>
    <w:multiLevelType w:val="hybridMultilevel"/>
    <w:tmpl w:val="44A8654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F6C7D"/>
    <w:multiLevelType w:val="hybridMultilevel"/>
    <w:tmpl w:val="7C8C9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C69D9"/>
    <w:multiLevelType w:val="hybridMultilevel"/>
    <w:tmpl w:val="F16E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70E48"/>
    <w:multiLevelType w:val="hybridMultilevel"/>
    <w:tmpl w:val="0E42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2A7C6672-37C7-4719-BD01-8662465437AF"/>
    <w:docVar w:name="LW_COVERPAGE_TYPE" w:val="1"/>
    <w:docVar w:name="LW_CROSSREFERENCE" w:val="&lt;UNUSED&gt;"/>
    <w:docVar w:name="LW_DocType" w:val="NORMAL"/>
    <w:docVar w:name="LW_EMISSION" w:val="25.3.2020"/>
    <w:docVar w:name="LW_EMISSION_ISODATE" w:val="2020-03-25"/>
    <w:docVar w:name="LW_EMISSION_LOCATION" w:val="BRX"/>
    <w:docVar w:name="LW_EMISSION_PREFIX" w:val="Брюксел, "/>
    <w:docVar w:name="LW_EMISSION_SUFFIX" w:val=" \u1075?."/>
    <w:docVar w:name="LW_ID_DOCTYPE_NONLW" w:val="CP-015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NST.NEW" w:val="JOIN"/>
    <w:docVar w:name="LW_REF.INST.NEW_ADOPTED" w:val="final"/>
    <w:docVar w:name="LW_REF.INST.NEW_TEXT" w:val="(2020) 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&lt;FMT:Bold&gt;\u1055?\u1083?\u1072?\u1085? \u1079?\u1072? \u1076?\u1077?\u1081?\u1089?\u1090?\u1074?\u1080?\u1077? \u1085?\u1072? \u1045?\u1057? \u1086?\u1090?\u1085?\u1086?\u1089?\u1085?\u1086? \u1087?\u1088?\u1072?\u1074?\u1072?\u1090?\u1072? \u1085?\u1072? \u1095?\u1086?\u1074?\u1077?\u1082?\u1072? \u1080? \u1076?\u1077?\u1084?\u1086?\u1082?\u1088?\u1072?\u1094?\u1080?\u1103?\u1090?\u1072? \u1079?\u1072? \u1087?\u1077?\u1088?\u1080?\u1086?\u1076?\u1072? 2020\u8212?2024 \u1075?.&lt;/FMT&gt;"/>
    <w:docVar w:name="LW_TYPE.DOC.CP" w:val="\u1057?\u1066?\u1042?\u1052?\u1045?\u1057?\u1058?\u1053?\u1054? \u1057?\u1066?\u1054?\u1041?\u1065?\u1045?\u1053?\u1048?\u1045? \u1044?\u1054? \u1045?\u1042?\u1056?\u1054?\u1055?\u1045?\u1049?\u1057?\u1050?\u1048?\u1071? \u1055?\u1040?\u1056?\u1051?\u1040?\u1052?\u1045?\u1053?\u1058? \u1048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No Spacing1,WB 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50" w:after="150" w:line="315" w:lineRule="atLeast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Issue Action POC,3,POCG Table Text,No Spacing1,WB 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link w:val="ListParagraph"/>
    <w:uiPriority w:val="34"/>
    <w:qFormat/>
    <w:lock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50" w:after="150" w:line="315" w:lineRule="atLeast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consilium.europa.eu/doc/document/ST-12836-2019-INIT/en/pdf" TargetMode="External"/><Relationship Id="rId2" Type="http://schemas.openxmlformats.org/officeDocument/2006/relationships/hyperlink" Target="https://eeas.europa.eu/sites/eeas/files/eu_action_plan_on_human_rights_and_democracy_en_0.pdf" TargetMode="External"/><Relationship Id="rId1" Type="http://schemas.openxmlformats.org/officeDocument/2006/relationships/hyperlink" Target="https://www.consilium.europa.eu/uedocs/cms_data/docs/pressdata/EN/foraff/13118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866D-1F7C-4C93-8F88-79F9A409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2316</Words>
  <Characters>13485</Characters>
  <Application>Microsoft Office Word</Application>
  <DocSecurity>0</DocSecurity>
  <Lines>221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20</cp:revision>
  <cp:lastPrinted>2020-03-03T08:09:00Z</cp:lastPrinted>
  <dcterms:created xsi:type="dcterms:W3CDTF">2020-03-21T13:09:00Z</dcterms:created>
  <dcterms:modified xsi:type="dcterms:W3CDTF">2020-04-01T09:43:00Z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CP-015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