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6ED3DEA1-CA2B-4155-AB3A-7332C8039B84" style="width:450.8pt;height:334.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ManualHeading1"/>
        <w:numPr>
          <w:ilvl w:val="0"/>
          <w:numId w:val="1"/>
        </w:numPr>
        <w:rPr>
          <w:noProof/>
        </w:rPr>
      </w:pPr>
      <w:bookmarkStart w:id="1" w:name="_GoBack"/>
      <w:bookmarkEnd w:id="1"/>
      <w:r>
        <w:rPr>
          <w:noProof/>
        </w:rPr>
        <w:lastRenderedPageBreak/>
        <w:t>introduction</w:t>
      </w:r>
    </w:p>
    <w:p>
      <w:pPr>
        <w:pStyle w:val="Text1"/>
        <w:rPr>
          <w:noProof/>
        </w:rPr>
      </w:pPr>
      <w:r>
        <w:rPr>
          <w:noProof/>
        </w:rPr>
        <w:t>The regulation laying down the multiannual financial framework (MFF regulation) for the years 2014-2020 as last amended by Council Regulation (EU, Euratom) No 2017/1123 of 20 June 2017</w:t>
      </w:r>
      <w:r>
        <w:rPr>
          <w:rStyle w:val="FootnoteReference"/>
          <w:noProof/>
        </w:rPr>
        <w:footnoteReference w:id="2"/>
      </w:r>
      <w:r>
        <w:rPr>
          <w:noProof/>
        </w:rPr>
        <w:t xml:space="preserve"> and adjusted as shown in the communication on the technical adjustment for 2020</w:t>
      </w:r>
      <w:r>
        <w:rPr>
          <w:rStyle w:val="FootnoteReference"/>
          <w:noProof/>
        </w:rPr>
        <w:footnoteReference w:id="3"/>
      </w:r>
      <w:r>
        <w:rPr>
          <w:noProof/>
        </w:rPr>
        <w:t xml:space="preserve"> contains the financial framework table for the period 2014-2020, expressed in 2011 prices (Table 1). </w:t>
      </w:r>
    </w:p>
    <w:p>
      <w:pPr>
        <w:pStyle w:val="Text1"/>
        <w:rPr>
          <w:noProof/>
        </w:rPr>
      </w:pPr>
      <w:r>
        <w:rPr>
          <w:noProof/>
        </w:rPr>
        <w:t xml:space="preserve">According to Article 6(1) of the MFF regulation, the Commission makes each year, ahead of the budgetary procedure for year n+1, a technical adjustment to the multiannual financial framework (MFF) in line with movements in the EU's gross national income (GNI) and prices and communicates the results to the Council and the European Parliament. The adjustment of the ceilings in line with Article 6(1) was done in the technical adjustment for 2020 in May 2019 and based on Article 6(4) it is not being updated. </w:t>
      </w:r>
    </w:p>
    <w:p>
      <w:pPr>
        <w:pStyle w:val="Text1"/>
        <w:rPr>
          <w:noProof/>
        </w:rPr>
      </w:pPr>
      <w:r>
        <w:rPr>
          <w:noProof/>
        </w:rPr>
        <w:t xml:space="preserve">The Communication on the technical adjustment for 2020 has indicated the availability of the special instruments for the years 2019 and 2020 according to Article 6(1)(e) and (f) of the MFF Regulation for the availability of the Global margin for commitments and Flexibility instrument respectively as known in spring 2019. </w:t>
      </w:r>
      <w:bookmarkStart w:id="2" w:name="_Toc360453126"/>
      <w:r>
        <w:rPr>
          <w:noProof/>
        </w:rPr>
        <w:t xml:space="preserve">The purpose of this communication is to present to the Council and the European Parliament the additional availabilities of the special instruments according to Article 6(1)(e) and (f) of the MFF Regulation for the the Global margin for commitments and Flexibility instrument respectively for the year 2020, which became available at the end of 2019. </w:t>
      </w:r>
    </w:p>
    <w:p>
      <w:pPr>
        <w:pStyle w:val="Text1"/>
        <w:rPr>
          <w:noProof/>
        </w:rPr>
      </w:pPr>
      <w:r>
        <w:rPr>
          <w:noProof/>
        </w:rPr>
        <w:t>The communication also shows the available amounts of all special instruments and their use since 2014 for information.</w:t>
      </w:r>
    </w:p>
    <w:p>
      <w:pPr>
        <w:pStyle w:val="ManualHeading1"/>
        <w:rPr>
          <w:noProof/>
        </w:rPr>
      </w:pPr>
      <w:r>
        <w:rPr>
          <w:noProof/>
        </w:rPr>
        <w:t>2.</w:t>
      </w:r>
      <w:r>
        <w:rPr>
          <w:noProof/>
        </w:rPr>
        <w:tab/>
      </w:r>
      <w:bookmarkStart w:id="3" w:name="_Toc360453129"/>
      <w:bookmarkEnd w:id="2"/>
      <w:r>
        <w:rPr>
          <w:noProof/>
        </w:rPr>
        <w:t>Global Margin for Payments</w:t>
      </w:r>
      <w:bookmarkEnd w:id="3"/>
      <w:r>
        <w:rPr>
          <w:noProof/>
        </w:rPr>
        <w:t xml:space="preserve"> (GMP)</w:t>
      </w:r>
    </w:p>
    <w:p>
      <w:pPr>
        <w:pStyle w:val="Text1"/>
        <w:rPr>
          <w:noProof/>
        </w:rPr>
      </w:pPr>
      <w:r>
        <w:rPr>
          <w:noProof/>
        </w:rPr>
        <w:t>According to Article 5 of the MFF Regulation, the Commission shall adjust the payment ceiling for the years 2015-2020 upwards by an amount equivalent to the difference between the executed payments and the MFF payment ceiling of the year n-1. Any upward adjustment shall be fully offset by a corresponding reduction of the payment ceiling for year n-1 in constant 2011 prices.</w:t>
      </w:r>
    </w:p>
    <w:p>
      <w:pPr>
        <w:pStyle w:val="Text1"/>
        <w:rPr>
          <w:noProof/>
        </w:rPr>
      </w:pPr>
      <w:r>
        <w:rPr>
          <w:noProof/>
        </w:rPr>
        <w:t>No recalculation of the GMP is done for 2020 as the threshold set by Article 5(2) of the MFF Regulation has been reached in the technical adjustment for 2020 adopted in May 2019.</w:t>
      </w:r>
    </w:p>
    <w:p>
      <w:pPr>
        <w:pStyle w:val="ManualHeading1"/>
        <w:rPr>
          <w:noProof/>
        </w:rPr>
      </w:pPr>
      <w:bookmarkStart w:id="4" w:name="_Toc360453132"/>
      <w:r>
        <w:rPr>
          <w:noProof/>
        </w:rPr>
        <w:t>3.</w:t>
      </w:r>
      <w:r>
        <w:rPr>
          <w:noProof/>
        </w:rPr>
        <w:tab/>
        <w:t>Special Instruments</w:t>
      </w:r>
      <w:bookmarkEnd w:id="4"/>
    </w:p>
    <w:p>
      <w:pPr>
        <w:pStyle w:val="Text1"/>
        <w:rPr>
          <w:noProof/>
        </w:rPr>
      </w:pPr>
      <w:r>
        <w:rPr>
          <w:noProof/>
        </w:rPr>
        <w:t>A number of instruments are available outside expenditure ceilings agreed in the financial framework 2014-2020. These instruments aim to provide rapid response to exceptional or unforeseen events, and provide some flexibility beyond the agreed expenditure ceilings within certain limits.</w:t>
      </w:r>
    </w:p>
    <w:p>
      <w:pPr>
        <w:pStyle w:val="ManualHeading2"/>
        <w:rPr>
          <w:noProof/>
        </w:rPr>
      </w:pPr>
      <w:bookmarkStart w:id="5" w:name="_Toc360453133"/>
      <w:r>
        <w:rPr>
          <w:noProof/>
        </w:rPr>
        <w:lastRenderedPageBreak/>
        <w:t>3.1.</w:t>
      </w:r>
      <w:r>
        <w:rPr>
          <w:noProof/>
        </w:rPr>
        <w:tab/>
        <w:t>Emergency Aid Reserve</w:t>
      </w:r>
      <w:bookmarkEnd w:id="5"/>
      <w:r>
        <w:rPr>
          <w:noProof/>
        </w:rPr>
        <w:t xml:space="preserve"> (EAR)</w:t>
      </w:r>
    </w:p>
    <w:p>
      <w:pPr>
        <w:pStyle w:val="Text1"/>
        <w:rPr>
          <w:noProof/>
        </w:rPr>
      </w:pPr>
      <w:r>
        <w:rPr>
          <w:noProof/>
        </w:rPr>
        <w:t xml:space="preserve">According to Article 9 of the amended MFF Regulation the </w:t>
      </w:r>
      <w:r>
        <w:rPr>
          <w:i/>
          <w:noProof/>
        </w:rPr>
        <w:t>Emergency Aid Reserve</w:t>
      </w:r>
      <w:r>
        <w:rPr>
          <w:noProof/>
        </w:rPr>
        <w:t xml:space="preserve"> can be mobilised up to a maximum amount of EUR 300 million per year in 2011 prices, or EUR 358,5 million in 2020 at current prices (EUR 2 301,4 million for the whole period in current prices). The portion of the unused amount of the previous year can be carried over to the following year. The carry-over from 2019 to 2020 amounts to EUR 45,6 million.</w:t>
      </w:r>
    </w:p>
    <w:p>
      <w:pPr>
        <w:pStyle w:val="Text1"/>
        <w:rPr>
          <w:noProof/>
        </w:rPr>
      </w:pPr>
      <w:r>
        <w:rPr>
          <w:noProof/>
        </w:rPr>
        <w:t>The table below shows the details of the annual availabilities and usage of the EAR since 2014:</w:t>
      </w:r>
    </w:p>
    <w:tbl>
      <w:tblPr>
        <w:tblW w:w="9431" w:type="dxa"/>
        <w:jc w:val="center"/>
        <w:tblCellMar>
          <w:left w:w="70" w:type="dxa"/>
          <w:right w:w="70" w:type="dxa"/>
        </w:tblCellMar>
        <w:tblLook w:val="04A0" w:firstRow="1" w:lastRow="0" w:firstColumn="1" w:lastColumn="0" w:noHBand="0" w:noVBand="1"/>
      </w:tblPr>
      <w:tblGrid>
        <w:gridCol w:w="2801"/>
        <w:gridCol w:w="875"/>
        <w:gridCol w:w="842"/>
        <w:gridCol w:w="809"/>
        <w:gridCol w:w="776"/>
        <w:gridCol w:w="783"/>
        <w:gridCol w:w="803"/>
        <w:gridCol w:w="875"/>
        <w:gridCol w:w="858"/>
        <w:gridCol w:w="9"/>
      </w:tblGrid>
      <w:tr>
        <w:trPr>
          <w:trHeight w:val="240"/>
          <w:jc w:val="center"/>
        </w:trPr>
        <w:tc>
          <w:tcPr>
            <w:tcW w:w="9431"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before="0" w:after="0"/>
              <w:jc w:val="center"/>
              <w:rPr>
                <w:b/>
                <w:bCs/>
                <w:noProof/>
                <w:sz w:val="18"/>
                <w:szCs w:val="18"/>
                <w:lang w:val="fr-BE" w:eastAsia="fr-BE"/>
              </w:rPr>
            </w:pPr>
            <w:r>
              <w:rPr>
                <w:b/>
                <w:bCs/>
                <w:noProof/>
                <w:sz w:val="18"/>
                <w:szCs w:val="18"/>
                <w:lang w:val="fr-BE" w:eastAsia="fr-BE"/>
              </w:rPr>
              <w:t>Emergency Aid Reserve</w:t>
            </w:r>
          </w:p>
        </w:tc>
      </w:tr>
      <w:tr>
        <w:trPr>
          <w:trHeight w:val="240"/>
          <w:jc w:val="center"/>
        </w:trPr>
        <w:tc>
          <w:tcPr>
            <w:tcW w:w="9431"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before="0" w:after="0"/>
              <w:jc w:val="right"/>
              <w:rPr>
                <w:i/>
                <w:iCs/>
                <w:noProof/>
                <w:sz w:val="18"/>
                <w:szCs w:val="18"/>
                <w:lang w:val="fr-BE" w:eastAsia="fr-BE"/>
              </w:rPr>
            </w:pPr>
            <w:r>
              <w:rPr>
                <w:i/>
                <w:iCs/>
                <w:noProof/>
                <w:sz w:val="18"/>
                <w:szCs w:val="18"/>
                <w:lang w:val="fr-BE" w:eastAsia="fr-BE"/>
              </w:rPr>
              <w:t>EUR million</w:t>
            </w:r>
          </w:p>
        </w:tc>
      </w:tr>
      <w:tr>
        <w:trPr>
          <w:gridAfter w:val="1"/>
          <w:wAfter w:w="9" w:type="dxa"/>
          <w:trHeight w:val="240"/>
          <w:jc w:val="center"/>
        </w:trPr>
        <w:tc>
          <w:tcPr>
            <w:tcW w:w="2801"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lang w:val="fr-BE" w:eastAsia="fr-BE"/>
              </w:rPr>
            </w:pPr>
            <w:r>
              <w:rPr>
                <w:noProof/>
                <w:sz w:val="18"/>
                <w:szCs w:val="18"/>
                <w:lang w:val="fr-BE" w:eastAsia="fr-BE"/>
              </w:rPr>
              <w:t> </w:t>
            </w:r>
          </w:p>
        </w:tc>
        <w:tc>
          <w:tcPr>
            <w:tcW w:w="875"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2014</w:t>
            </w:r>
          </w:p>
        </w:tc>
        <w:tc>
          <w:tcPr>
            <w:tcW w:w="842"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2015</w:t>
            </w:r>
          </w:p>
        </w:tc>
        <w:tc>
          <w:tcPr>
            <w:tcW w:w="809"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2016</w:t>
            </w:r>
          </w:p>
        </w:tc>
        <w:tc>
          <w:tcPr>
            <w:tcW w:w="776"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2017</w:t>
            </w:r>
          </w:p>
        </w:tc>
        <w:tc>
          <w:tcPr>
            <w:tcW w:w="783"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2018</w:t>
            </w:r>
          </w:p>
        </w:tc>
        <w:tc>
          <w:tcPr>
            <w:tcW w:w="803"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2019</w:t>
            </w:r>
          </w:p>
        </w:tc>
        <w:tc>
          <w:tcPr>
            <w:tcW w:w="875"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2020</w:t>
            </w:r>
          </w:p>
        </w:tc>
        <w:tc>
          <w:tcPr>
            <w:tcW w:w="858" w:type="dxa"/>
            <w:tcBorders>
              <w:top w:val="nil"/>
              <w:left w:val="nil"/>
              <w:bottom w:val="single" w:sz="4" w:space="0" w:color="auto"/>
              <w:right w:val="single" w:sz="4" w:space="0" w:color="auto"/>
            </w:tcBorders>
            <w:shd w:val="clear" w:color="auto" w:fill="auto"/>
            <w:noWrap/>
            <w:vAlign w:val="bottom"/>
            <w:hideMark/>
          </w:tcPr>
          <w:p>
            <w:pPr>
              <w:spacing w:before="0" w:after="0"/>
              <w:jc w:val="center"/>
              <w:rPr>
                <w:b/>
                <w:bCs/>
                <w:noProof/>
                <w:sz w:val="18"/>
                <w:szCs w:val="18"/>
                <w:lang w:val="fr-BE" w:eastAsia="fr-BE"/>
              </w:rPr>
            </w:pPr>
            <w:r>
              <w:rPr>
                <w:b/>
                <w:bCs/>
                <w:noProof/>
                <w:sz w:val="18"/>
                <w:szCs w:val="18"/>
                <w:lang w:val="fr-BE" w:eastAsia="fr-BE"/>
              </w:rPr>
              <w:t>Total</w:t>
            </w:r>
          </w:p>
        </w:tc>
      </w:tr>
      <w:tr>
        <w:trPr>
          <w:gridAfter w:val="1"/>
          <w:wAfter w:w="9" w:type="dxa"/>
          <w:trHeight w:val="240"/>
          <w:jc w:val="center"/>
        </w:trPr>
        <w:tc>
          <w:tcPr>
            <w:tcW w:w="2801"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lang w:val="fr-BE" w:eastAsia="fr-BE"/>
              </w:rPr>
            </w:pPr>
            <w:r>
              <w:rPr>
                <w:noProof/>
                <w:sz w:val="18"/>
                <w:szCs w:val="18"/>
                <w:lang w:val="fr-BE" w:eastAsia="fr-BE"/>
              </w:rPr>
              <w:t>Annual amounts in 2011 prices</w:t>
            </w:r>
          </w:p>
        </w:tc>
        <w:tc>
          <w:tcPr>
            <w:tcW w:w="87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280</w:t>
            </w:r>
          </w:p>
        </w:tc>
        <w:tc>
          <w:tcPr>
            <w:tcW w:w="842"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280</w:t>
            </w:r>
          </w:p>
        </w:tc>
        <w:tc>
          <w:tcPr>
            <w:tcW w:w="80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280</w:t>
            </w:r>
          </w:p>
        </w:tc>
        <w:tc>
          <w:tcPr>
            <w:tcW w:w="77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300</w:t>
            </w:r>
          </w:p>
        </w:tc>
        <w:tc>
          <w:tcPr>
            <w:tcW w:w="783"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300</w:t>
            </w:r>
          </w:p>
        </w:tc>
        <w:tc>
          <w:tcPr>
            <w:tcW w:w="803"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300</w:t>
            </w:r>
          </w:p>
        </w:tc>
        <w:tc>
          <w:tcPr>
            <w:tcW w:w="87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300</w:t>
            </w:r>
          </w:p>
        </w:tc>
        <w:tc>
          <w:tcPr>
            <w:tcW w:w="858"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lang w:val="fr-BE" w:eastAsia="fr-BE"/>
              </w:rPr>
            </w:pPr>
            <w:r>
              <w:rPr>
                <w:b/>
                <w:bCs/>
                <w:noProof/>
                <w:sz w:val="18"/>
                <w:szCs w:val="18"/>
                <w:lang w:val="fr-BE" w:eastAsia="fr-BE"/>
              </w:rPr>
              <w:t>2 040</w:t>
            </w:r>
          </w:p>
        </w:tc>
      </w:tr>
      <w:tr>
        <w:trPr>
          <w:gridAfter w:val="1"/>
          <w:wAfter w:w="9" w:type="dxa"/>
          <w:trHeight w:val="240"/>
          <w:jc w:val="center"/>
        </w:trPr>
        <w:tc>
          <w:tcPr>
            <w:tcW w:w="2801"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lang w:val="en-US" w:eastAsia="fr-BE"/>
              </w:rPr>
            </w:pPr>
            <w:r>
              <w:rPr>
                <w:noProof/>
                <w:sz w:val="18"/>
                <w:szCs w:val="18"/>
                <w:lang w:val="en-US" w:eastAsia="fr-BE"/>
              </w:rPr>
              <w:t>Annual amounts in current prices</w:t>
            </w:r>
          </w:p>
        </w:tc>
        <w:tc>
          <w:tcPr>
            <w:tcW w:w="87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297,0</w:t>
            </w:r>
          </w:p>
        </w:tc>
        <w:tc>
          <w:tcPr>
            <w:tcW w:w="842"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303,0</w:t>
            </w:r>
          </w:p>
        </w:tc>
        <w:tc>
          <w:tcPr>
            <w:tcW w:w="80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309,0</w:t>
            </w:r>
          </w:p>
        </w:tc>
        <w:tc>
          <w:tcPr>
            <w:tcW w:w="77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337,8</w:t>
            </w:r>
          </w:p>
        </w:tc>
        <w:tc>
          <w:tcPr>
            <w:tcW w:w="783"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344,6</w:t>
            </w:r>
          </w:p>
        </w:tc>
        <w:tc>
          <w:tcPr>
            <w:tcW w:w="803"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351,5</w:t>
            </w:r>
          </w:p>
        </w:tc>
        <w:tc>
          <w:tcPr>
            <w:tcW w:w="87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358,5</w:t>
            </w:r>
          </w:p>
        </w:tc>
        <w:tc>
          <w:tcPr>
            <w:tcW w:w="858"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lang w:val="fr-BE" w:eastAsia="fr-BE"/>
              </w:rPr>
            </w:pPr>
            <w:r>
              <w:rPr>
                <w:b/>
                <w:bCs/>
                <w:noProof/>
                <w:sz w:val="18"/>
                <w:szCs w:val="18"/>
                <w:lang w:val="fr-BE" w:eastAsia="fr-BE"/>
              </w:rPr>
              <w:t>2 301,4</w:t>
            </w:r>
          </w:p>
        </w:tc>
      </w:tr>
      <w:tr>
        <w:trPr>
          <w:gridAfter w:val="1"/>
          <w:wAfter w:w="9" w:type="dxa"/>
          <w:trHeight w:val="240"/>
          <w:jc w:val="center"/>
        </w:trPr>
        <w:tc>
          <w:tcPr>
            <w:tcW w:w="2801"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lang w:val="en-US" w:eastAsia="fr-BE"/>
              </w:rPr>
            </w:pPr>
            <w:r>
              <w:rPr>
                <w:noProof/>
                <w:sz w:val="18"/>
                <w:szCs w:val="18"/>
                <w:lang w:val="en-US" w:eastAsia="fr-BE"/>
              </w:rPr>
              <w:t>Carried-over from the previous year</w:t>
            </w:r>
          </w:p>
        </w:tc>
        <w:tc>
          <w:tcPr>
            <w:tcW w:w="87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0,0</w:t>
            </w:r>
          </w:p>
        </w:tc>
        <w:tc>
          <w:tcPr>
            <w:tcW w:w="842"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198,9</w:t>
            </w:r>
          </w:p>
        </w:tc>
        <w:tc>
          <w:tcPr>
            <w:tcW w:w="80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219,4</w:t>
            </w:r>
          </w:p>
        </w:tc>
        <w:tc>
          <w:tcPr>
            <w:tcW w:w="77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98,6</w:t>
            </w:r>
          </w:p>
        </w:tc>
        <w:tc>
          <w:tcPr>
            <w:tcW w:w="783"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61,7</w:t>
            </w:r>
          </w:p>
        </w:tc>
        <w:tc>
          <w:tcPr>
            <w:tcW w:w="803"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34,1</w:t>
            </w:r>
          </w:p>
        </w:tc>
        <w:tc>
          <w:tcPr>
            <w:tcW w:w="87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45,6</w:t>
            </w:r>
          </w:p>
        </w:tc>
        <w:tc>
          <w:tcPr>
            <w:tcW w:w="858" w:type="dxa"/>
            <w:tcBorders>
              <w:top w:val="nil"/>
              <w:left w:val="nil"/>
              <w:bottom w:val="nil"/>
              <w:right w:val="single" w:sz="4" w:space="0" w:color="auto"/>
            </w:tcBorders>
            <w:shd w:val="clear" w:color="auto" w:fill="auto"/>
            <w:noWrap/>
            <w:vAlign w:val="bottom"/>
            <w:hideMark/>
          </w:tcPr>
          <w:p>
            <w:pPr>
              <w:spacing w:before="0" w:after="0"/>
              <w:jc w:val="left"/>
              <w:rPr>
                <w:b/>
                <w:bCs/>
                <w:noProof/>
                <w:sz w:val="18"/>
                <w:szCs w:val="18"/>
                <w:lang w:val="fr-BE" w:eastAsia="fr-BE"/>
              </w:rPr>
            </w:pPr>
            <w:r>
              <w:rPr>
                <w:b/>
                <w:bCs/>
                <w:noProof/>
                <w:sz w:val="18"/>
                <w:szCs w:val="18"/>
                <w:lang w:val="fr-BE" w:eastAsia="fr-BE"/>
              </w:rPr>
              <w:t> </w:t>
            </w:r>
          </w:p>
        </w:tc>
      </w:tr>
      <w:tr>
        <w:trPr>
          <w:gridAfter w:val="1"/>
          <w:wAfter w:w="9" w:type="dxa"/>
          <w:trHeight w:val="240"/>
          <w:jc w:val="center"/>
        </w:trPr>
        <w:tc>
          <w:tcPr>
            <w:tcW w:w="2801"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lang w:val="fr-BE" w:eastAsia="fr-BE"/>
              </w:rPr>
            </w:pPr>
            <w:r>
              <w:rPr>
                <w:noProof/>
                <w:sz w:val="18"/>
                <w:szCs w:val="18"/>
                <w:lang w:val="fr-BE" w:eastAsia="fr-BE"/>
              </w:rPr>
              <w:t>Annual usage</w:t>
            </w:r>
          </w:p>
        </w:tc>
        <w:tc>
          <w:tcPr>
            <w:tcW w:w="87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98,1</w:t>
            </w:r>
          </w:p>
        </w:tc>
        <w:tc>
          <w:tcPr>
            <w:tcW w:w="842"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282,5</w:t>
            </w:r>
          </w:p>
        </w:tc>
        <w:tc>
          <w:tcPr>
            <w:tcW w:w="80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429,8</w:t>
            </w:r>
          </w:p>
        </w:tc>
        <w:tc>
          <w:tcPr>
            <w:tcW w:w="77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374,7</w:t>
            </w:r>
          </w:p>
        </w:tc>
        <w:tc>
          <w:tcPr>
            <w:tcW w:w="783"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372,2</w:t>
            </w:r>
          </w:p>
        </w:tc>
        <w:tc>
          <w:tcPr>
            <w:tcW w:w="803"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340,0</w:t>
            </w:r>
          </w:p>
        </w:tc>
        <w:tc>
          <w:tcPr>
            <w:tcW w:w="875" w:type="dxa"/>
            <w:tcBorders>
              <w:top w:val="nil"/>
              <w:left w:val="nil"/>
              <w:bottom w:val="nil"/>
              <w:right w:val="single" w:sz="4" w:space="0" w:color="auto"/>
            </w:tcBorders>
            <w:shd w:val="clear" w:color="auto" w:fill="auto"/>
            <w:noWrap/>
            <w:vAlign w:val="bottom"/>
            <w:hideMark/>
          </w:tcPr>
          <w:p>
            <w:pPr>
              <w:spacing w:before="0" w:after="0"/>
              <w:jc w:val="left"/>
              <w:rPr>
                <w:noProof/>
                <w:sz w:val="18"/>
                <w:szCs w:val="18"/>
                <w:lang w:val="fr-BE" w:eastAsia="fr-BE"/>
              </w:rPr>
            </w:pPr>
            <w:r>
              <w:rPr>
                <w:noProof/>
                <w:sz w:val="18"/>
                <w:szCs w:val="18"/>
                <w:lang w:val="fr-BE" w:eastAsia="fr-BE"/>
              </w:rPr>
              <w:t> </w:t>
            </w:r>
          </w:p>
        </w:tc>
        <w:tc>
          <w:tcPr>
            <w:tcW w:w="858"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lang w:val="fr-BE" w:eastAsia="fr-BE"/>
              </w:rPr>
            </w:pPr>
            <w:r>
              <w:rPr>
                <w:b/>
                <w:bCs/>
                <w:noProof/>
                <w:sz w:val="18"/>
                <w:szCs w:val="18"/>
                <w:lang w:val="fr-BE" w:eastAsia="fr-BE"/>
              </w:rPr>
              <w:t>1 897,3</w:t>
            </w:r>
          </w:p>
        </w:tc>
      </w:tr>
      <w:tr>
        <w:trPr>
          <w:gridAfter w:val="1"/>
          <w:wAfter w:w="9" w:type="dxa"/>
          <w:trHeight w:val="240"/>
          <w:jc w:val="center"/>
        </w:trPr>
        <w:tc>
          <w:tcPr>
            <w:tcW w:w="2801"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lang w:val="en-US" w:eastAsia="fr-BE"/>
              </w:rPr>
            </w:pPr>
            <w:r>
              <w:rPr>
                <w:noProof/>
                <w:sz w:val="18"/>
                <w:szCs w:val="18"/>
                <w:lang w:val="en-US" w:eastAsia="fr-BE"/>
              </w:rPr>
              <w:t>Carried-over to the following year</w:t>
            </w:r>
          </w:p>
        </w:tc>
        <w:tc>
          <w:tcPr>
            <w:tcW w:w="87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198,9</w:t>
            </w:r>
          </w:p>
        </w:tc>
        <w:tc>
          <w:tcPr>
            <w:tcW w:w="842"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219,4</w:t>
            </w:r>
          </w:p>
        </w:tc>
        <w:tc>
          <w:tcPr>
            <w:tcW w:w="80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98,6</w:t>
            </w:r>
          </w:p>
        </w:tc>
        <w:tc>
          <w:tcPr>
            <w:tcW w:w="77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61,7</w:t>
            </w:r>
          </w:p>
        </w:tc>
        <w:tc>
          <w:tcPr>
            <w:tcW w:w="783"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34,1</w:t>
            </w:r>
          </w:p>
        </w:tc>
        <w:tc>
          <w:tcPr>
            <w:tcW w:w="803"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45,6</w:t>
            </w:r>
          </w:p>
        </w:tc>
        <w:tc>
          <w:tcPr>
            <w:tcW w:w="875" w:type="dxa"/>
            <w:tcBorders>
              <w:top w:val="nil"/>
              <w:left w:val="nil"/>
              <w:bottom w:val="nil"/>
              <w:right w:val="single" w:sz="4" w:space="0" w:color="auto"/>
            </w:tcBorders>
            <w:shd w:val="clear" w:color="auto" w:fill="auto"/>
            <w:noWrap/>
            <w:vAlign w:val="bottom"/>
            <w:hideMark/>
          </w:tcPr>
          <w:p>
            <w:pPr>
              <w:spacing w:before="0" w:after="0"/>
              <w:jc w:val="left"/>
              <w:rPr>
                <w:noProof/>
                <w:sz w:val="18"/>
                <w:szCs w:val="18"/>
                <w:lang w:val="fr-BE" w:eastAsia="fr-BE"/>
              </w:rPr>
            </w:pPr>
            <w:r>
              <w:rPr>
                <w:noProof/>
                <w:sz w:val="18"/>
                <w:szCs w:val="18"/>
                <w:lang w:val="fr-BE" w:eastAsia="fr-BE"/>
              </w:rPr>
              <w:t> </w:t>
            </w:r>
          </w:p>
        </w:tc>
        <w:tc>
          <w:tcPr>
            <w:tcW w:w="858" w:type="dxa"/>
            <w:tcBorders>
              <w:top w:val="nil"/>
              <w:left w:val="nil"/>
              <w:bottom w:val="nil"/>
              <w:right w:val="single" w:sz="4" w:space="0" w:color="auto"/>
            </w:tcBorders>
            <w:shd w:val="clear" w:color="auto" w:fill="auto"/>
            <w:noWrap/>
            <w:vAlign w:val="bottom"/>
            <w:hideMark/>
          </w:tcPr>
          <w:p>
            <w:pPr>
              <w:spacing w:before="0" w:after="0"/>
              <w:jc w:val="left"/>
              <w:rPr>
                <w:b/>
                <w:bCs/>
                <w:noProof/>
                <w:sz w:val="18"/>
                <w:szCs w:val="18"/>
                <w:lang w:val="fr-BE" w:eastAsia="fr-BE"/>
              </w:rPr>
            </w:pPr>
            <w:r>
              <w:rPr>
                <w:b/>
                <w:bCs/>
                <w:noProof/>
                <w:sz w:val="18"/>
                <w:szCs w:val="18"/>
                <w:lang w:val="fr-BE" w:eastAsia="fr-BE"/>
              </w:rPr>
              <w:t> </w:t>
            </w:r>
          </w:p>
        </w:tc>
      </w:tr>
      <w:tr>
        <w:trPr>
          <w:gridAfter w:val="1"/>
          <w:wAfter w:w="9" w:type="dxa"/>
          <w:trHeight w:val="240"/>
          <w:jc w:val="center"/>
        </w:trPr>
        <w:tc>
          <w:tcPr>
            <w:tcW w:w="280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i/>
                <w:iCs/>
                <w:noProof/>
                <w:sz w:val="18"/>
                <w:szCs w:val="18"/>
                <w:lang w:val="fr-BE" w:eastAsia="fr-BE"/>
              </w:rPr>
            </w:pPr>
            <w:r>
              <w:rPr>
                <w:i/>
                <w:iCs/>
                <w:noProof/>
                <w:sz w:val="18"/>
                <w:szCs w:val="18"/>
                <w:lang w:val="fr-BE" w:eastAsia="fr-BE"/>
              </w:rPr>
              <w:t>Lapsed</w:t>
            </w:r>
          </w:p>
        </w:tc>
        <w:tc>
          <w:tcPr>
            <w:tcW w:w="875"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lang w:val="fr-BE" w:eastAsia="fr-BE"/>
              </w:rPr>
            </w:pPr>
            <w:r>
              <w:rPr>
                <w:i/>
                <w:iCs/>
                <w:noProof/>
                <w:sz w:val="18"/>
                <w:szCs w:val="18"/>
                <w:lang w:val="fr-BE" w:eastAsia="fr-BE"/>
              </w:rPr>
              <w:t>0,0</w:t>
            </w:r>
          </w:p>
        </w:tc>
        <w:tc>
          <w:tcPr>
            <w:tcW w:w="842"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lang w:val="fr-BE" w:eastAsia="fr-BE"/>
              </w:rPr>
            </w:pPr>
            <w:r>
              <w:rPr>
                <w:i/>
                <w:iCs/>
                <w:noProof/>
                <w:sz w:val="18"/>
                <w:szCs w:val="18"/>
                <w:lang w:val="fr-BE" w:eastAsia="fr-BE"/>
              </w:rPr>
              <w:t>0,0</w:t>
            </w:r>
          </w:p>
        </w:tc>
        <w:tc>
          <w:tcPr>
            <w:tcW w:w="809"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lang w:val="fr-BE" w:eastAsia="fr-BE"/>
              </w:rPr>
            </w:pPr>
            <w:r>
              <w:rPr>
                <w:i/>
                <w:iCs/>
                <w:noProof/>
                <w:sz w:val="18"/>
                <w:szCs w:val="18"/>
                <w:lang w:val="fr-BE" w:eastAsia="fr-BE"/>
              </w:rPr>
              <w:t>0,0</w:t>
            </w:r>
          </w:p>
        </w:tc>
        <w:tc>
          <w:tcPr>
            <w:tcW w:w="776"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lang w:val="fr-BE" w:eastAsia="fr-BE"/>
              </w:rPr>
            </w:pPr>
            <w:r>
              <w:rPr>
                <w:i/>
                <w:iCs/>
                <w:noProof/>
                <w:sz w:val="18"/>
                <w:szCs w:val="18"/>
                <w:lang w:val="fr-BE" w:eastAsia="fr-BE"/>
              </w:rPr>
              <w:t>0,0</w:t>
            </w:r>
          </w:p>
        </w:tc>
        <w:tc>
          <w:tcPr>
            <w:tcW w:w="783"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lang w:val="fr-BE" w:eastAsia="fr-BE"/>
              </w:rPr>
            </w:pPr>
            <w:r>
              <w:rPr>
                <w:i/>
                <w:iCs/>
                <w:noProof/>
                <w:sz w:val="18"/>
                <w:szCs w:val="18"/>
                <w:lang w:val="fr-BE" w:eastAsia="fr-BE"/>
              </w:rPr>
              <w:t>0,0</w:t>
            </w:r>
          </w:p>
        </w:tc>
        <w:tc>
          <w:tcPr>
            <w:tcW w:w="803"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lang w:val="fr-BE" w:eastAsia="fr-BE"/>
              </w:rPr>
            </w:pPr>
            <w:r>
              <w:rPr>
                <w:i/>
                <w:iCs/>
                <w:noProof/>
                <w:sz w:val="18"/>
                <w:szCs w:val="18"/>
                <w:lang w:val="fr-BE" w:eastAsia="fr-BE"/>
              </w:rPr>
              <w:t>0,0</w:t>
            </w:r>
          </w:p>
        </w:tc>
        <w:tc>
          <w:tcPr>
            <w:tcW w:w="875" w:type="dxa"/>
            <w:tcBorders>
              <w:top w:val="nil"/>
              <w:left w:val="nil"/>
              <w:bottom w:val="single" w:sz="4" w:space="0" w:color="auto"/>
              <w:right w:val="single" w:sz="4" w:space="0" w:color="auto"/>
            </w:tcBorders>
            <w:shd w:val="clear" w:color="auto" w:fill="auto"/>
            <w:noWrap/>
            <w:vAlign w:val="bottom"/>
            <w:hideMark/>
          </w:tcPr>
          <w:p>
            <w:pPr>
              <w:spacing w:before="0" w:after="0"/>
              <w:jc w:val="left"/>
              <w:rPr>
                <w:i/>
                <w:iCs/>
                <w:noProof/>
                <w:sz w:val="18"/>
                <w:szCs w:val="18"/>
                <w:lang w:val="fr-BE" w:eastAsia="fr-BE"/>
              </w:rPr>
            </w:pPr>
            <w:r>
              <w:rPr>
                <w:i/>
                <w:iCs/>
                <w:noProof/>
                <w:sz w:val="18"/>
                <w:szCs w:val="18"/>
                <w:lang w:val="fr-BE" w:eastAsia="fr-BE"/>
              </w:rPr>
              <w:t> </w:t>
            </w:r>
          </w:p>
        </w:tc>
        <w:tc>
          <w:tcPr>
            <w:tcW w:w="858" w:type="dxa"/>
            <w:tcBorders>
              <w:top w:val="nil"/>
              <w:left w:val="nil"/>
              <w:bottom w:val="single" w:sz="4" w:space="0" w:color="auto"/>
              <w:right w:val="single" w:sz="4" w:space="0" w:color="auto"/>
            </w:tcBorders>
            <w:shd w:val="clear" w:color="auto" w:fill="auto"/>
            <w:noWrap/>
            <w:vAlign w:val="bottom"/>
            <w:hideMark/>
          </w:tcPr>
          <w:p>
            <w:pPr>
              <w:spacing w:before="0" w:after="0"/>
              <w:jc w:val="right"/>
              <w:rPr>
                <w:b/>
                <w:bCs/>
                <w:i/>
                <w:iCs/>
                <w:noProof/>
                <w:sz w:val="18"/>
                <w:szCs w:val="18"/>
                <w:lang w:val="fr-BE" w:eastAsia="fr-BE"/>
              </w:rPr>
            </w:pPr>
            <w:r>
              <w:rPr>
                <w:b/>
                <w:bCs/>
                <w:i/>
                <w:iCs/>
                <w:noProof/>
                <w:sz w:val="18"/>
                <w:szCs w:val="18"/>
                <w:lang w:val="fr-BE" w:eastAsia="fr-BE"/>
              </w:rPr>
              <w:t>0,0</w:t>
            </w:r>
          </w:p>
        </w:tc>
      </w:tr>
    </w:tbl>
    <w:p>
      <w:pPr>
        <w:pStyle w:val="ManualHeading2"/>
        <w:ind w:left="0" w:firstLine="0"/>
        <w:rPr>
          <w:noProof/>
        </w:rPr>
      </w:pPr>
      <w:bookmarkStart w:id="6" w:name="_Toc360453134"/>
      <w:r>
        <w:rPr>
          <w:noProof/>
        </w:rPr>
        <w:t>3.2.</w:t>
      </w:r>
      <w:r>
        <w:rPr>
          <w:noProof/>
        </w:rPr>
        <w:tab/>
        <w:t>European Union Solidarity Fund</w:t>
      </w:r>
      <w:bookmarkEnd w:id="6"/>
      <w:r>
        <w:rPr>
          <w:noProof/>
        </w:rPr>
        <w:t xml:space="preserve"> (EUSF)</w:t>
      </w:r>
    </w:p>
    <w:p>
      <w:pPr>
        <w:pStyle w:val="Text1"/>
        <w:rPr>
          <w:noProof/>
        </w:rPr>
      </w:pPr>
      <w:r>
        <w:rPr>
          <w:noProof/>
        </w:rPr>
        <w:t xml:space="preserve">According to Article 10 of the MFF Regulation, the </w:t>
      </w:r>
      <w:r>
        <w:rPr>
          <w:i/>
          <w:noProof/>
        </w:rPr>
        <w:t>EU Solidarity Fund</w:t>
      </w:r>
      <w:r>
        <w:rPr>
          <w:noProof/>
        </w:rPr>
        <w:t xml:space="preserve"> can be mobilised up to a maximum amount of EUR 500 million per year in 2011 prices, or EUR 597,5 million in 2020 at current prices (EUR 3 944,7 million for the whole period in current prices). The portion of the unused amount of the previous year can be carried over to the following year. The carry-over from 2019 to 2020 amounted to EUR 553,0 million. No amount lapsed at the end of 2019.</w:t>
      </w:r>
    </w:p>
    <w:p>
      <w:pPr>
        <w:pStyle w:val="Text1"/>
        <w:rPr>
          <w:noProof/>
        </w:rPr>
      </w:pPr>
      <w:r>
        <w:rPr>
          <w:noProof/>
        </w:rPr>
        <w:t>The table below shows the details of the annual availabities and usage of the EUSF since 2014:</w:t>
      </w:r>
    </w:p>
    <w:tbl>
      <w:tblPr>
        <w:tblW w:w="9511" w:type="dxa"/>
        <w:jc w:val="center"/>
        <w:tblCellMar>
          <w:left w:w="70" w:type="dxa"/>
          <w:right w:w="70" w:type="dxa"/>
        </w:tblCellMar>
        <w:tblLook w:val="04A0" w:firstRow="1" w:lastRow="0" w:firstColumn="1" w:lastColumn="0" w:noHBand="0" w:noVBand="1"/>
      </w:tblPr>
      <w:tblGrid>
        <w:gridCol w:w="2712"/>
        <w:gridCol w:w="850"/>
        <w:gridCol w:w="930"/>
        <w:gridCol w:w="850"/>
        <w:gridCol w:w="822"/>
        <w:gridCol w:w="850"/>
        <w:gridCol w:w="851"/>
        <w:gridCol w:w="850"/>
        <w:gridCol w:w="796"/>
      </w:tblGrid>
      <w:tr>
        <w:trPr>
          <w:trHeight w:val="240"/>
          <w:jc w:val="center"/>
        </w:trPr>
        <w:tc>
          <w:tcPr>
            <w:tcW w:w="9511"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before="0" w:after="0"/>
              <w:jc w:val="center"/>
              <w:rPr>
                <w:b/>
                <w:bCs/>
                <w:noProof/>
                <w:sz w:val="18"/>
                <w:szCs w:val="18"/>
                <w:lang w:val="fr-BE" w:eastAsia="fr-BE"/>
              </w:rPr>
            </w:pPr>
            <w:r>
              <w:rPr>
                <w:b/>
                <w:bCs/>
                <w:noProof/>
                <w:sz w:val="18"/>
                <w:szCs w:val="18"/>
                <w:lang w:val="fr-BE" w:eastAsia="fr-BE"/>
              </w:rPr>
              <w:t>European Union Solidarity Fund</w:t>
            </w:r>
          </w:p>
        </w:tc>
      </w:tr>
      <w:tr>
        <w:trPr>
          <w:trHeight w:val="240"/>
          <w:jc w:val="center"/>
        </w:trPr>
        <w:tc>
          <w:tcPr>
            <w:tcW w:w="9511"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before="0" w:after="0"/>
              <w:jc w:val="right"/>
              <w:rPr>
                <w:i/>
                <w:iCs/>
                <w:noProof/>
                <w:sz w:val="18"/>
                <w:szCs w:val="18"/>
                <w:lang w:val="fr-BE" w:eastAsia="fr-BE"/>
              </w:rPr>
            </w:pPr>
            <w:r>
              <w:rPr>
                <w:i/>
                <w:iCs/>
                <w:noProof/>
                <w:sz w:val="18"/>
                <w:szCs w:val="18"/>
                <w:lang w:val="fr-BE" w:eastAsia="fr-BE"/>
              </w:rPr>
              <w:t>EUR million</w:t>
            </w:r>
          </w:p>
        </w:tc>
      </w:tr>
      <w:tr>
        <w:trPr>
          <w:trHeight w:val="240"/>
          <w:jc w:val="center"/>
        </w:trPr>
        <w:tc>
          <w:tcPr>
            <w:tcW w:w="2712"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lang w:val="fr-BE" w:eastAsia="fr-BE"/>
              </w:rPr>
            </w:pPr>
            <w:r>
              <w:rPr>
                <w:noProof/>
                <w:sz w:val="18"/>
                <w:szCs w:val="18"/>
                <w:lang w:val="fr-BE"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2014</w:t>
            </w:r>
          </w:p>
        </w:tc>
        <w:tc>
          <w:tcPr>
            <w:tcW w:w="930"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2015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2016</w:t>
            </w:r>
          </w:p>
        </w:tc>
        <w:tc>
          <w:tcPr>
            <w:tcW w:w="822"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2017</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2018</w:t>
            </w:r>
          </w:p>
        </w:tc>
        <w:tc>
          <w:tcPr>
            <w:tcW w:w="851"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2019</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2020</w:t>
            </w:r>
          </w:p>
        </w:tc>
        <w:tc>
          <w:tcPr>
            <w:tcW w:w="796" w:type="dxa"/>
            <w:tcBorders>
              <w:top w:val="nil"/>
              <w:left w:val="nil"/>
              <w:bottom w:val="single" w:sz="4" w:space="0" w:color="auto"/>
              <w:right w:val="single" w:sz="4" w:space="0" w:color="auto"/>
            </w:tcBorders>
            <w:shd w:val="clear" w:color="auto" w:fill="auto"/>
            <w:noWrap/>
            <w:vAlign w:val="bottom"/>
            <w:hideMark/>
          </w:tcPr>
          <w:p>
            <w:pPr>
              <w:spacing w:before="0" w:after="0"/>
              <w:jc w:val="center"/>
              <w:rPr>
                <w:b/>
                <w:bCs/>
                <w:noProof/>
                <w:sz w:val="18"/>
                <w:szCs w:val="18"/>
                <w:lang w:val="fr-BE" w:eastAsia="fr-BE"/>
              </w:rPr>
            </w:pPr>
            <w:r>
              <w:rPr>
                <w:b/>
                <w:bCs/>
                <w:noProof/>
                <w:sz w:val="18"/>
                <w:szCs w:val="18"/>
                <w:lang w:val="fr-BE" w:eastAsia="fr-BE"/>
              </w:rPr>
              <w:t>Total</w:t>
            </w:r>
          </w:p>
        </w:tc>
      </w:tr>
      <w:tr>
        <w:trPr>
          <w:trHeight w:val="240"/>
          <w:jc w:val="center"/>
        </w:trPr>
        <w:tc>
          <w:tcPr>
            <w:tcW w:w="2712"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lang w:val="fr-BE" w:eastAsia="fr-BE"/>
              </w:rPr>
            </w:pPr>
            <w:r>
              <w:rPr>
                <w:noProof/>
                <w:sz w:val="18"/>
                <w:szCs w:val="18"/>
                <w:lang w:val="fr-BE" w:eastAsia="fr-BE"/>
              </w:rPr>
              <w:t>Annual amounts in 2011 prices</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500</w:t>
            </w:r>
          </w:p>
        </w:tc>
        <w:tc>
          <w:tcPr>
            <w:tcW w:w="93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500</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500</w:t>
            </w:r>
          </w:p>
        </w:tc>
        <w:tc>
          <w:tcPr>
            <w:tcW w:w="822"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500</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500</w:t>
            </w:r>
          </w:p>
        </w:tc>
        <w:tc>
          <w:tcPr>
            <w:tcW w:w="851"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500</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500</w:t>
            </w:r>
          </w:p>
        </w:tc>
        <w:tc>
          <w:tcPr>
            <w:tcW w:w="796"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lang w:val="fr-BE" w:eastAsia="fr-BE"/>
              </w:rPr>
            </w:pPr>
            <w:r>
              <w:rPr>
                <w:b/>
                <w:bCs/>
                <w:noProof/>
                <w:sz w:val="18"/>
                <w:szCs w:val="18"/>
                <w:lang w:val="fr-BE" w:eastAsia="fr-BE"/>
              </w:rPr>
              <w:t>3 500</w:t>
            </w:r>
          </w:p>
        </w:tc>
      </w:tr>
      <w:tr>
        <w:trPr>
          <w:trHeight w:val="240"/>
          <w:jc w:val="center"/>
        </w:trPr>
        <w:tc>
          <w:tcPr>
            <w:tcW w:w="2712"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lang w:val="en-US" w:eastAsia="fr-BE"/>
              </w:rPr>
            </w:pPr>
            <w:r>
              <w:rPr>
                <w:noProof/>
                <w:sz w:val="18"/>
                <w:szCs w:val="18"/>
                <w:lang w:val="en-US" w:eastAsia="fr-BE"/>
              </w:rPr>
              <w:t>Annual amounts in current prices</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530,6</w:t>
            </w:r>
          </w:p>
        </w:tc>
        <w:tc>
          <w:tcPr>
            <w:tcW w:w="93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541,2</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552,0</w:t>
            </w:r>
          </w:p>
        </w:tc>
        <w:tc>
          <w:tcPr>
            <w:tcW w:w="822"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563,1</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574,3</w:t>
            </w:r>
          </w:p>
        </w:tc>
        <w:tc>
          <w:tcPr>
            <w:tcW w:w="851"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585,8</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597,5</w:t>
            </w:r>
          </w:p>
        </w:tc>
        <w:tc>
          <w:tcPr>
            <w:tcW w:w="796"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lang w:val="fr-BE" w:eastAsia="fr-BE"/>
              </w:rPr>
            </w:pPr>
            <w:r>
              <w:rPr>
                <w:b/>
                <w:bCs/>
                <w:noProof/>
                <w:sz w:val="18"/>
                <w:szCs w:val="18"/>
                <w:lang w:val="fr-BE" w:eastAsia="fr-BE"/>
              </w:rPr>
              <w:t>3 944,7</w:t>
            </w:r>
          </w:p>
        </w:tc>
      </w:tr>
      <w:tr>
        <w:trPr>
          <w:trHeight w:val="240"/>
          <w:jc w:val="center"/>
        </w:trPr>
        <w:tc>
          <w:tcPr>
            <w:tcW w:w="2712"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lang w:val="en-US" w:eastAsia="fr-BE"/>
              </w:rPr>
            </w:pPr>
            <w:r>
              <w:rPr>
                <w:noProof/>
                <w:sz w:val="18"/>
                <w:szCs w:val="18"/>
                <w:lang w:val="en-US" w:eastAsia="fr-BE"/>
              </w:rPr>
              <w:t>Carried-over from the previous year</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0,0</w:t>
            </w:r>
          </w:p>
        </w:tc>
        <w:tc>
          <w:tcPr>
            <w:tcW w:w="93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403,9</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541,2</w:t>
            </w:r>
          </w:p>
        </w:tc>
        <w:tc>
          <w:tcPr>
            <w:tcW w:w="822"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552,0</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140,8</w:t>
            </w:r>
          </w:p>
        </w:tc>
        <w:tc>
          <w:tcPr>
            <w:tcW w:w="851"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265,3</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553,0</w:t>
            </w:r>
          </w:p>
        </w:tc>
        <w:tc>
          <w:tcPr>
            <w:tcW w:w="796" w:type="dxa"/>
            <w:tcBorders>
              <w:top w:val="nil"/>
              <w:left w:val="nil"/>
              <w:bottom w:val="nil"/>
              <w:right w:val="single" w:sz="4" w:space="0" w:color="auto"/>
            </w:tcBorders>
            <w:shd w:val="clear" w:color="auto" w:fill="auto"/>
            <w:noWrap/>
            <w:vAlign w:val="bottom"/>
            <w:hideMark/>
          </w:tcPr>
          <w:p>
            <w:pPr>
              <w:spacing w:before="0" w:after="0"/>
              <w:jc w:val="left"/>
              <w:rPr>
                <w:b/>
                <w:bCs/>
                <w:noProof/>
                <w:sz w:val="18"/>
                <w:szCs w:val="18"/>
                <w:lang w:val="fr-BE" w:eastAsia="fr-BE"/>
              </w:rPr>
            </w:pPr>
            <w:r>
              <w:rPr>
                <w:b/>
                <w:bCs/>
                <w:noProof/>
                <w:sz w:val="18"/>
                <w:szCs w:val="18"/>
                <w:lang w:val="fr-BE" w:eastAsia="fr-BE"/>
              </w:rPr>
              <w:t> </w:t>
            </w:r>
          </w:p>
        </w:tc>
      </w:tr>
      <w:tr>
        <w:trPr>
          <w:trHeight w:val="240"/>
          <w:jc w:val="center"/>
        </w:trPr>
        <w:tc>
          <w:tcPr>
            <w:tcW w:w="2712"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lang w:val="en-US" w:eastAsia="fr-BE"/>
              </w:rPr>
            </w:pPr>
            <w:r>
              <w:rPr>
                <w:noProof/>
                <w:sz w:val="18"/>
                <w:szCs w:val="18"/>
                <w:lang w:val="en-US" w:eastAsia="fr-BE"/>
              </w:rPr>
              <w:t>Frontloaded from the following year</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0,0</w:t>
            </w:r>
          </w:p>
        </w:tc>
        <w:tc>
          <w:tcPr>
            <w:tcW w:w="93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0,0</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0,0</w:t>
            </w:r>
          </w:p>
        </w:tc>
        <w:tc>
          <w:tcPr>
            <w:tcW w:w="822"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294,0</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-294,0</w:t>
            </w:r>
          </w:p>
        </w:tc>
        <w:tc>
          <w:tcPr>
            <w:tcW w:w="851"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0,0</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0,0</w:t>
            </w:r>
          </w:p>
        </w:tc>
        <w:tc>
          <w:tcPr>
            <w:tcW w:w="796" w:type="dxa"/>
            <w:tcBorders>
              <w:top w:val="nil"/>
              <w:left w:val="nil"/>
              <w:bottom w:val="nil"/>
              <w:right w:val="single" w:sz="4" w:space="0" w:color="auto"/>
            </w:tcBorders>
            <w:shd w:val="clear" w:color="auto" w:fill="auto"/>
            <w:noWrap/>
            <w:vAlign w:val="bottom"/>
            <w:hideMark/>
          </w:tcPr>
          <w:p>
            <w:pPr>
              <w:spacing w:before="0" w:after="0"/>
              <w:jc w:val="left"/>
              <w:rPr>
                <w:b/>
                <w:bCs/>
                <w:noProof/>
                <w:sz w:val="18"/>
                <w:szCs w:val="18"/>
                <w:lang w:val="fr-BE" w:eastAsia="fr-BE"/>
              </w:rPr>
            </w:pPr>
            <w:r>
              <w:rPr>
                <w:b/>
                <w:bCs/>
                <w:noProof/>
                <w:sz w:val="18"/>
                <w:szCs w:val="18"/>
                <w:lang w:val="fr-BE" w:eastAsia="fr-BE"/>
              </w:rPr>
              <w:t> </w:t>
            </w:r>
          </w:p>
        </w:tc>
      </w:tr>
      <w:tr>
        <w:trPr>
          <w:trHeight w:val="240"/>
          <w:jc w:val="center"/>
        </w:trPr>
        <w:tc>
          <w:tcPr>
            <w:tcW w:w="2712"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lang w:val="fr-BE" w:eastAsia="fr-BE"/>
              </w:rPr>
            </w:pPr>
            <w:r>
              <w:rPr>
                <w:noProof/>
                <w:sz w:val="18"/>
                <w:szCs w:val="18"/>
                <w:lang w:val="fr-BE" w:eastAsia="fr-BE"/>
              </w:rPr>
              <w:t>Annual usage</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126,7</w:t>
            </w:r>
          </w:p>
        </w:tc>
        <w:tc>
          <w:tcPr>
            <w:tcW w:w="93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82,8</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33,1</w:t>
            </w:r>
          </w:p>
        </w:tc>
        <w:tc>
          <w:tcPr>
            <w:tcW w:w="822"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1 268,3</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155,9</w:t>
            </w:r>
          </w:p>
        </w:tc>
        <w:tc>
          <w:tcPr>
            <w:tcW w:w="851"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298,1</w:t>
            </w:r>
          </w:p>
        </w:tc>
        <w:tc>
          <w:tcPr>
            <w:tcW w:w="850" w:type="dxa"/>
            <w:tcBorders>
              <w:top w:val="nil"/>
              <w:left w:val="nil"/>
              <w:bottom w:val="nil"/>
              <w:right w:val="single" w:sz="4" w:space="0" w:color="auto"/>
            </w:tcBorders>
            <w:shd w:val="clear" w:color="auto" w:fill="auto"/>
            <w:noWrap/>
            <w:vAlign w:val="bottom"/>
            <w:hideMark/>
          </w:tcPr>
          <w:p>
            <w:pPr>
              <w:spacing w:before="0" w:after="0"/>
              <w:jc w:val="left"/>
              <w:rPr>
                <w:noProof/>
                <w:sz w:val="18"/>
                <w:szCs w:val="18"/>
                <w:lang w:val="fr-BE" w:eastAsia="fr-BE"/>
              </w:rPr>
            </w:pPr>
            <w:r>
              <w:rPr>
                <w:noProof/>
                <w:sz w:val="18"/>
                <w:szCs w:val="18"/>
                <w:lang w:val="fr-BE" w:eastAsia="fr-BE"/>
              </w:rPr>
              <w:t> </w:t>
            </w:r>
          </w:p>
        </w:tc>
        <w:tc>
          <w:tcPr>
            <w:tcW w:w="796"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lang w:val="fr-BE" w:eastAsia="fr-BE"/>
              </w:rPr>
            </w:pPr>
            <w:r>
              <w:rPr>
                <w:b/>
                <w:bCs/>
                <w:noProof/>
                <w:sz w:val="18"/>
                <w:szCs w:val="18"/>
                <w:lang w:val="fr-BE" w:eastAsia="fr-BE"/>
              </w:rPr>
              <w:t>1 964,9</w:t>
            </w:r>
          </w:p>
        </w:tc>
      </w:tr>
      <w:tr>
        <w:trPr>
          <w:trHeight w:val="240"/>
          <w:jc w:val="center"/>
        </w:trPr>
        <w:tc>
          <w:tcPr>
            <w:tcW w:w="2712"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lang w:val="en-US" w:eastAsia="fr-BE"/>
              </w:rPr>
            </w:pPr>
            <w:r>
              <w:rPr>
                <w:noProof/>
                <w:sz w:val="18"/>
                <w:szCs w:val="18"/>
                <w:lang w:val="en-US" w:eastAsia="fr-BE"/>
              </w:rPr>
              <w:t>Carried-over to the following year</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403,9</w:t>
            </w:r>
          </w:p>
        </w:tc>
        <w:tc>
          <w:tcPr>
            <w:tcW w:w="93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541,2</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552,0</w:t>
            </w:r>
          </w:p>
        </w:tc>
        <w:tc>
          <w:tcPr>
            <w:tcW w:w="822"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140,8</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265,3</w:t>
            </w:r>
          </w:p>
        </w:tc>
        <w:tc>
          <w:tcPr>
            <w:tcW w:w="851"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553,0</w:t>
            </w:r>
          </w:p>
        </w:tc>
        <w:tc>
          <w:tcPr>
            <w:tcW w:w="850" w:type="dxa"/>
            <w:tcBorders>
              <w:top w:val="nil"/>
              <w:left w:val="nil"/>
              <w:bottom w:val="nil"/>
              <w:right w:val="single" w:sz="4" w:space="0" w:color="auto"/>
            </w:tcBorders>
            <w:shd w:val="clear" w:color="auto" w:fill="auto"/>
            <w:noWrap/>
            <w:vAlign w:val="bottom"/>
            <w:hideMark/>
          </w:tcPr>
          <w:p>
            <w:pPr>
              <w:spacing w:before="0" w:after="0"/>
              <w:jc w:val="left"/>
              <w:rPr>
                <w:noProof/>
                <w:sz w:val="18"/>
                <w:szCs w:val="18"/>
                <w:lang w:val="fr-BE" w:eastAsia="fr-BE"/>
              </w:rPr>
            </w:pPr>
            <w:r>
              <w:rPr>
                <w:noProof/>
                <w:sz w:val="18"/>
                <w:szCs w:val="18"/>
                <w:lang w:val="fr-BE" w:eastAsia="fr-BE"/>
              </w:rPr>
              <w:t> </w:t>
            </w:r>
          </w:p>
        </w:tc>
        <w:tc>
          <w:tcPr>
            <w:tcW w:w="796" w:type="dxa"/>
            <w:tcBorders>
              <w:top w:val="nil"/>
              <w:left w:val="nil"/>
              <w:bottom w:val="nil"/>
              <w:right w:val="single" w:sz="4" w:space="0" w:color="auto"/>
            </w:tcBorders>
            <w:shd w:val="clear" w:color="auto" w:fill="auto"/>
            <w:noWrap/>
            <w:vAlign w:val="bottom"/>
            <w:hideMark/>
          </w:tcPr>
          <w:p>
            <w:pPr>
              <w:spacing w:before="0" w:after="0"/>
              <w:jc w:val="left"/>
              <w:rPr>
                <w:b/>
                <w:bCs/>
                <w:noProof/>
                <w:sz w:val="18"/>
                <w:szCs w:val="18"/>
                <w:lang w:val="fr-BE" w:eastAsia="fr-BE"/>
              </w:rPr>
            </w:pPr>
            <w:r>
              <w:rPr>
                <w:b/>
                <w:bCs/>
                <w:noProof/>
                <w:sz w:val="18"/>
                <w:szCs w:val="18"/>
                <w:lang w:val="fr-BE" w:eastAsia="fr-BE"/>
              </w:rPr>
              <w:t> </w:t>
            </w:r>
          </w:p>
        </w:tc>
      </w:tr>
      <w:tr>
        <w:trPr>
          <w:trHeight w:val="240"/>
          <w:jc w:val="center"/>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i/>
                <w:iCs/>
                <w:noProof/>
                <w:sz w:val="18"/>
                <w:szCs w:val="18"/>
                <w:lang w:val="fr-BE" w:eastAsia="fr-BE"/>
              </w:rPr>
            </w:pPr>
            <w:r>
              <w:rPr>
                <w:i/>
                <w:iCs/>
                <w:noProof/>
                <w:sz w:val="18"/>
                <w:szCs w:val="18"/>
                <w:lang w:val="fr-BE" w:eastAsia="fr-BE"/>
              </w:rPr>
              <w:t>Lapsed</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lang w:val="fr-BE" w:eastAsia="fr-BE"/>
              </w:rPr>
            </w:pPr>
            <w:r>
              <w:rPr>
                <w:i/>
                <w:iCs/>
                <w:noProof/>
                <w:sz w:val="18"/>
                <w:szCs w:val="18"/>
                <w:lang w:val="fr-BE" w:eastAsia="fr-BE"/>
              </w:rPr>
              <w:t>0,0</w:t>
            </w:r>
          </w:p>
        </w:tc>
        <w:tc>
          <w:tcPr>
            <w:tcW w:w="930"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lang w:val="fr-BE" w:eastAsia="fr-BE"/>
              </w:rPr>
            </w:pPr>
            <w:r>
              <w:rPr>
                <w:i/>
                <w:iCs/>
                <w:noProof/>
                <w:sz w:val="18"/>
                <w:szCs w:val="18"/>
                <w:lang w:val="fr-BE" w:eastAsia="fr-BE"/>
              </w:rPr>
              <w:t>321,1</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lang w:val="fr-BE" w:eastAsia="fr-BE"/>
              </w:rPr>
            </w:pPr>
            <w:r>
              <w:rPr>
                <w:i/>
                <w:iCs/>
                <w:noProof/>
                <w:sz w:val="18"/>
                <w:szCs w:val="18"/>
                <w:lang w:val="fr-BE" w:eastAsia="fr-BE"/>
              </w:rPr>
              <w:t>508,1</w:t>
            </w:r>
          </w:p>
        </w:tc>
        <w:tc>
          <w:tcPr>
            <w:tcW w:w="822"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lang w:val="fr-BE" w:eastAsia="fr-BE"/>
              </w:rPr>
            </w:pPr>
            <w:r>
              <w:rPr>
                <w:i/>
                <w:iCs/>
                <w:noProof/>
                <w:sz w:val="18"/>
                <w:szCs w:val="18"/>
                <w:lang w:val="fr-BE" w:eastAsia="fr-BE"/>
              </w:rPr>
              <w:t>0,0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lang w:val="fr-BE" w:eastAsia="fr-BE"/>
              </w:rPr>
            </w:pPr>
            <w:r>
              <w:rPr>
                <w:i/>
                <w:iCs/>
                <w:noProof/>
                <w:sz w:val="18"/>
                <w:szCs w:val="18"/>
                <w:lang w:val="fr-BE" w:eastAsia="fr-BE"/>
              </w:rPr>
              <w:t>0,0</w:t>
            </w:r>
          </w:p>
        </w:tc>
        <w:tc>
          <w:tcPr>
            <w:tcW w:w="851"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lang w:val="fr-BE" w:eastAsia="fr-BE"/>
              </w:rPr>
            </w:pPr>
            <w:r>
              <w:rPr>
                <w:i/>
                <w:iCs/>
                <w:noProof/>
                <w:sz w:val="18"/>
                <w:szCs w:val="18"/>
                <w:lang w:val="fr-BE" w:eastAsia="fr-BE"/>
              </w:rPr>
              <w:t>0,0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jc w:val="left"/>
              <w:rPr>
                <w:i/>
                <w:iCs/>
                <w:noProof/>
                <w:sz w:val="18"/>
                <w:szCs w:val="18"/>
                <w:lang w:val="fr-BE" w:eastAsia="fr-BE"/>
              </w:rPr>
            </w:pPr>
            <w:r>
              <w:rPr>
                <w:i/>
                <w:iCs/>
                <w:noProof/>
                <w:sz w:val="18"/>
                <w:szCs w:val="18"/>
                <w:lang w:val="fr-BE" w:eastAsia="fr-BE"/>
              </w:rPr>
              <w:t> </w:t>
            </w:r>
          </w:p>
        </w:tc>
        <w:tc>
          <w:tcPr>
            <w:tcW w:w="796" w:type="dxa"/>
            <w:tcBorders>
              <w:top w:val="nil"/>
              <w:left w:val="nil"/>
              <w:bottom w:val="single" w:sz="4" w:space="0" w:color="auto"/>
              <w:right w:val="single" w:sz="4" w:space="0" w:color="auto"/>
            </w:tcBorders>
            <w:shd w:val="clear" w:color="auto" w:fill="auto"/>
            <w:noWrap/>
            <w:vAlign w:val="bottom"/>
            <w:hideMark/>
          </w:tcPr>
          <w:p>
            <w:pPr>
              <w:spacing w:before="0" w:after="0"/>
              <w:jc w:val="right"/>
              <w:rPr>
                <w:b/>
                <w:bCs/>
                <w:i/>
                <w:iCs/>
                <w:noProof/>
                <w:sz w:val="18"/>
                <w:szCs w:val="18"/>
                <w:lang w:val="fr-BE" w:eastAsia="fr-BE"/>
              </w:rPr>
            </w:pPr>
            <w:r>
              <w:rPr>
                <w:b/>
                <w:bCs/>
                <w:i/>
                <w:iCs/>
                <w:noProof/>
                <w:sz w:val="18"/>
                <w:szCs w:val="18"/>
                <w:lang w:val="fr-BE" w:eastAsia="fr-BE"/>
              </w:rPr>
              <w:t>829,2</w:t>
            </w:r>
          </w:p>
        </w:tc>
      </w:tr>
    </w:tbl>
    <w:p>
      <w:pPr>
        <w:pStyle w:val="ManualHeading2"/>
        <w:rPr>
          <w:noProof/>
        </w:rPr>
      </w:pPr>
      <w:bookmarkStart w:id="7" w:name="_Toc360453135"/>
      <w:r>
        <w:rPr>
          <w:noProof/>
        </w:rPr>
        <w:t>3.3.</w:t>
      </w:r>
      <w:r>
        <w:rPr>
          <w:noProof/>
        </w:rPr>
        <w:tab/>
        <w:t>Flexibility Instrument</w:t>
      </w:r>
      <w:bookmarkEnd w:id="7"/>
    </w:p>
    <w:p>
      <w:pPr>
        <w:pStyle w:val="Text1"/>
        <w:rPr>
          <w:noProof/>
        </w:rPr>
      </w:pPr>
      <w:r>
        <w:rPr>
          <w:noProof/>
        </w:rPr>
        <w:t xml:space="preserve">According to Article 11 of the amended MFF Regulation the </w:t>
      </w:r>
      <w:r>
        <w:rPr>
          <w:i/>
          <w:noProof/>
        </w:rPr>
        <w:t xml:space="preserve">Flexibility Instrument </w:t>
      </w:r>
      <w:r>
        <w:rPr>
          <w:noProof/>
        </w:rPr>
        <w:t>can be</w:t>
      </w:r>
      <w:r>
        <w:rPr>
          <w:i/>
          <w:noProof/>
        </w:rPr>
        <w:t xml:space="preserve"> </w:t>
      </w:r>
      <w:r>
        <w:rPr>
          <w:noProof/>
        </w:rPr>
        <w:t>mobilised up to a maximum annual amount of EUR 600 million in 2011 prices, or EUR 717 million in 2020 in current prices (EUR 4 315 million for the whole period in current prices). The portion of the unused annual amounts of the previous 3 years may be carried over.</w:t>
      </w:r>
    </w:p>
    <w:p>
      <w:pPr>
        <w:pStyle w:val="Text1"/>
        <w:rPr>
          <w:noProof/>
        </w:rPr>
      </w:pPr>
      <w:r>
        <w:rPr>
          <w:noProof/>
        </w:rPr>
        <w:t xml:space="preserve">According to Article 6(1)f refering to Art 11(1) second subparagraph </w:t>
      </w:r>
      <w:r>
        <w:rPr>
          <w:i/>
          <w:noProof/>
        </w:rPr>
        <w:t>each year, starting in 2017, the annual amount available for the Flexibility Instrument shall be increased by</w:t>
      </w:r>
      <w:r>
        <w:rPr>
          <w:noProof/>
        </w:rPr>
        <w:t xml:space="preserve"> the amounts equivalent to the portion of the annual amount for the </w:t>
      </w:r>
      <w:r>
        <w:rPr>
          <w:noProof/>
        </w:rPr>
        <w:lastRenderedPageBreak/>
        <w:t xml:space="preserve">European Union Solidarity Fund and the European Globalisation Adjustment Fund which have lapsed in the previous year. </w:t>
      </w:r>
    </w:p>
    <w:p>
      <w:pPr>
        <w:pStyle w:val="Text1"/>
        <w:rPr>
          <w:noProof/>
        </w:rPr>
      </w:pPr>
      <w:r>
        <w:rPr>
          <w:noProof/>
        </w:rPr>
        <w:t>The table below shows the details of the annual availabilities and usage of the Flexibility Instrument since 2014:</w:t>
      </w:r>
    </w:p>
    <w:tbl>
      <w:tblPr>
        <w:tblW w:w="9600" w:type="dxa"/>
        <w:jc w:val="center"/>
        <w:tblCellMar>
          <w:left w:w="70" w:type="dxa"/>
          <w:right w:w="70" w:type="dxa"/>
        </w:tblCellMar>
        <w:tblLook w:val="04A0" w:firstRow="1" w:lastRow="0" w:firstColumn="1" w:lastColumn="0" w:noHBand="0" w:noVBand="1"/>
      </w:tblPr>
      <w:tblGrid>
        <w:gridCol w:w="3020"/>
        <w:gridCol w:w="889"/>
        <w:gridCol w:w="867"/>
        <w:gridCol w:w="867"/>
        <w:gridCol w:w="745"/>
        <w:gridCol w:w="756"/>
        <w:gridCol w:w="796"/>
        <w:gridCol w:w="819"/>
        <w:gridCol w:w="841"/>
      </w:tblGrid>
      <w:tr>
        <w:trPr>
          <w:trHeight w:val="240"/>
          <w:jc w:val="center"/>
        </w:trPr>
        <w:tc>
          <w:tcPr>
            <w:tcW w:w="960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before="0" w:after="0"/>
              <w:jc w:val="center"/>
              <w:rPr>
                <w:b/>
                <w:bCs/>
                <w:noProof/>
                <w:sz w:val="18"/>
                <w:szCs w:val="18"/>
                <w:lang w:val="fr-BE" w:eastAsia="fr-BE"/>
              </w:rPr>
            </w:pPr>
            <w:r>
              <w:rPr>
                <w:b/>
                <w:bCs/>
                <w:noProof/>
                <w:sz w:val="18"/>
                <w:szCs w:val="18"/>
                <w:lang w:val="fr-BE" w:eastAsia="fr-BE"/>
              </w:rPr>
              <w:t>Flexibility Instrument</w:t>
            </w:r>
          </w:p>
        </w:tc>
      </w:tr>
      <w:tr>
        <w:trPr>
          <w:trHeight w:val="104"/>
          <w:jc w:val="center"/>
        </w:trPr>
        <w:tc>
          <w:tcPr>
            <w:tcW w:w="960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before="0" w:after="0"/>
              <w:jc w:val="right"/>
              <w:rPr>
                <w:i/>
                <w:iCs/>
                <w:noProof/>
                <w:sz w:val="18"/>
                <w:szCs w:val="18"/>
                <w:lang w:val="fr-BE" w:eastAsia="fr-BE"/>
              </w:rPr>
            </w:pPr>
            <w:r>
              <w:rPr>
                <w:i/>
                <w:iCs/>
                <w:noProof/>
                <w:sz w:val="18"/>
                <w:szCs w:val="18"/>
                <w:lang w:val="fr-BE" w:eastAsia="fr-BE"/>
              </w:rPr>
              <w:t>EUR million</w:t>
            </w:r>
          </w:p>
        </w:tc>
      </w:tr>
      <w:tr>
        <w:trPr>
          <w:trHeight w:val="240"/>
          <w:jc w:val="center"/>
        </w:trPr>
        <w:tc>
          <w:tcPr>
            <w:tcW w:w="3020"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lang w:val="fr-BE" w:eastAsia="fr-BE"/>
              </w:rPr>
            </w:pPr>
            <w:r>
              <w:rPr>
                <w:noProof/>
                <w:sz w:val="18"/>
                <w:szCs w:val="18"/>
                <w:lang w:val="fr-BE" w:eastAsia="fr-BE"/>
              </w:rPr>
              <w:t> </w:t>
            </w:r>
          </w:p>
        </w:tc>
        <w:tc>
          <w:tcPr>
            <w:tcW w:w="889"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2014</w:t>
            </w:r>
          </w:p>
        </w:tc>
        <w:tc>
          <w:tcPr>
            <w:tcW w:w="867"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2015</w:t>
            </w:r>
          </w:p>
        </w:tc>
        <w:tc>
          <w:tcPr>
            <w:tcW w:w="867"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2016</w:t>
            </w:r>
          </w:p>
        </w:tc>
        <w:tc>
          <w:tcPr>
            <w:tcW w:w="745"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2017</w:t>
            </w:r>
          </w:p>
        </w:tc>
        <w:tc>
          <w:tcPr>
            <w:tcW w:w="756"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2018</w:t>
            </w:r>
          </w:p>
        </w:tc>
        <w:tc>
          <w:tcPr>
            <w:tcW w:w="796"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2019</w:t>
            </w:r>
          </w:p>
        </w:tc>
        <w:tc>
          <w:tcPr>
            <w:tcW w:w="819"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2020</w:t>
            </w:r>
          </w:p>
        </w:tc>
        <w:tc>
          <w:tcPr>
            <w:tcW w:w="841" w:type="dxa"/>
            <w:tcBorders>
              <w:top w:val="nil"/>
              <w:left w:val="nil"/>
              <w:bottom w:val="single" w:sz="4" w:space="0" w:color="auto"/>
              <w:right w:val="single" w:sz="4" w:space="0" w:color="auto"/>
            </w:tcBorders>
            <w:shd w:val="clear" w:color="auto" w:fill="auto"/>
            <w:noWrap/>
            <w:vAlign w:val="bottom"/>
            <w:hideMark/>
          </w:tcPr>
          <w:p>
            <w:pPr>
              <w:spacing w:before="0" w:after="0"/>
              <w:jc w:val="center"/>
              <w:rPr>
                <w:b/>
                <w:bCs/>
                <w:noProof/>
                <w:sz w:val="18"/>
                <w:szCs w:val="18"/>
                <w:lang w:val="fr-BE" w:eastAsia="fr-BE"/>
              </w:rPr>
            </w:pPr>
            <w:r>
              <w:rPr>
                <w:b/>
                <w:bCs/>
                <w:noProof/>
                <w:sz w:val="18"/>
                <w:szCs w:val="18"/>
                <w:lang w:val="fr-BE" w:eastAsia="fr-BE"/>
              </w:rPr>
              <w:t>Total</w:t>
            </w:r>
          </w:p>
        </w:tc>
      </w:tr>
      <w:tr>
        <w:trPr>
          <w:trHeight w:val="240"/>
          <w:jc w:val="center"/>
        </w:trPr>
        <w:tc>
          <w:tcPr>
            <w:tcW w:w="3020"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lang w:val="fr-BE" w:eastAsia="fr-BE"/>
              </w:rPr>
            </w:pPr>
            <w:r>
              <w:rPr>
                <w:noProof/>
                <w:sz w:val="18"/>
                <w:szCs w:val="18"/>
                <w:lang w:val="fr-BE" w:eastAsia="fr-BE"/>
              </w:rPr>
              <w:t>Annual amounts in 2011 prices</w:t>
            </w:r>
          </w:p>
        </w:tc>
        <w:tc>
          <w:tcPr>
            <w:tcW w:w="88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471</w:t>
            </w:r>
          </w:p>
        </w:tc>
        <w:tc>
          <w:tcPr>
            <w:tcW w:w="86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471</w:t>
            </w:r>
          </w:p>
        </w:tc>
        <w:tc>
          <w:tcPr>
            <w:tcW w:w="86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471</w:t>
            </w:r>
          </w:p>
        </w:tc>
        <w:tc>
          <w:tcPr>
            <w:tcW w:w="74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600</w:t>
            </w:r>
          </w:p>
        </w:tc>
        <w:tc>
          <w:tcPr>
            <w:tcW w:w="75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600</w:t>
            </w:r>
          </w:p>
        </w:tc>
        <w:tc>
          <w:tcPr>
            <w:tcW w:w="79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600</w:t>
            </w:r>
          </w:p>
        </w:tc>
        <w:tc>
          <w:tcPr>
            <w:tcW w:w="81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600</w:t>
            </w:r>
          </w:p>
        </w:tc>
        <w:tc>
          <w:tcPr>
            <w:tcW w:w="841"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lang w:val="fr-BE" w:eastAsia="fr-BE"/>
              </w:rPr>
            </w:pPr>
            <w:r>
              <w:rPr>
                <w:b/>
                <w:bCs/>
                <w:noProof/>
                <w:sz w:val="18"/>
                <w:szCs w:val="18"/>
                <w:lang w:val="fr-BE" w:eastAsia="fr-BE"/>
              </w:rPr>
              <w:t>3 813</w:t>
            </w:r>
          </w:p>
        </w:tc>
      </w:tr>
      <w:tr>
        <w:trPr>
          <w:trHeight w:val="240"/>
          <w:jc w:val="center"/>
        </w:trPr>
        <w:tc>
          <w:tcPr>
            <w:tcW w:w="3020"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lang w:val="en-US" w:eastAsia="fr-BE"/>
              </w:rPr>
            </w:pPr>
            <w:r>
              <w:rPr>
                <w:noProof/>
                <w:sz w:val="18"/>
                <w:szCs w:val="18"/>
                <w:lang w:val="en-US" w:eastAsia="fr-BE"/>
              </w:rPr>
              <w:t>Annual amounts in current prices</w:t>
            </w:r>
          </w:p>
        </w:tc>
        <w:tc>
          <w:tcPr>
            <w:tcW w:w="88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500</w:t>
            </w:r>
          </w:p>
        </w:tc>
        <w:tc>
          <w:tcPr>
            <w:tcW w:w="86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510</w:t>
            </w:r>
          </w:p>
        </w:tc>
        <w:tc>
          <w:tcPr>
            <w:tcW w:w="86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520</w:t>
            </w:r>
          </w:p>
        </w:tc>
        <w:tc>
          <w:tcPr>
            <w:tcW w:w="74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676</w:t>
            </w:r>
          </w:p>
        </w:tc>
        <w:tc>
          <w:tcPr>
            <w:tcW w:w="75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689</w:t>
            </w:r>
          </w:p>
        </w:tc>
        <w:tc>
          <w:tcPr>
            <w:tcW w:w="79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703</w:t>
            </w:r>
          </w:p>
        </w:tc>
        <w:tc>
          <w:tcPr>
            <w:tcW w:w="81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717</w:t>
            </w:r>
          </w:p>
        </w:tc>
        <w:tc>
          <w:tcPr>
            <w:tcW w:w="841"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lang w:val="fr-BE" w:eastAsia="fr-BE"/>
              </w:rPr>
            </w:pPr>
            <w:r>
              <w:rPr>
                <w:b/>
                <w:bCs/>
                <w:noProof/>
                <w:sz w:val="18"/>
                <w:szCs w:val="18"/>
                <w:lang w:val="fr-BE" w:eastAsia="fr-BE"/>
              </w:rPr>
              <w:t>4 315</w:t>
            </w:r>
          </w:p>
        </w:tc>
      </w:tr>
      <w:tr>
        <w:trPr>
          <w:trHeight w:val="240"/>
          <w:jc w:val="center"/>
        </w:trPr>
        <w:tc>
          <w:tcPr>
            <w:tcW w:w="3020"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lang w:val="en-US" w:eastAsia="fr-BE"/>
              </w:rPr>
            </w:pPr>
            <w:r>
              <w:rPr>
                <w:noProof/>
                <w:sz w:val="18"/>
                <w:szCs w:val="18"/>
                <w:lang w:val="en-US" w:eastAsia="fr-BE"/>
              </w:rPr>
              <w:t>Carried-over from the previous year</w:t>
            </w:r>
          </w:p>
        </w:tc>
        <w:tc>
          <w:tcPr>
            <w:tcW w:w="88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276,0</w:t>
            </w:r>
          </w:p>
        </w:tc>
        <w:tc>
          <w:tcPr>
            <w:tcW w:w="86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686,7</w:t>
            </w:r>
          </w:p>
        </w:tc>
        <w:tc>
          <w:tcPr>
            <w:tcW w:w="86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1010,0</w:t>
            </w:r>
          </w:p>
        </w:tc>
        <w:tc>
          <w:tcPr>
            <w:tcW w:w="74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0,0</w:t>
            </w:r>
          </w:p>
        </w:tc>
        <w:tc>
          <w:tcPr>
            <w:tcW w:w="75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517,0</w:t>
            </w:r>
          </w:p>
        </w:tc>
        <w:tc>
          <w:tcPr>
            <w:tcW w:w="79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519,8</w:t>
            </w:r>
          </w:p>
        </w:tc>
        <w:tc>
          <w:tcPr>
            <w:tcW w:w="81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202,4</w:t>
            </w:r>
          </w:p>
        </w:tc>
        <w:tc>
          <w:tcPr>
            <w:tcW w:w="841" w:type="dxa"/>
            <w:tcBorders>
              <w:top w:val="nil"/>
              <w:left w:val="nil"/>
              <w:bottom w:val="nil"/>
              <w:right w:val="single" w:sz="4" w:space="0" w:color="auto"/>
            </w:tcBorders>
            <w:shd w:val="clear" w:color="auto" w:fill="auto"/>
            <w:noWrap/>
            <w:vAlign w:val="bottom"/>
            <w:hideMark/>
          </w:tcPr>
          <w:p>
            <w:pPr>
              <w:spacing w:before="0" w:after="0"/>
              <w:jc w:val="left"/>
              <w:rPr>
                <w:b/>
                <w:bCs/>
                <w:noProof/>
                <w:sz w:val="18"/>
                <w:szCs w:val="18"/>
                <w:lang w:val="fr-BE" w:eastAsia="fr-BE"/>
              </w:rPr>
            </w:pPr>
            <w:r>
              <w:rPr>
                <w:b/>
                <w:bCs/>
                <w:noProof/>
                <w:sz w:val="18"/>
                <w:szCs w:val="18"/>
                <w:lang w:val="fr-BE" w:eastAsia="fr-BE"/>
              </w:rPr>
              <w:t> </w:t>
            </w:r>
          </w:p>
        </w:tc>
      </w:tr>
      <w:tr>
        <w:trPr>
          <w:trHeight w:val="240"/>
          <w:jc w:val="center"/>
        </w:trPr>
        <w:tc>
          <w:tcPr>
            <w:tcW w:w="3020" w:type="dxa"/>
            <w:tcBorders>
              <w:top w:val="nil"/>
              <w:left w:val="single" w:sz="4" w:space="0" w:color="auto"/>
              <w:bottom w:val="nil"/>
              <w:right w:val="single" w:sz="4" w:space="0" w:color="auto"/>
            </w:tcBorders>
            <w:shd w:val="clear" w:color="auto" w:fill="auto"/>
            <w:noWrap/>
            <w:vAlign w:val="bottom"/>
            <w:hideMark/>
          </w:tcPr>
          <w:p>
            <w:pPr>
              <w:spacing w:before="0" w:after="0"/>
              <w:jc w:val="left"/>
              <w:rPr>
                <w:i/>
                <w:iCs/>
                <w:noProof/>
                <w:sz w:val="18"/>
                <w:szCs w:val="18"/>
                <w:lang w:val="en-US" w:eastAsia="fr-BE"/>
              </w:rPr>
            </w:pPr>
            <w:r>
              <w:rPr>
                <w:i/>
                <w:iCs/>
                <w:noProof/>
                <w:sz w:val="18"/>
                <w:szCs w:val="18"/>
                <w:lang w:val="en-US" w:eastAsia="fr-BE"/>
              </w:rPr>
              <w:t>Increased with lapsed amount of EGF</w:t>
            </w:r>
          </w:p>
        </w:tc>
        <w:tc>
          <w:tcPr>
            <w:tcW w:w="889" w:type="dxa"/>
            <w:tcBorders>
              <w:top w:val="nil"/>
              <w:left w:val="nil"/>
              <w:bottom w:val="nil"/>
              <w:right w:val="single" w:sz="4" w:space="0" w:color="auto"/>
            </w:tcBorders>
            <w:shd w:val="clear" w:color="000000" w:fill="D9D9D9"/>
            <w:noWrap/>
            <w:vAlign w:val="bottom"/>
            <w:hideMark/>
          </w:tcPr>
          <w:p>
            <w:pPr>
              <w:spacing w:before="0" w:after="0"/>
              <w:jc w:val="left"/>
              <w:rPr>
                <w:i/>
                <w:iCs/>
                <w:noProof/>
                <w:sz w:val="18"/>
                <w:szCs w:val="18"/>
                <w:lang w:val="en-US" w:eastAsia="fr-BE"/>
              </w:rPr>
            </w:pPr>
            <w:r>
              <w:rPr>
                <w:i/>
                <w:iCs/>
                <w:noProof/>
                <w:sz w:val="18"/>
                <w:szCs w:val="18"/>
                <w:lang w:val="en-US" w:eastAsia="fr-BE"/>
              </w:rPr>
              <w:t> </w:t>
            </w:r>
          </w:p>
        </w:tc>
        <w:tc>
          <w:tcPr>
            <w:tcW w:w="867" w:type="dxa"/>
            <w:tcBorders>
              <w:top w:val="nil"/>
              <w:left w:val="nil"/>
              <w:bottom w:val="nil"/>
              <w:right w:val="single" w:sz="4" w:space="0" w:color="auto"/>
            </w:tcBorders>
            <w:shd w:val="clear" w:color="000000" w:fill="D9D9D9"/>
            <w:noWrap/>
            <w:vAlign w:val="bottom"/>
            <w:hideMark/>
          </w:tcPr>
          <w:p>
            <w:pPr>
              <w:spacing w:before="0" w:after="0"/>
              <w:jc w:val="left"/>
              <w:rPr>
                <w:i/>
                <w:iCs/>
                <w:noProof/>
                <w:sz w:val="18"/>
                <w:szCs w:val="18"/>
                <w:lang w:val="en-US" w:eastAsia="fr-BE"/>
              </w:rPr>
            </w:pPr>
            <w:r>
              <w:rPr>
                <w:i/>
                <w:iCs/>
                <w:noProof/>
                <w:sz w:val="18"/>
                <w:szCs w:val="18"/>
                <w:lang w:val="en-US" w:eastAsia="fr-BE"/>
              </w:rPr>
              <w:t> </w:t>
            </w:r>
          </w:p>
        </w:tc>
        <w:tc>
          <w:tcPr>
            <w:tcW w:w="867" w:type="dxa"/>
            <w:tcBorders>
              <w:top w:val="nil"/>
              <w:left w:val="nil"/>
              <w:bottom w:val="nil"/>
              <w:right w:val="single" w:sz="4" w:space="0" w:color="auto"/>
            </w:tcBorders>
            <w:shd w:val="clear" w:color="000000" w:fill="D9D9D9"/>
            <w:noWrap/>
            <w:vAlign w:val="bottom"/>
            <w:hideMark/>
          </w:tcPr>
          <w:p>
            <w:pPr>
              <w:spacing w:before="0" w:after="0"/>
              <w:jc w:val="left"/>
              <w:rPr>
                <w:i/>
                <w:iCs/>
                <w:noProof/>
                <w:sz w:val="18"/>
                <w:szCs w:val="18"/>
                <w:lang w:val="en-US" w:eastAsia="fr-BE"/>
              </w:rPr>
            </w:pPr>
            <w:r>
              <w:rPr>
                <w:i/>
                <w:iCs/>
                <w:noProof/>
                <w:sz w:val="18"/>
                <w:szCs w:val="18"/>
                <w:lang w:val="en-US" w:eastAsia="fr-BE"/>
              </w:rPr>
              <w:t> </w:t>
            </w:r>
          </w:p>
        </w:tc>
        <w:tc>
          <w:tcPr>
            <w:tcW w:w="745" w:type="dxa"/>
            <w:tcBorders>
              <w:top w:val="nil"/>
              <w:left w:val="nil"/>
              <w:bottom w:val="nil"/>
              <w:right w:val="single" w:sz="4" w:space="0" w:color="auto"/>
            </w:tcBorders>
            <w:shd w:val="clear" w:color="auto" w:fill="auto"/>
            <w:noWrap/>
            <w:vAlign w:val="bottom"/>
            <w:hideMark/>
          </w:tcPr>
          <w:p>
            <w:pPr>
              <w:spacing w:before="0" w:after="0"/>
              <w:jc w:val="right"/>
              <w:rPr>
                <w:i/>
                <w:iCs/>
                <w:noProof/>
                <w:sz w:val="18"/>
                <w:szCs w:val="18"/>
                <w:lang w:val="fr-BE" w:eastAsia="fr-BE"/>
              </w:rPr>
            </w:pPr>
            <w:r>
              <w:rPr>
                <w:i/>
                <w:iCs/>
                <w:noProof/>
                <w:sz w:val="18"/>
                <w:szCs w:val="18"/>
                <w:lang w:val="fr-BE" w:eastAsia="fr-BE"/>
              </w:rPr>
              <w:t>138</w:t>
            </w:r>
          </w:p>
        </w:tc>
        <w:tc>
          <w:tcPr>
            <w:tcW w:w="756" w:type="dxa"/>
            <w:tcBorders>
              <w:top w:val="nil"/>
              <w:left w:val="nil"/>
              <w:bottom w:val="nil"/>
              <w:right w:val="single" w:sz="4" w:space="0" w:color="auto"/>
            </w:tcBorders>
            <w:shd w:val="clear" w:color="auto" w:fill="auto"/>
            <w:noWrap/>
            <w:vAlign w:val="bottom"/>
            <w:hideMark/>
          </w:tcPr>
          <w:p>
            <w:pPr>
              <w:spacing w:before="0" w:after="0"/>
              <w:jc w:val="right"/>
              <w:rPr>
                <w:i/>
                <w:iCs/>
                <w:noProof/>
                <w:sz w:val="18"/>
                <w:szCs w:val="18"/>
                <w:lang w:val="fr-BE" w:eastAsia="fr-BE"/>
              </w:rPr>
            </w:pPr>
            <w:r>
              <w:rPr>
                <w:i/>
                <w:iCs/>
                <w:noProof/>
                <w:sz w:val="18"/>
                <w:szCs w:val="18"/>
                <w:lang w:val="fr-BE" w:eastAsia="fr-BE"/>
              </w:rPr>
              <w:t>151</w:t>
            </w:r>
          </w:p>
        </w:tc>
        <w:tc>
          <w:tcPr>
            <w:tcW w:w="796" w:type="dxa"/>
            <w:tcBorders>
              <w:top w:val="nil"/>
              <w:left w:val="nil"/>
              <w:bottom w:val="nil"/>
              <w:right w:val="single" w:sz="4" w:space="0" w:color="auto"/>
            </w:tcBorders>
            <w:shd w:val="clear" w:color="auto" w:fill="auto"/>
            <w:noWrap/>
            <w:vAlign w:val="bottom"/>
            <w:hideMark/>
          </w:tcPr>
          <w:p>
            <w:pPr>
              <w:spacing w:before="0" w:after="0"/>
              <w:jc w:val="right"/>
              <w:rPr>
                <w:i/>
                <w:iCs/>
                <w:noProof/>
                <w:sz w:val="18"/>
                <w:szCs w:val="18"/>
                <w:lang w:val="fr-BE" w:eastAsia="fr-BE"/>
              </w:rPr>
            </w:pPr>
            <w:r>
              <w:rPr>
                <w:i/>
                <w:iCs/>
                <w:noProof/>
                <w:sz w:val="18"/>
                <w:szCs w:val="18"/>
                <w:lang w:val="fr-BE" w:eastAsia="fr-BE"/>
              </w:rPr>
              <w:t>144</w:t>
            </w:r>
          </w:p>
        </w:tc>
        <w:tc>
          <w:tcPr>
            <w:tcW w:w="819" w:type="dxa"/>
            <w:tcBorders>
              <w:top w:val="nil"/>
              <w:left w:val="nil"/>
              <w:bottom w:val="nil"/>
              <w:right w:val="single" w:sz="4" w:space="0" w:color="auto"/>
            </w:tcBorders>
            <w:shd w:val="clear" w:color="auto" w:fill="auto"/>
            <w:noWrap/>
            <w:vAlign w:val="bottom"/>
            <w:hideMark/>
          </w:tcPr>
          <w:p>
            <w:pPr>
              <w:spacing w:before="0" w:after="0"/>
              <w:jc w:val="right"/>
              <w:rPr>
                <w:i/>
                <w:iCs/>
                <w:noProof/>
                <w:sz w:val="18"/>
                <w:szCs w:val="18"/>
                <w:lang w:val="fr-BE" w:eastAsia="fr-BE"/>
              </w:rPr>
            </w:pPr>
            <w:r>
              <w:rPr>
                <w:i/>
                <w:iCs/>
                <w:noProof/>
                <w:sz w:val="18"/>
                <w:szCs w:val="18"/>
                <w:lang w:val="fr-BE" w:eastAsia="fr-BE"/>
              </w:rPr>
              <w:t>175</w:t>
            </w:r>
          </w:p>
        </w:tc>
        <w:tc>
          <w:tcPr>
            <w:tcW w:w="841" w:type="dxa"/>
            <w:tcBorders>
              <w:top w:val="nil"/>
              <w:left w:val="nil"/>
              <w:bottom w:val="nil"/>
              <w:right w:val="single" w:sz="4" w:space="0" w:color="auto"/>
            </w:tcBorders>
            <w:shd w:val="clear" w:color="auto" w:fill="auto"/>
            <w:noWrap/>
            <w:vAlign w:val="bottom"/>
            <w:hideMark/>
          </w:tcPr>
          <w:p>
            <w:pPr>
              <w:spacing w:before="0" w:after="0"/>
              <w:jc w:val="right"/>
              <w:rPr>
                <w:b/>
                <w:bCs/>
                <w:i/>
                <w:iCs/>
                <w:noProof/>
                <w:sz w:val="18"/>
                <w:szCs w:val="18"/>
                <w:lang w:val="fr-BE" w:eastAsia="fr-BE"/>
              </w:rPr>
            </w:pPr>
            <w:r>
              <w:rPr>
                <w:b/>
                <w:bCs/>
                <w:i/>
                <w:iCs/>
                <w:noProof/>
                <w:sz w:val="18"/>
                <w:szCs w:val="18"/>
                <w:lang w:val="fr-BE" w:eastAsia="fr-BE"/>
              </w:rPr>
              <w:t>608</w:t>
            </w:r>
          </w:p>
        </w:tc>
      </w:tr>
      <w:tr>
        <w:trPr>
          <w:trHeight w:val="240"/>
          <w:jc w:val="center"/>
        </w:trPr>
        <w:tc>
          <w:tcPr>
            <w:tcW w:w="3020" w:type="dxa"/>
            <w:tcBorders>
              <w:top w:val="nil"/>
              <w:left w:val="single" w:sz="4" w:space="0" w:color="auto"/>
              <w:bottom w:val="nil"/>
              <w:right w:val="single" w:sz="4" w:space="0" w:color="auto"/>
            </w:tcBorders>
            <w:shd w:val="clear" w:color="auto" w:fill="auto"/>
            <w:noWrap/>
            <w:vAlign w:val="bottom"/>
            <w:hideMark/>
          </w:tcPr>
          <w:p>
            <w:pPr>
              <w:spacing w:before="0" w:after="0"/>
              <w:jc w:val="left"/>
              <w:rPr>
                <w:i/>
                <w:iCs/>
                <w:noProof/>
                <w:sz w:val="18"/>
                <w:szCs w:val="18"/>
                <w:lang w:val="en-US" w:eastAsia="fr-BE"/>
              </w:rPr>
            </w:pPr>
            <w:r>
              <w:rPr>
                <w:i/>
                <w:iCs/>
                <w:noProof/>
                <w:sz w:val="18"/>
                <w:szCs w:val="18"/>
                <w:lang w:val="en-US" w:eastAsia="fr-BE"/>
              </w:rPr>
              <w:t>Increased with lapsed amount of EUSF</w:t>
            </w:r>
          </w:p>
        </w:tc>
        <w:tc>
          <w:tcPr>
            <w:tcW w:w="889" w:type="dxa"/>
            <w:tcBorders>
              <w:top w:val="nil"/>
              <w:left w:val="nil"/>
              <w:bottom w:val="nil"/>
              <w:right w:val="single" w:sz="4" w:space="0" w:color="auto"/>
            </w:tcBorders>
            <w:shd w:val="clear" w:color="000000" w:fill="D9D9D9"/>
            <w:noWrap/>
            <w:vAlign w:val="bottom"/>
            <w:hideMark/>
          </w:tcPr>
          <w:p>
            <w:pPr>
              <w:spacing w:before="0" w:after="0"/>
              <w:jc w:val="left"/>
              <w:rPr>
                <w:i/>
                <w:iCs/>
                <w:noProof/>
                <w:sz w:val="18"/>
                <w:szCs w:val="18"/>
                <w:lang w:val="en-US" w:eastAsia="fr-BE"/>
              </w:rPr>
            </w:pPr>
            <w:r>
              <w:rPr>
                <w:i/>
                <w:iCs/>
                <w:noProof/>
                <w:sz w:val="18"/>
                <w:szCs w:val="18"/>
                <w:lang w:val="en-US" w:eastAsia="fr-BE"/>
              </w:rPr>
              <w:t> </w:t>
            </w:r>
          </w:p>
        </w:tc>
        <w:tc>
          <w:tcPr>
            <w:tcW w:w="867" w:type="dxa"/>
            <w:tcBorders>
              <w:top w:val="nil"/>
              <w:left w:val="nil"/>
              <w:bottom w:val="nil"/>
              <w:right w:val="single" w:sz="4" w:space="0" w:color="auto"/>
            </w:tcBorders>
            <w:shd w:val="clear" w:color="000000" w:fill="D9D9D9"/>
            <w:noWrap/>
            <w:vAlign w:val="bottom"/>
            <w:hideMark/>
          </w:tcPr>
          <w:p>
            <w:pPr>
              <w:spacing w:before="0" w:after="0"/>
              <w:jc w:val="left"/>
              <w:rPr>
                <w:i/>
                <w:iCs/>
                <w:noProof/>
                <w:sz w:val="18"/>
                <w:szCs w:val="18"/>
                <w:lang w:val="en-US" w:eastAsia="fr-BE"/>
              </w:rPr>
            </w:pPr>
            <w:r>
              <w:rPr>
                <w:i/>
                <w:iCs/>
                <w:noProof/>
                <w:sz w:val="18"/>
                <w:szCs w:val="18"/>
                <w:lang w:val="en-US" w:eastAsia="fr-BE"/>
              </w:rPr>
              <w:t> </w:t>
            </w:r>
          </w:p>
        </w:tc>
        <w:tc>
          <w:tcPr>
            <w:tcW w:w="867" w:type="dxa"/>
            <w:tcBorders>
              <w:top w:val="nil"/>
              <w:left w:val="nil"/>
              <w:bottom w:val="nil"/>
              <w:right w:val="single" w:sz="4" w:space="0" w:color="auto"/>
            </w:tcBorders>
            <w:shd w:val="clear" w:color="000000" w:fill="D9D9D9"/>
            <w:noWrap/>
            <w:vAlign w:val="bottom"/>
            <w:hideMark/>
          </w:tcPr>
          <w:p>
            <w:pPr>
              <w:spacing w:before="0" w:after="0"/>
              <w:jc w:val="left"/>
              <w:rPr>
                <w:i/>
                <w:iCs/>
                <w:noProof/>
                <w:sz w:val="18"/>
                <w:szCs w:val="18"/>
                <w:lang w:val="en-US" w:eastAsia="fr-BE"/>
              </w:rPr>
            </w:pPr>
            <w:r>
              <w:rPr>
                <w:i/>
                <w:iCs/>
                <w:noProof/>
                <w:sz w:val="18"/>
                <w:szCs w:val="18"/>
                <w:lang w:val="en-US" w:eastAsia="fr-BE"/>
              </w:rPr>
              <w:t> </w:t>
            </w:r>
          </w:p>
        </w:tc>
        <w:tc>
          <w:tcPr>
            <w:tcW w:w="745" w:type="dxa"/>
            <w:tcBorders>
              <w:top w:val="nil"/>
              <w:left w:val="nil"/>
              <w:bottom w:val="nil"/>
              <w:right w:val="single" w:sz="4" w:space="0" w:color="auto"/>
            </w:tcBorders>
            <w:shd w:val="clear" w:color="auto" w:fill="auto"/>
            <w:noWrap/>
            <w:vAlign w:val="bottom"/>
            <w:hideMark/>
          </w:tcPr>
          <w:p>
            <w:pPr>
              <w:spacing w:before="0" w:after="0"/>
              <w:jc w:val="right"/>
              <w:rPr>
                <w:i/>
                <w:iCs/>
                <w:noProof/>
                <w:sz w:val="18"/>
                <w:szCs w:val="18"/>
                <w:lang w:val="fr-BE" w:eastAsia="fr-BE"/>
              </w:rPr>
            </w:pPr>
            <w:r>
              <w:rPr>
                <w:i/>
                <w:iCs/>
                <w:noProof/>
                <w:sz w:val="18"/>
                <w:szCs w:val="18"/>
                <w:lang w:val="fr-BE" w:eastAsia="fr-BE"/>
              </w:rPr>
              <w:t>508</w:t>
            </w:r>
          </w:p>
        </w:tc>
        <w:tc>
          <w:tcPr>
            <w:tcW w:w="756" w:type="dxa"/>
            <w:tcBorders>
              <w:top w:val="nil"/>
              <w:left w:val="nil"/>
              <w:bottom w:val="nil"/>
              <w:right w:val="single" w:sz="4" w:space="0" w:color="auto"/>
            </w:tcBorders>
            <w:shd w:val="clear" w:color="auto" w:fill="auto"/>
            <w:noWrap/>
            <w:vAlign w:val="bottom"/>
            <w:hideMark/>
          </w:tcPr>
          <w:p>
            <w:pPr>
              <w:spacing w:before="0" w:after="0"/>
              <w:jc w:val="right"/>
              <w:rPr>
                <w:i/>
                <w:iCs/>
                <w:noProof/>
                <w:sz w:val="18"/>
                <w:szCs w:val="18"/>
                <w:lang w:val="fr-BE" w:eastAsia="fr-BE"/>
              </w:rPr>
            </w:pPr>
            <w:r>
              <w:rPr>
                <w:i/>
                <w:iCs/>
                <w:noProof/>
                <w:sz w:val="18"/>
                <w:szCs w:val="18"/>
                <w:lang w:val="fr-BE" w:eastAsia="fr-BE"/>
              </w:rPr>
              <w:t>0</w:t>
            </w:r>
          </w:p>
        </w:tc>
        <w:tc>
          <w:tcPr>
            <w:tcW w:w="796" w:type="dxa"/>
            <w:tcBorders>
              <w:top w:val="nil"/>
              <w:left w:val="nil"/>
              <w:bottom w:val="nil"/>
              <w:right w:val="single" w:sz="4" w:space="0" w:color="auto"/>
            </w:tcBorders>
            <w:shd w:val="clear" w:color="auto" w:fill="auto"/>
            <w:noWrap/>
            <w:vAlign w:val="bottom"/>
            <w:hideMark/>
          </w:tcPr>
          <w:p>
            <w:pPr>
              <w:spacing w:before="0" w:after="0"/>
              <w:jc w:val="right"/>
              <w:rPr>
                <w:i/>
                <w:iCs/>
                <w:noProof/>
                <w:sz w:val="18"/>
                <w:szCs w:val="18"/>
                <w:lang w:val="fr-BE" w:eastAsia="fr-BE"/>
              </w:rPr>
            </w:pPr>
            <w:r>
              <w:rPr>
                <w:i/>
                <w:iCs/>
                <w:noProof/>
                <w:sz w:val="18"/>
                <w:szCs w:val="18"/>
                <w:lang w:val="fr-BE" w:eastAsia="fr-BE"/>
              </w:rPr>
              <w:t>0</w:t>
            </w:r>
          </w:p>
        </w:tc>
        <w:tc>
          <w:tcPr>
            <w:tcW w:w="819" w:type="dxa"/>
            <w:tcBorders>
              <w:top w:val="nil"/>
              <w:left w:val="nil"/>
              <w:bottom w:val="nil"/>
              <w:right w:val="single" w:sz="4" w:space="0" w:color="auto"/>
            </w:tcBorders>
            <w:shd w:val="clear" w:color="auto" w:fill="auto"/>
            <w:noWrap/>
            <w:vAlign w:val="bottom"/>
            <w:hideMark/>
          </w:tcPr>
          <w:p>
            <w:pPr>
              <w:spacing w:before="0" w:after="0"/>
              <w:jc w:val="right"/>
              <w:rPr>
                <w:i/>
                <w:iCs/>
                <w:noProof/>
                <w:sz w:val="18"/>
                <w:szCs w:val="18"/>
                <w:lang w:val="fr-BE" w:eastAsia="fr-BE"/>
              </w:rPr>
            </w:pPr>
            <w:r>
              <w:rPr>
                <w:i/>
                <w:iCs/>
                <w:noProof/>
                <w:sz w:val="18"/>
                <w:szCs w:val="18"/>
                <w:lang w:val="fr-BE" w:eastAsia="fr-BE"/>
              </w:rPr>
              <w:t>0</w:t>
            </w:r>
          </w:p>
        </w:tc>
        <w:tc>
          <w:tcPr>
            <w:tcW w:w="841" w:type="dxa"/>
            <w:tcBorders>
              <w:top w:val="nil"/>
              <w:left w:val="nil"/>
              <w:bottom w:val="nil"/>
              <w:right w:val="single" w:sz="4" w:space="0" w:color="auto"/>
            </w:tcBorders>
            <w:shd w:val="clear" w:color="auto" w:fill="auto"/>
            <w:noWrap/>
            <w:vAlign w:val="bottom"/>
            <w:hideMark/>
          </w:tcPr>
          <w:p>
            <w:pPr>
              <w:spacing w:before="0" w:after="0"/>
              <w:jc w:val="right"/>
              <w:rPr>
                <w:b/>
                <w:bCs/>
                <w:i/>
                <w:iCs/>
                <w:noProof/>
                <w:sz w:val="18"/>
                <w:szCs w:val="18"/>
                <w:lang w:val="fr-BE" w:eastAsia="fr-BE"/>
              </w:rPr>
            </w:pPr>
            <w:r>
              <w:rPr>
                <w:b/>
                <w:bCs/>
                <w:i/>
                <w:iCs/>
                <w:noProof/>
                <w:sz w:val="18"/>
                <w:szCs w:val="18"/>
                <w:lang w:val="fr-BE" w:eastAsia="fr-BE"/>
              </w:rPr>
              <w:t>508</w:t>
            </w:r>
          </w:p>
        </w:tc>
      </w:tr>
      <w:tr>
        <w:trPr>
          <w:trHeight w:val="240"/>
          <w:jc w:val="center"/>
        </w:trPr>
        <w:tc>
          <w:tcPr>
            <w:tcW w:w="3020"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lang w:val="fr-BE" w:eastAsia="fr-BE"/>
              </w:rPr>
            </w:pPr>
            <w:r>
              <w:rPr>
                <w:noProof/>
                <w:sz w:val="18"/>
                <w:szCs w:val="18"/>
                <w:lang w:val="fr-BE" w:eastAsia="fr-BE"/>
              </w:rPr>
              <w:t>Annual usage</w:t>
            </w:r>
          </w:p>
        </w:tc>
        <w:tc>
          <w:tcPr>
            <w:tcW w:w="88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89,3</w:t>
            </w:r>
          </w:p>
        </w:tc>
        <w:tc>
          <w:tcPr>
            <w:tcW w:w="86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149,4</w:t>
            </w:r>
          </w:p>
        </w:tc>
        <w:tc>
          <w:tcPr>
            <w:tcW w:w="86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1 530,0</w:t>
            </w:r>
          </w:p>
        </w:tc>
        <w:tc>
          <w:tcPr>
            <w:tcW w:w="74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805,0</w:t>
            </w:r>
          </w:p>
        </w:tc>
        <w:tc>
          <w:tcPr>
            <w:tcW w:w="75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837,2</w:t>
            </w:r>
          </w:p>
        </w:tc>
        <w:tc>
          <w:tcPr>
            <w:tcW w:w="79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1 164,3</w:t>
            </w:r>
          </w:p>
        </w:tc>
        <w:tc>
          <w:tcPr>
            <w:tcW w:w="81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778,1</w:t>
            </w:r>
          </w:p>
        </w:tc>
        <w:tc>
          <w:tcPr>
            <w:tcW w:w="841"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lang w:val="fr-BE" w:eastAsia="fr-BE"/>
              </w:rPr>
            </w:pPr>
            <w:r>
              <w:rPr>
                <w:b/>
                <w:bCs/>
                <w:noProof/>
                <w:sz w:val="18"/>
                <w:szCs w:val="18"/>
                <w:lang w:val="fr-BE" w:eastAsia="fr-BE"/>
              </w:rPr>
              <w:t>5 353,4</w:t>
            </w:r>
          </w:p>
        </w:tc>
      </w:tr>
      <w:tr>
        <w:trPr>
          <w:trHeight w:val="240"/>
          <w:jc w:val="center"/>
        </w:trPr>
        <w:tc>
          <w:tcPr>
            <w:tcW w:w="3020"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lang w:val="en-US" w:eastAsia="fr-BE"/>
              </w:rPr>
            </w:pPr>
            <w:r>
              <w:rPr>
                <w:noProof/>
                <w:sz w:val="18"/>
                <w:szCs w:val="18"/>
                <w:lang w:val="en-US" w:eastAsia="fr-BE"/>
              </w:rPr>
              <w:t>Carried-over to the following year</w:t>
            </w:r>
          </w:p>
        </w:tc>
        <w:tc>
          <w:tcPr>
            <w:tcW w:w="88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686,7</w:t>
            </w:r>
          </w:p>
        </w:tc>
        <w:tc>
          <w:tcPr>
            <w:tcW w:w="86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1 010,0</w:t>
            </w:r>
          </w:p>
        </w:tc>
        <w:tc>
          <w:tcPr>
            <w:tcW w:w="86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0,0</w:t>
            </w:r>
          </w:p>
        </w:tc>
        <w:tc>
          <w:tcPr>
            <w:tcW w:w="74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517,0</w:t>
            </w:r>
          </w:p>
        </w:tc>
        <w:tc>
          <w:tcPr>
            <w:tcW w:w="75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519,8</w:t>
            </w:r>
          </w:p>
        </w:tc>
        <w:tc>
          <w:tcPr>
            <w:tcW w:w="79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202,4</w:t>
            </w:r>
          </w:p>
        </w:tc>
        <w:tc>
          <w:tcPr>
            <w:tcW w:w="81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0,0</w:t>
            </w:r>
          </w:p>
        </w:tc>
        <w:tc>
          <w:tcPr>
            <w:tcW w:w="841" w:type="dxa"/>
            <w:tcBorders>
              <w:top w:val="nil"/>
              <w:left w:val="nil"/>
              <w:bottom w:val="nil"/>
              <w:right w:val="single" w:sz="4" w:space="0" w:color="auto"/>
            </w:tcBorders>
            <w:shd w:val="clear" w:color="auto" w:fill="auto"/>
            <w:noWrap/>
            <w:vAlign w:val="bottom"/>
            <w:hideMark/>
          </w:tcPr>
          <w:p>
            <w:pPr>
              <w:spacing w:before="0" w:after="0"/>
              <w:jc w:val="left"/>
              <w:rPr>
                <w:b/>
                <w:bCs/>
                <w:noProof/>
                <w:sz w:val="18"/>
                <w:szCs w:val="18"/>
                <w:lang w:val="fr-BE" w:eastAsia="fr-BE"/>
              </w:rPr>
            </w:pPr>
            <w:r>
              <w:rPr>
                <w:b/>
                <w:bCs/>
                <w:noProof/>
                <w:sz w:val="18"/>
                <w:szCs w:val="18"/>
                <w:lang w:val="fr-BE" w:eastAsia="fr-BE"/>
              </w:rPr>
              <w:t> </w:t>
            </w:r>
          </w:p>
        </w:tc>
      </w:tr>
      <w:tr>
        <w:trPr>
          <w:trHeight w:val="240"/>
          <w:jc w:val="center"/>
        </w:trPr>
        <w:tc>
          <w:tcPr>
            <w:tcW w:w="3020"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lang w:val="fr-BE" w:eastAsia="fr-BE"/>
              </w:rPr>
            </w:pPr>
            <w:r>
              <w:rPr>
                <w:noProof/>
                <w:sz w:val="18"/>
                <w:szCs w:val="18"/>
                <w:lang w:val="fr-BE" w:eastAsia="fr-BE"/>
              </w:rPr>
              <w:t>Available</w:t>
            </w:r>
          </w:p>
        </w:tc>
        <w:tc>
          <w:tcPr>
            <w:tcW w:w="88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0,0</w:t>
            </w:r>
          </w:p>
        </w:tc>
        <w:tc>
          <w:tcPr>
            <w:tcW w:w="86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0,0</w:t>
            </w:r>
          </w:p>
        </w:tc>
        <w:tc>
          <w:tcPr>
            <w:tcW w:w="86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0,0</w:t>
            </w:r>
          </w:p>
        </w:tc>
        <w:tc>
          <w:tcPr>
            <w:tcW w:w="74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0,0</w:t>
            </w:r>
          </w:p>
        </w:tc>
        <w:tc>
          <w:tcPr>
            <w:tcW w:w="75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0,0</w:t>
            </w:r>
          </w:p>
        </w:tc>
        <w:tc>
          <w:tcPr>
            <w:tcW w:w="79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0,0</w:t>
            </w:r>
          </w:p>
        </w:tc>
        <w:tc>
          <w:tcPr>
            <w:tcW w:w="81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316,3</w:t>
            </w:r>
          </w:p>
        </w:tc>
        <w:tc>
          <w:tcPr>
            <w:tcW w:w="841"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lang w:val="fr-BE" w:eastAsia="fr-BE"/>
              </w:rPr>
            </w:pPr>
            <w:r>
              <w:rPr>
                <w:b/>
                <w:bCs/>
                <w:noProof/>
                <w:sz w:val="18"/>
                <w:szCs w:val="18"/>
                <w:lang w:val="fr-BE" w:eastAsia="fr-BE"/>
              </w:rPr>
              <w:t>316,3</w:t>
            </w:r>
          </w:p>
        </w:tc>
      </w:tr>
      <w:tr>
        <w:trPr>
          <w:trHeight w:val="24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i/>
                <w:iCs/>
                <w:noProof/>
                <w:sz w:val="18"/>
                <w:szCs w:val="18"/>
                <w:lang w:val="fr-BE" w:eastAsia="fr-BE"/>
              </w:rPr>
            </w:pPr>
            <w:r>
              <w:rPr>
                <w:i/>
                <w:iCs/>
                <w:noProof/>
                <w:sz w:val="18"/>
                <w:szCs w:val="18"/>
                <w:lang w:val="fr-BE" w:eastAsia="fr-BE"/>
              </w:rPr>
              <w:t>Lapsed</w:t>
            </w:r>
          </w:p>
        </w:tc>
        <w:tc>
          <w:tcPr>
            <w:tcW w:w="889"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lang w:val="fr-BE" w:eastAsia="fr-BE"/>
              </w:rPr>
            </w:pPr>
            <w:r>
              <w:rPr>
                <w:i/>
                <w:iCs/>
                <w:noProof/>
                <w:sz w:val="18"/>
                <w:szCs w:val="18"/>
                <w:lang w:val="fr-BE" w:eastAsia="fr-BE"/>
              </w:rPr>
              <w:t>0,0</w:t>
            </w:r>
          </w:p>
        </w:tc>
        <w:tc>
          <w:tcPr>
            <w:tcW w:w="867"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lang w:val="fr-BE" w:eastAsia="fr-BE"/>
              </w:rPr>
            </w:pPr>
            <w:r>
              <w:rPr>
                <w:i/>
                <w:iCs/>
                <w:noProof/>
                <w:sz w:val="18"/>
                <w:szCs w:val="18"/>
                <w:lang w:val="fr-BE" w:eastAsia="fr-BE"/>
              </w:rPr>
              <w:t>37,2</w:t>
            </w:r>
          </w:p>
        </w:tc>
        <w:tc>
          <w:tcPr>
            <w:tcW w:w="867"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lang w:val="fr-BE" w:eastAsia="fr-BE"/>
              </w:rPr>
            </w:pPr>
            <w:r>
              <w:rPr>
                <w:i/>
                <w:iCs/>
                <w:noProof/>
                <w:sz w:val="18"/>
                <w:szCs w:val="18"/>
                <w:lang w:val="fr-BE" w:eastAsia="fr-BE"/>
              </w:rPr>
              <w:t>0,0</w:t>
            </w:r>
          </w:p>
        </w:tc>
        <w:tc>
          <w:tcPr>
            <w:tcW w:w="745"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lang w:val="fr-BE" w:eastAsia="fr-BE"/>
              </w:rPr>
            </w:pPr>
            <w:r>
              <w:rPr>
                <w:i/>
                <w:iCs/>
                <w:noProof/>
                <w:sz w:val="18"/>
                <w:szCs w:val="18"/>
                <w:lang w:val="fr-BE" w:eastAsia="fr-BE"/>
              </w:rPr>
              <w:t>0,0</w:t>
            </w:r>
          </w:p>
        </w:tc>
        <w:tc>
          <w:tcPr>
            <w:tcW w:w="756"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lang w:val="fr-BE" w:eastAsia="fr-BE"/>
              </w:rPr>
            </w:pPr>
            <w:r>
              <w:rPr>
                <w:i/>
                <w:iCs/>
                <w:noProof/>
                <w:sz w:val="18"/>
                <w:szCs w:val="18"/>
                <w:lang w:val="fr-BE" w:eastAsia="fr-BE"/>
              </w:rPr>
              <w:t>0,0</w:t>
            </w:r>
          </w:p>
        </w:tc>
        <w:tc>
          <w:tcPr>
            <w:tcW w:w="796"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lang w:val="fr-BE" w:eastAsia="fr-BE"/>
              </w:rPr>
            </w:pPr>
            <w:r>
              <w:rPr>
                <w:i/>
                <w:iCs/>
                <w:noProof/>
                <w:sz w:val="18"/>
                <w:szCs w:val="18"/>
                <w:lang w:val="fr-BE" w:eastAsia="fr-BE"/>
              </w:rPr>
              <w:t>0,0</w:t>
            </w:r>
          </w:p>
        </w:tc>
        <w:tc>
          <w:tcPr>
            <w:tcW w:w="819"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lang w:val="fr-BE" w:eastAsia="fr-BE"/>
              </w:rPr>
            </w:pPr>
            <w:r>
              <w:rPr>
                <w:i/>
                <w:iCs/>
                <w:noProof/>
                <w:sz w:val="18"/>
                <w:szCs w:val="18"/>
                <w:lang w:val="fr-BE" w:eastAsia="fr-BE"/>
              </w:rPr>
              <w:t>0,0</w:t>
            </w:r>
          </w:p>
        </w:tc>
        <w:tc>
          <w:tcPr>
            <w:tcW w:w="841" w:type="dxa"/>
            <w:tcBorders>
              <w:top w:val="nil"/>
              <w:left w:val="nil"/>
              <w:bottom w:val="single" w:sz="4" w:space="0" w:color="auto"/>
              <w:right w:val="single" w:sz="4" w:space="0" w:color="auto"/>
            </w:tcBorders>
            <w:shd w:val="clear" w:color="auto" w:fill="auto"/>
            <w:noWrap/>
            <w:vAlign w:val="bottom"/>
            <w:hideMark/>
          </w:tcPr>
          <w:p>
            <w:pPr>
              <w:spacing w:before="0" w:after="0"/>
              <w:jc w:val="right"/>
              <w:rPr>
                <w:b/>
                <w:bCs/>
                <w:i/>
                <w:iCs/>
                <w:noProof/>
                <w:sz w:val="18"/>
                <w:szCs w:val="18"/>
                <w:lang w:val="fr-BE" w:eastAsia="fr-BE"/>
              </w:rPr>
            </w:pPr>
            <w:r>
              <w:rPr>
                <w:b/>
                <w:bCs/>
                <w:i/>
                <w:iCs/>
                <w:noProof/>
                <w:sz w:val="18"/>
                <w:szCs w:val="18"/>
                <w:lang w:val="fr-BE" w:eastAsia="fr-BE"/>
              </w:rPr>
              <w:t>37,2</w:t>
            </w:r>
          </w:p>
        </w:tc>
      </w:tr>
    </w:tbl>
    <w:p>
      <w:pPr>
        <w:pStyle w:val="ManualHeading2"/>
        <w:rPr>
          <w:noProof/>
        </w:rPr>
      </w:pPr>
      <w:bookmarkStart w:id="8" w:name="_Toc360453136"/>
      <w:r>
        <w:rPr>
          <w:noProof/>
        </w:rPr>
        <w:t>3.4.</w:t>
      </w:r>
      <w:r>
        <w:rPr>
          <w:noProof/>
        </w:rPr>
        <w:tab/>
        <w:t>European Globalisation Adjustment Fund</w:t>
      </w:r>
      <w:bookmarkEnd w:id="8"/>
      <w:r>
        <w:rPr>
          <w:noProof/>
        </w:rPr>
        <w:t xml:space="preserve"> (EGF)</w:t>
      </w:r>
    </w:p>
    <w:p>
      <w:pPr>
        <w:pStyle w:val="Text1"/>
        <w:rPr>
          <w:noProof/>
        </w:rPr>
      </w:pPr>
      <w:r>
        <w:rPr>
          <w:noProof/>
        </w:rPr>
        <w:t xml:space="preserve">According to Article 12 of the MFF Regulation, the </w:t>
      </w:r>
      <w:r>
        <w:rPr>
          <w:i/>
          <w:noProof/>
        </w:rPr>
        <w:t>European Globalisation Adjustment Fund</w:t>
      </w:r>
      <w:r>
        <w:rPr>
          <w:noProof/>
        </w:rPr>
        <w:t xml:space="preserve"> can be mobilised up to a maximum of EUR 150 million per year in 2011 prices, or EUR 179,3 million in 2020 in current prices (EUR 1 183,4 million for the whole period in current prices). Unused amounts of previous year cannot be carried over. The amount of EUR 175,1 million which lapsed at the end of 2019 is used to increase Flexibilty Instrument in 2020.</w:t>
      </w:r>
    </w:p>
    <w:p>
      <w:pPr>
        <w:pStyle w:val="Text1"/>
        <w:rPr>
          <w:noProof/>
        </w:rPr>
      </w:pPr>
      <w:r>
        <w:rPr>
          <w:noProof/>
        </w:rPr>
        <w:t xml:space="preserve">The table below shows the details of the annual availabilities and usage of the EGF since 2014: </w:t>
      </w:r>
    </w:p>
    <w:tbl>
      <w:tblPr>
        <w:tblW w:w="9505" w:type="dxa"/>
        <w:jc w:val="center"/>
        <w:tblCellMar>
          <w:left w:w="70" w:type="dxa"/>
          <w:right w:w="70" w:type="dxa"/>
        </w:tblCellMar>
        <w:tblLook w:val="04A0" w:firstRow="1" w:lastRow="0" w:firstColumn="1" w:lastColumn="0" w:noHBand="0" w:noVBand="1"/>
      </w:tblPr>
      <w:tblGrid>
        <w:gridCol w:w="2603"/>
        <w:gridCol w:w="817"/>
        <w:gridCol w:w="870"/>
        <w:gridCol w:w="821"/>
        <w:gridCol w:w="876"/>
        <w:gridCol w:w="766"/>
        <w:gridCol w:w="878"/>
        <w:gridCol w:w="905"/>
        <w:gridCol w:w="969"/>
      </w:tblGrid>
      <w:tr>
        <w:trPr>
          <w:trHeight w:val="240"/>
          <w:jc w:val="center"/>
        </w:trPr>
        <w:tc>
          <w:tcPr>
            <w:tcW w:w="9505"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before="0" w:after="0"/>
              <w:jc w:val="center"/>
              <w:rPr>
                <w:b/>
                <w:bCs/>
                <w:noProof/>
                <w:sz w:val="18"/>
                <w:szCs w:val="18"/>
                <w:lang w:val="fr-BE" w:eastAsia="fr-BE"/>
              </w:rPr>
            </w:pPr>
            <w:r>
              <w:rPr>
                <w:b/>
                <w:bCs/>
                <w:noProof/>
                <w:sz w:val="18"/>
                <w:szCs w:val="18"/>
                <w:lang w:val="fr-BE" w:eastAsia="fr-BE"/>
              </w:rPr>
              <w:t>European Globalisation Adjustment Fund</w:t>
            </w:r>
          </w:p>
        </w:tc>
      </w:tr>
      <w:tr>
        <w:trPr>
          <w:trHeight w:val="240"/>
          <w:jc w:val="center"/>
        </w:trPr>
        <w:tc>
          <w:tcPr>
            <w:tcW w:w="9505"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before="0" w:after="0"/>
              <w:jc w:val="right"/>
              <w:rPr>
                <w:i/>
                <w:iCs/>
                <w:noProof/>
                <w:sz w:val="18"/>
                <w:szCs w:val="18"/>
                <w:lang w:val="fr-BE" w:eastAsia="fr-BE"/>
              </w:rPr>
            </w:pPr>
            <w:r>
              <w:rPr>
                <w:i/>
                <w:iCs/>
                <w:noProof/>
                <w:sz w:val="18"/>
                <w:szCs w:val="18"/>
                <w:lang w:val="fr-BE" w:eastAsia="fr-BE"/>
              </w:rPr>
              <w:t>EUR million</w:t>
            </w:r>
          </w:p>
        </w:tc>
      </w:tr>
      <w:tr>
        <w:trPr>
          <w:trHeight w:val="240"/>
          <w:jc w:val="center"/>
        </w:trPr>
        <w:tc>
          <w:tcPr>
            <w:tcW w:w="2603"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lang w:val="fr-BE" w:eastAsia="fr-BE"/>
              </w:rPr>
            </w:pPr>
            <w:r>
              <w:rPr>
                <w:noProof/>
                <w:sz w:val="18"/>
                <w:szCs w:val="18"/>
                <w:lang w:val="fr-BE" w:eastAsia="fr-BE"/>
              </w:rPr>
              <w:t> </w:t>
            </w:r>
          </w:p>
        </w:tc>
        <w:tc>
          <w:tcPr>
            <w:tcW w:w="817"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2014</w:t>
            </w:r>
          </w:p>
        </w:tc>
        <w:tc>
          <w:tcPr>
            <w:tcW w:w="870"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2015</w:t>
            </w:r>
          </w:p>
        </w:tc>
        <w:tc>
          <w:tcPr>
            <w:tcW w:w="821"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2016</w:t>
            </w:r>
          </w:p>
        </w:tc>
        <w:tc>
          <w:tcPr>
            <w:tcW w:w="876"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2017</w:t>
            </w:r>
          </w:p>
        </w:tc>
        <w:tc>
          <w:tcPr>
            <w:tcW w:w="766"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2018</w:t>
            </w:r>
          </w:p>
        </w:tc>
        <w:tc>
          <w:tcPr>
            <w:tcW w:w="878"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2019</w:t>
            </w:r>
          </w:p>
        </w:tc>
        <w:tc>
          <w:tcPr>
            <w:tcW w:w="905"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2020</w:t>
            </w:r>
          </w:p>
        </w:tc>
        <w:tc>
          <w:tcPr>
            <w:tcW w:w="969" w:type="dxa"/>
            <w:tcBorders>
              <w:top w:val="nil"/>
              <w:left w:val="nil"/>
              <w:bottom w:val="single" w:sz="4" w:space="0" w:color="auto"/>
              <w:right w:val="single" w:sz="4" w:space="0" w:color="auto"/>
            </w:tcBorders>
            <w:shd w:val="clear" w:color="auto" w:fill="auto"/>
            <w:noWrap/>
            <w:vAlign w:val="bottom"/>
            <w:hideMark/>
          </w:tcPr>
          <w:p>
            <w:pPr>
              <w:spacing w:before="0" w:after="0"/>
              <w:jc w:val="center"/>
              <w:rPr>
                <w:b/>
                <w:bCs/>
                <w:noProof/>
                <w:sz w:val="18"/>
                <w:szCs w:val="18"/>
                <w:lang w:val="fr-BE" w:eastAsia="fr-BE"/>
              </w:rPr>
            </w:pPr>
            <w:r>
              <w:rPr>
                <w:b/>
                <w:bCs/>
                <w:noProof/>
                <w:sz w:val="18"/>
                <w:szCs w:val="18"/>
                <w:lang w:val="fr-BE" w:eastAsia="fr-BE"/>
              </w:rPr>
              <w:t>Total</w:t>
            </w:r>
          </w:p>
        </w:tc>
      </w:tr>
      <w:tr>
        <w:trPr>
          <w:trHeight w:val="240"/>
          <w:jc w:val="center"/>
        </w:trPr>
        <w:tc>
          <w:tcPr>
            <w:tcW w:w="2603"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lang w:val="fr-BE" w:eastAsia="fr-BE"/>
              </w:rPr>
            </w:pPr>
            <w:r>
              <w:rPr>
                <w:noProof/>
                <w:sz w:val="18"/>
                <w:szCs w:val="18"/>
                <w:lang w:val="fr-BE" w:eastAsia="fr-BE"/>
              </w:rPr>
              <w:t>Annual amounts in 2011 prices</w:t>
            </w:r>
          </w:p>
        </w:tc>
        <w:tc>
          <w:tcPr>
            <w:tcW w:w="81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150</w:t>
            </w:r>
          </w:p>
        </w:tc>
        <w:tc>
          <w:tcPr>
            <w:tcW w:w="87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150</w:t>
            </w:r>
          </w:p>
        </w:tc>
        <w:tc>
          <w:tcPr>
            <w:tcW w:w="821"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150</w:t>
            </w:r>
          </w:p>
        </w:tc>
        <w:tc>
          <w:tcPr>
            <w:tcW w:w="87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150</w:t>
            </w:r>
          </w:p>
        </w:tc>
        <w:tc>
          <w:tcPr>
            <w:tcW w:w="76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150</w:t>
            </w:r>
          </w:p>
        </w:tc>
        <w:tc>
          <w:tcPr>
            <w:tcW w:w="878"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150</w:t>
            </w:r>
          </w:p>
        </w:tc>
        <w:tc>
          <w:tcPr>
            <w:tcW w:w="90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150</w:t>
            </w:r>
          </w:p>
        </w:tc>
        <w:tc>
          <w:tcPr>
            <w:tcW w:w="969"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lang w:val="fr-BE" w:eastAsia="fr-BE"/>
              </w:rPr>
            </w:pPr>
            <w:r>
              <w:rPr>
                <w:b/>
                <w:bCs/>
                <w:noProof/>
                <w:sz w:val="18"/>
                <w:szCs w:val="18"/>
                <w:lang w:val="fr-BE" w:eastAsia="fr-BE"/>
              </w:rPr>
              <w:t>1 050</w:t>
            </w:r>
          </w:p>
        </w:tc>
      </w:tr>
      <w:tr>
        <w:trPr>
          <w:trHeight w:val="240"/>
          <w:jc w:val="center"/>
        </w:trPr>
        <w:tc>
          <w:tcPr>
            <w:tcW w:w="2603"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lang w:val="en-US" w:eastAsia="fr-BE"/>
              </w:rPr>
            </w:pPr>
            <w:r>
              <w:rPr>
                <w:noProof/>
                <w:sz w:val="18"/>
                <w:szCs w:val="18"/>
                <w:lang w:val="en-US" w:eastAsia="fr-BE"/>
              </w:rPr>
              <w:t>Annual amounts in current prices</w:t>
            </w:r>
          </w:p>
        </w:tc>
        <w:tc>
          <w:tcPr>
            <w:tcW w:w="81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159,2</w:t>
            </w:r>
          </w:p>
        </w:tc>
        <w:tc>
          <w:tcPr>
            <w:tcW w:w="87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162,4</w:t>
            </w:r>
          </w:p>
        </w:tc>
        <w:tc>
          <w:tcPr>
            <w:tcW w:w="821"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165,6</w:t>
            </w:r>
          </w:p>
        </w:tc>
        <w:tc>
          <w:tcPr>
            <w:tcW w:w="87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168,9</w:t>
            </w:r>
          </w:p>
        </w:tc>
        <w:tc>
          <w:tcPr>
            <w:tcW w:w="76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172,3</w:t>
            </w:r>
          </w:p>
        </w:tc>
        <w:tc>
          <w:tcPr>
            <w:tcW w:w="878"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175,7</w:t>
            </w:r>
          </w:p>
        </w:tc>
        <w:tc>
          <w:tcPr>
            <w:tcW w:w="90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179,3</w:t>
            </w:r>
          </w:p>
        </w:tc>
        <w:tc>
          <w:tcPr>
            <w:tcW w:w="969"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lang w:val="fr-BE" w:eastAsia="fr-BE"/>
              </w:rPr>
            </w:pPr>
            <w:r>
              <w:rPr>
                <w:b/>
                <w:bCs/>
                <w:noProof/>
                <w:sz w:val="18"/>
                <w:szCs w:val="18"/>
                <w:lang w:val="fr-BE" w:eastAsia="fr-BE"/>
              </w:rPr>
              <w:t>1 183,4</w:t>
            </w:r>
          </w:p>
        </w:tc>
      </w:tr>
      <w:tr>
        <w:trPr>
          <w:trHeight w:val="240"/>
          <w:jc w:val="center"/>
        </w:trPr>
        <w:tc>
          <w:tcPr>
            <w:tcW w:w="2603"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lang w:val="fr-BE" w:eastAsia="fr-BE"/>
              </w:rPr>
            </w:pPr>
            <w:r>
              <w:rPr>
                <w:noProof/>
                <w:sz w:val="18"/>
                <w:szCs w:val="18"/>
                <w:lang w:val="fr-BE" w:eastAsia="fr-BE"/>
              </w:rPr>
              <w:t>Annual usage</w:t>
            </w:r>
          </w:p>
        </w:tc>
        <w:tc>
          <w:tcPr>
            <w:tcW w:w="81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81,0</w:t>
            </w:r>
          </w:p>
        </w:tc>
        <w:tc>
          <w:tcPr>
            <w:tcW w:w="87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43,4</w:t>
            </w:r>
          </w:p>
        </w:tc>
        <w:tc>
          <w:tcPr>
            <w:tcW w:w="821"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28,0</w:t>
            </w:r>
          </w:p>
        </w:tc>
        <w:tc>
          <w:tcPr>
            <w:tcW w:w="87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18,1</w:t>
            </w:r>
          </w:p>
        </w:tc>
        <w:tc>
          <w:tcPr>
            <w:tcW w:w="76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28,0</w:t>
            </w:r>
          </w:p>
        </w:tc>
        <w:tc>
          <w:tcPr>
            <w:tcW w:w="878"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lang w:val="fr-BE" w:eastAsia="fr-BE"/>
              </w:rPr>
            </w:pPr>
            <w:r>
              <w:rPr>
                <w:noProof/>
                <w:sz w:val="18"/>
                <w:szCs w:val="18"/>
                <w:lang w:val="fr-BE" w:eastAsia="fr-BE"/>
              </w:rPr>
              <w:t>0,6</w:t>
            </w:r>
          </w:p>
        </w:tc>
        <w:tc>
          <w:tcPr>
            <w:tcW w:w="905" w:type="dxa"/>
            <w:tcBorders>
              <w:top w:val="nil"/>
              <w:left w:val="nil"/>
              <w:bottom w:val="nil"/>
              <w:right w:val="single" w:sz="4" w:space="0" w:color="auto"/>
            </w:tcBorders>
            <w:shd w:val="clear" w:color="auto" w:fill="auto"/>
            <w:noWrap/>
            <w:vAlign w:val="bottom"/>
            <w:hideMark/>
          </w:tcPr>
          <w:p>
            <w:pPr>
              <w:spacing w:before="0" w:after="0"/>
              <w:jc w:val="left"/>
              <w:rPr>
                <w:noProof/>
                <w:sz w:val="18"/>
                <w:szCs w:val="18"/>
                <w:lang w:val="fr-BE" w:eastAsia="fr-BE"/>
              </w:rPr>
            </w:pPr>
            <w:r>
              <w:rPr>
                <w:noProof/>
                <w:sz w:val="18"/>
                <w:szCs w:val="18"/>
                <w:lang w:val="fr-BE" w:eastAsia="fr-BE"/>
              </w:rPr>
              <w:t> </w:t>
            </w:r>
          </w:p>
        </w:tc>
        <w:tc>
          <w:tcPr>
            <w:tcW w:w="969"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lang w:val="fr-BE" w:eastAsia="fr-BE"/>
              </w:rPr>
            </w:pPr>
            <w:r>
              <w:rPr>
                <w:b/>
                <w:bCs/>
                <w:noProof/>
                <w:sz w:val="18"/>
                <w:szCs w:val="18"/>
                <w:lang w:val="fr-BE" w:eastAsia="fr-BE"/>
              </w:rPr>
              <w:t>199,1</w:t>
            </w:r>
          </w:p>
        </w:tc>
      </w:tr>
      <w:tr>
        <w:trPr>
          <w:trHeight w:val="240"/>
          <w:jc w:val="center"/>
        </w:trPr>
        <w:tc>
          <w:tcPr>
            <w:tcW w:w="260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i/>
                <w:iCs/>
                <w:noProof/>
                <w:sz w:val="18"/>
                <w:szCs w:val="18"/>
                <w:lang w:val="fr-BE" w:eastAsia="fr-BE"/>
              </w:rPr>
            </w:pPr>
            <w:r>
              <w:rPr>
                <w:i/>
                <w:iCs/>
                <w:noProof/>
                <w:sz w:val="18"/>
                <w:szCs w:val="18"/>
                <w:lang w:val="fr-BE" w:eastAsia="fr-BE"/>
              </w:rPr>
              <w:t>Lapsed</w:t>
            </w:r>
          </w:p>
        </w:tc>
        <w:tc>
          <w:tcPr>
            <w:tcW w:w="817"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lang w:val="fr-BE" w:eastAsia="fr-BE"/>
              </w:rPr>
            </w:pPr>
            <w:r>
              <w:rPr>
                <w:i/>
                <w:iCs/>
                <w:noProof/>
                <w:sz w:val="18"/>
                <w:szCs w:val="18"/>
                <w:lang w:val="fr-BE" w:eastAsia="fr-BE"/>
              </w:rPr>
              <w:t>78,2</w:t>
            </w:r>
          </w:p>
        </w:tc>
        <w:tc>
          <w:tcPr>
            <w:tcW w:w="870"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lang w:val="fr-BE" w:eastAsia="fr-BE"/>
              </w:rPr>
            </w:pPr>
            <w:r>
              <w:rPr>
                <w:i/>
                <w:iCs/>
                <w:noProof/>
                <w:sz w:val="18"/>
                <w:szCs w:val="18"/>
                <w:lang w:val="fr-BE" w:eastAsia="fr-BE"/>
              </w:rPr>
              <w:t>119,0</w:t>
            </w:r>
          </w:p>
        </w:tc>
        <w:tc>
          <w:tcPr>
            <w:tcW w:w="821"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lang w:val="fr-BE" w:eastAsia="fr-BE"/>
              </w:rPr>
            </w:pPr>
            <w:r>
              <w:rPr>
                <w:i/>
                <w:iCs/>
                <w:noProof/>
                <w:sz w:val="18"/>
                <w:szCs w:val="18"/>
                <w:lang w:val="fr-BE" w:eastAsia="fr-BE"/>
              </w:rPr>
              <w:t>137,6</w:t>
            </w:r>
          </w:p>
        </w:tc>
        <w:tc>
          <w:tcPr>
            <w:tcW w:w="876"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lang w:val="fr-BE" w:eastAsia="fr-BE"/>
              </w:rPr>
            </w:pPr>
            <w:r>
              <w:rPr>
                <w:i/>
                <w:iCs/>
                <w:noProof/>
                <w:sz w:val="18"/>
                <w:szCs w:val="18"/>
                <w:lang w:val="fr-BE" w:eastAsia="fr-BE"/>
              </w:rPr>
              <w:t>150,8</w:t>
            </w:r>
          </w:p>
        </w:tc>
        <w:tc>
          <w:tcPr>
            <w:tcW w:w="766"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lang w:val="fr-BE" w:eastAsia="fr-BE"/>
              </w:rPr>
            </w:pPr>
            <w:r>
              <w:rPr>
                <w:i/>
                <w:iCs/>
                <w:noProof/>
                <w:sz w:val="18"/>
                <w:szCs w:val="18"/>
                <w:lang w:val="fr-BE" w:eastAsia="fr-BE"/>
              </w:rPr>
              <w:t>144,3</w:t>
            </w:r>
          </w:p>
        </w:tc>
        <w:tc>
          <w:tcPr>
            <w:tcW w:w="878"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lang w:val="fr-BE" w:eastAsia="fr-BE"/>
              </w:rPr>
            </w:pPr>
            <w:r>
              <w:rPr>
                <w:i/>
                <w:iCs/>
                <w:noProof/>
                <w:sz w:val="18"/>
                <w:szCs w:val="18"/>
                <w:lang w:val="fr-BE" w:eastAsia="fr-BE"/>
              </w:rPr>
              <w:t>175,1</w:t>
            </w:r>
          </w:p>
        </w:tc>
        <w:tc>
          <w:tcPr>
            <w:tcW w:w="905" w:type="dxa"/>
            <w:tcBorders>
              <w:top w:val="nil"/>
              <w:left w:val="nil"/>
              <w:bottom w:val="single" w:sz="4" w:space="0" w:color="auto"/>
              <w:right w:val="single" w:sz="4" w:space="0" w:color="auto"/>
            </w:tcBorders>
            <w:shd w:val="clear" w:color="auto" w:fill="auto"/>
            <w:noWrap/>
            <w:vAlign w:val="bottom"/>
            <w:hideMark/>
          </w:tcPr>
          <w:p>
            <w:pPr>
              <w:spacing w:before="0" w:after="0"/>
              <w:jc w:val="left"/>
              <w:rPr>
                <w:i/>
                <w:iCs/>
                <w:noProof/>
                <w:sz w:val="18"/>
                <w:szCs w:val="18"/>
                <w:lang w:val="fr-BE" w:eastAsia="fr-BE"/>
              </w:rPr>
            </w:pPr>
            <w:r>
              <w:rPr>
                <w:i/>
                <w:iCs/>
                <w:noProof/>
                <w:sz w:val="18"/>
                <w:szCs w:val="18"/>
                <w:lang w:val="fr-BE" w:eastAsia="fr-BE"/>
              </w:rPr>
              <w:t> </w:t>
            </w:r>
          </w:p>
        </w:tc>
        <w:tc>
          <w:tcPr>
            <w:tcW w:w="969" w:type="dxa"/>
            <w:tcBorders>
              <w:top w:val="nil"/>
              <w:left w:val="nil"/>
              <w:bottom w:val="single" w:sz="4" w:space="0" w:color="auto"/>
              <w:right w:val="single" w:sz="4" w:space="0" w:color="auto"/>
            </w:tcBorders>
            <w:shd w:val="clear" w:color="auto" w:fill="auto"/>
            <w:noWrap/>
            <w:vAlign w:val="bottom"/>
            <w:hideMark/>
          </w:tcPr>
          <w:p>
            <w:pPr>
              <w:spacing w:before="0" w:after="0"/>
              <w:jc w:val="right"/>
              <w:rPr>
                <w:b/>
                <w:bCs/>
                <w:i/>
                <w:iCs/>
                <w:noProof/>
                <w:sz w:val="18"/>
                <w:szCs w:val="18"/>
                <w:lang w:val="fr-BE" w:eastAsia="fr-BE"/>
              </w:rPr>
            </w:pPr>
            <w:r>
              <w:rPr>
                <w:b/>
                <w:bCs/>
                <w:i/>
                <w:iCs/>
                <w:noProof/>
                <w:sz w:val="18"/>
                <w:szCs w:val="18"/>
                <w:lang w:val="fr-BE" w:eastAsia="fr-BE"/>
              </w:rPr>
              <w:t>629,9</w:t>
            </w:r>
          </w:p>
        </w:tc>
      </w:tr>
    </w:tbl>
    <w:p>
      <w:pPr>
        <w:pStyle w:val="ManualHeading2"/>
        <w:rPr>
          <w:noProof/>
        </w:rPr>
      </w:pPr>
      <w:bookmarkStart w:id="9" w:name="_Toc360453137"/>
      <w:r>
        <w:rPr>
          <w:noProof/>
        </w:rPr>
        <w:t>3.5.</w:t>
      </w:r>
      <w:r>
        <w:rPr>
          <w:noProof/>
        </w:rPr>
        <w:tab/>
        <w:t>Contingency Margin</w:t>
      </w:r>
      <w:bookmarkEnd w:id="9"/>
    </w:p>
    <w:p>
      <w:pPr>
        <w:pStyle w:val="Text1"/>
        <w:rPr>
          <w:bCs/>
          <w:noProof/>
        </w:rPr>
      </w:pPr>
      <w:r>
        <w:rPr>
          <w:noProof/>
        </w:rPr>
        <w:t>According to Article 13 of the MFF Regulation, a</w:t>
      </w:r>
      <w:r>
        <w:rPr>
          <w:bCs/>
          <w:noProof/>
        </w:rPr>
        <w:t xml:space="preserve"> Contingency Margin of up to 0.03 % of the Gross National Income of the Union shall be constituted outside the ceilings of the financial framework for the period 2014</w:t>
      </w:r>
      <w:r>
        <w:rPr>
          <w:bCs/>
          <w:noProof/>
        </w:rPr>
        <w:noBreakHyphen/>
        <w:t>2020.</w:t>
      </w:r>
    </w:p>
    <w:p>
      <w:pPr>
        <w:pStyle w:val="Text1"/>
        <w:rPr>
          <w:bCs/>
          <w:noProof/>
        </w:rPr>
      </w:pPr>
      <w:r>
        <w:rPr>
          <w:bCs/>
          <w:noProof/>
        </w:rPr>
        <w:t>The absolute amount of the Contingency Margin for the year 2020 is EUR 5 096,8 million, as established in the technical adjustment of the MFF for 2020 adopted in May 2019.</w:t>
      </w:r>
    </w:p>
    <w:p>
      <w:pPr>
        <w:pStyle w:val="Text1"/>
        <w:rPr>
          <w:bCs/>
          <w:noProof/>
        </w:rPr>
      </w:pPr>
      <w:r>
        <w:rPr>
          <w:bCs/>
          <w:noProof/>
        </w:rPr>
        <w:t>The table below shows the details of the annual availabilities and usage of the Contingency Margin since 2014:</w:t>
      </w:r>
    </w:p>
    <w:tbl>
      <w:tblPr>
        <w:tblW w:w="9605" w:type="dxa"/>
        <w:jc w:val="center"/>
        <w:tblCellMar>
          <w:left w:w="70" w:type="dxa"/>
          <w:right w:w="70" w:type="dxa"/>
        </w:tblCellMar>
        <w:tblLook w:val="04A0" w:firstRow="1" w:lastRow="0" w:firstColumn="1" w:lastColumn="0" w:noHBand="0" w:noVBand="1"/>
      </w:tblPr>
      <w:tblGrid>
        <w:gridCol w:w="2012"/>
        <w:gridCol w:w="925"/>
        <w:gridCol w:w="925"/>
        <w:gridCol w:w="925"/>
        <w:gridCol w:w="1016"/>
        <w:gridCol w:w="925"/>
        <w:gridCol w:w="925"/>
        <w:gridCol w:w="925"/>
        <w:gridCol w:w="1016"/>
        <w:gridCol w:w="11"/>
      </w:tblGrid>
      <w:tr>
        <w:trPr>
          <w:trHeight w:val="255"/>
          <w:jc w:val="center"/>
        </w:trPr>
        <w:tc>
          <w:tcPr>
            <w:tcW w:w="9605"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pPr>
              <w:keepNext/>
              <w:keepLines/>
              <w:spacing w:before="0" w:after="0"/>
              <w:jc w:val="center"/>
              <w:rPr>
                <w:b/>
                <w:bCs/>
                <w:noProof/>
                <w:sz w:val="18"/>
                <w:szCs w:val="18"/>
                <w:lang w:val="fr-BE" w:eastAsia="fr-BE"/>
              </w:rPr>
            </w:pPr>
            <w:r>
              <w:rPr>
                <w:b/>
                <w:bCs/>
                <w:noProof/>
                <w:sz w:val="18"/>
                <w:szCs w:val="18"/>
                <w:lang w:val="fr-BE" w:eastAsia="fr-BE"/>
              </w:rPr>
              <w:lastRenderedPageBreak/>
              <w:t>Contingency Margin</w:t>
            </w:r>
          </w:p>
        </w:tc>
      </w:tr>
      <w:tr>
        <w:trPr>
          <w:trHeight w:val="212"/>
          <w:jc w:val="center"/>
        </w:trPr>
        <w:tc>
          <w:tcPr>
            <w:tcW w:w="9605"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pPr>
              <w:keepNext/>
              <w:keepLines/>
              <w:spacing w:before="0" w:after="0"/>
              <w:jc w:val="right"/>
              <w:rPr>
                <w:i/>
                <w:iCs/>
                <w:noProof/>
                <w:sz w:val="18"/>
                <w:szCs w:val="18"/>
                <w:lang w:val="fr-BE" w:eastAsia="fr-BE"/>
              </w:rPr>
            </w:pPr>
            <w:r>
              <w:rPr>
                <w:i/>
                <w:iCs/>
                <w:noProof/>
                <w:sz w:val="18"/>
                <w:szCs w:val="18"/>
                <w:lang w:val="fr-BE" w:eastAsia="fr-BE"/>
              </w:rPr>
              <w:t>EUR million</w:t>
            </w:r>
          </w:p>
        </w:tc>
      </w:tr>
      <w:tr>
        <w:trPr>
          <w:gridAfter w:val="1"/>
          <w:wAfter w:w="11" w:type="dxa"/>
          <w:trHeight w:val="255"/>
          <w:jc w:val="center"/>
        </w:trPr>
        <w:tc>
          <w:tcPr>
            <w:tcW w:w="2012" w:type="dxa"/>
            <w:tcBorders>
              <w:top w:val="nil"/>
              <w:left w:val="single" w:sz="4" w:space="0" w:color="auto"/>
              <w:bottom w:val="nil"/>
              <w:right w:val="single" w:sz="4" w:space="0" w:color="auto"/>
            </w:tcBorders>
            <w:shd w:val="clear" w:color="auto" w:fill="auto"/>
            <w:noWrap/>
            <w:vAlign w:val="bottom"/>
            <w:hideMark/>
          </w:tcPr>
          <w:p>
            <w:pPr>
              <w:keepNext/>
              <w:keepLines/>
              <w:spacing w:before="0" w:after="0"/>
              <w:jc w:val="left"/>
              <w:rPr>
                <w:noProof/>
                <w:sz w:val="18"/>
                <w:szCs w:val="18"/>
                <w:lang w:val="fr-BE" w:eastAsia="fr-BE"/>
              </w:rPr>
            </w:pPr>
            <w:r>
              <w:rPr>
                <w:noProof/>
                <w:sz w:val="18"/>
                <w:szCs w:val="18"/>
                <w:lang w:val="fr-BE" w:eastAsia="fr-BE"/>
              </w:rPr>
              <w:t> </w:t>
            </w:r>
          </w:p>
        </w:tc>
        <w:tc>
          <w:tcPr>
            <w:tcW w:w="925"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2014</w:t>
            </w:r>
          </w:p>
        </w:tc>
        <w:tc>
          <w:tcPr>
            <w:tcW w:w="925"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2015</w:t>
            </w:r>
          </w:p>
        </w:tc>
        <w:tc>
          <w:tcPr>
            <w:tcW w:w="925"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2016</w:t>
            </w:r>
          </w:p>
        </w:tc>
        <w:tc>
          <w:tcPr>
            <w:tcW w:w="1016"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2017</w:t>
            </w:r>
          </w:p>
        </w:tc>
        <w:tc>
          <w:tcPr>
            <w:tcW w:w="925"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2018</w:t>
            </w:r>
          </w:p>
        </w:tc>
        <w:tc>
          <w:tcPr>
            <w:tcW w:w="925"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2019</w:t>
            </w:r>
          </w:p>
        </w:tc>
        <w:tc>
          <w:tcPr>
            <w:tcW w:w="925"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2020</w:t>
            </w:r>
          </w:p>
        </w:tc>
        <w:tc>
          <w:tcPr>
            <w:tcW w:w="1016"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center"/>
              <w:rPr>
                <w:b/>
                <w:bCs/>
                <w:noProof/>
                <w:sz w:val="18"/>
                <w:szCs w:val="18"/>
                <w:lang w:val="fr-BE" w:eastAsia="fr-BE"/>
              </w:rPr>
            </w:pPr>
            <w:r>
              <w:rPr>
                <w:b/>
                <w:bCs/>
                <w:noProof/>
                <w:sz w:val="18"/>
                <w:szCs w:val="18"/>
                <w:lang w:val="fr-BE" w:eastAsia="fr-BE"/>
              </w:rPr>
              <w:t>Total</w:t>
            </w:r>
          </w:p>
        </w:tc>
      </w:tr>
      <w:tr>
        <w:trPr>
          <w:gridAfter w:val="1"/>
          <w:wAfter w:w="11" w:type="dxa"/>
          <w:trHeight w:val="255"/>
          <w:jc w:val="center"/>
        </w:trPr>
        <w:tc>
          <w:tcPr>
            <w:tcW w:w="2012" w:type="dxa"/>
            <w:tcBorders>
              <w:top w:val="nil"/>
              <w:left w:val="single" w:sz="4" w:space="0" w:color="auto"/>
              <w:bottom w:val="nil"/>
              <w:right w:val="single" w:sz="4" w:space="0" w:color="auto"/>
            </w:tcBorders>
            <w:shd w:val="clear" w:color="auto" w:fill="auto"/>
            <w:noWrap/>
            <w:vAlign w:val="bottom"/>
            <w:hideMark/>
          </w:tcPr>
          <w:p>
            <w:pPr>
              <w:keepNext/>
              <w:keepLines/>
              <w:spacing w:before="0" w:after="0"/>
              <w:jc w:val="left"/>
              <w:rPr>
                <w:noProof/>
                <w:sz w:val="18"/>
                <w:szCs w:val="18"/>
                <w:lang w:val="fr-BE" w:eastAsia="fr-BE"/>
              </w:rPr>
            </w:pPr>
            <w:r>
              <w:rPr>
                <w:noProof/>
                <w:sz w:val="18"/>
                <w:szCs w:val="18"/>
                <w:lang w:val="fr-BE" w:eastAsia="fr-BE"/>
              </w:rPr>
              <w:t>Annual amounts available</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4 026,7</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4 175,4</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4 438,2</w:t>
            </w:r>
          </w:p>
        </w:tc>
        <w:tc>
          <w:tcPr>
            <w:tcW w:w="1016"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4 496,8</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4 711,3</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4 946,7</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5 096,8</w:t>
            </w:r>
          </w:p>
        </w:tc>
        <w:tc>
          <w:tcPr>
            <w:tcW w:w="1016" w:type="dxa"/>
            <w:tcBorders>
              <w:top w:val="nil"/>
              <w:left w:val="nil"/>
              <w:bottom w:val="nil"/>
              <w:right w:val="single" w:sz="4" w:space="0" w:color="auto"/>
            </w:tcBorders>
            <w:shd w:val="clear" w:color="auto" w:fill="auto"/>
            <w:noWrap/>
            <w:vAlign w:val="bottom"/>
            <w:hideMark/>
          </w:tcPr>
          <w:p>
            <w:pPr>
              <w:keepNext/>
              <w:keepLines/>
              <w:spacing w:before="0" w:after="0"/>
              <w:jc w:val="right"/>
              <w:rPr>
                <w:b/>
                <w:bCs/>
                <w:noProof/>
                <w:sz w:val="18"/>
                <w:szCs w:val="18"/>
                <w:lang w:val="fr-BE" w:eastAsia="fr-BE"/>
              </w:rPr>
            </w:pPr>
            <w:r>
              <w:rPr>
                <w:b/>
                <w:bCs/>
                <w:noProof/>
                <w:sz w:val="18"/>
                <w:szCs w:val="18"/>
                <w:lang w:val="fr-BE" w:eastAsia="fr-BE"/>
              </w:rPr>
              <w:t>31 892</w:t>
            </w:r>
          </w:p>
        </w:tc>
      </w:tr>
      <w:tr>
        <w:trPr>
          <w:gridAfter w:val="1"/>
          <w:wAfter w:w="11" w:type="dxa"/>
          <w:trHeight w:val="255"/>
          <w:jc w:val="center"/>
        </w:trPr>
        <w:tc>
          <w:tcPr>
            <w:tcW w:w="2012" w:type="dxa"/>
            <w:tcBorders>
              <w:top w:val="nil"/>
              <w:left w:val="single" w:sz="4" w:space="0" w:color="auto"/>
              <w:bottom w:val="nil"/>
              <w:right w:val="single" w:sz="4" w:space="0" w:color="auto"/>
            </w:tcBorders>
            <w:shd w:val="clear" w:color="auto" w:fill="auto"/>
            <w:noWrap/>
            <w:vAlign w:val="bottom"/>
            <w:hideMark/>
          </w:tcPr>
          <w:p>
            <w:pPr>
              <w:keepNext/>
              <w:keepLines/>
              <w:spacing w:before="0" w:after="0"/>
              <w:jc w:val="left"/>
              <w:rPr>
                <w:noProof/>
                <w:sz w:val="18"/>
                <w:szCs w:val="18"/>
                <w:lang w:val="fr-BE" w:eastAsia="fr-BE"/>
              </w:rPr>
            </w:pPr>
            <w:r>
              <w:rPr>
                <w:noProof/>
                <w:sz w:val="18"/>
                <w:szCs w:val="18"/>
                <w:lang w:val="fr-BE" w:eastAsia="fr-BE"/>
              </w:rPr>
              <w:t>Annual usage</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lang w:val="fr-BE" w:eastAsia="fr-BE"/>
              </w:rPr>
            </w:pPr>
            <w:r>
              <w:rPr>
                <w:noProof/>
                <w:sz w:val="18"/>
                <w:szCs w:val="18"/>
                <w:lang w:val="fr-BE" w:eastAsia="fr-BE"/>
              </w:rPr>
              <w:t> </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lang w:val="fr-BE" w:eastAsia="fr-BE"/>
              </w:rPr>
            </w:pPr>
            <w:r>
              <w:rPr>
                <w:noProof/>
                <w:sz w:val="18"/>
                <w:szCs w:val="18"/>
                <w:lang w:val="fr-BE" w:eastAsia="fr-BE"/>
              </w:rPr>
              <w:t> </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lang w:val="fr-BE" w:eastAsia="fr-BE"/>
              </w:rPr>
            </w:pPr>
            <w:r>
              <w:rPr>
                <w:noProof/>
                <w:sz w:val="18"/>
                <w:szCs w:val="18"/>
                <w:lang w:val="fr-BE" w:eastAsia="fr-BE"/>
              </w:rPr>
              <w:t> </w:t>
            </w:r>
          </w:p>
        </w:tc>
        <w:tc>
          <w:tcPr>
            <w:tcW w:w="1016"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lang w:val="fr-BE" w:eastAsia="fr-BE"/>
              </w:rPr>
            </w:pPr>
            <w:r>
              <w:rPr>
                <w:noProof/>
                <w:sz w:val="18"/>
                <w:szCs w:val="18"/>
                <w:lang w:val="fr-BE" w:eastAsia="fr-BE"/>
              </w:rPr>
              <w:t> </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lang w:val="fr-BE" w:eastAsia="fr-BE"/>
              </w:rPr>
            </w:pPr>
            <w:r>
              <w:rPr>
                <w:noProof/>
                <w:sz w:val="18"/>
                <w:szCs w:val="18"/>
                <w:lang w:val="fr-BE" w:eastAsia="fr-BE"/>
              </w:rPr>
              <w:t> </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lang w:val="fr-BE" w:eastAsia="fr-BE"/>
              </w:rPr>
            </w:pPr>
            <w:r>
              <w:rPr>
                <w:noProof/>
                <w:sz w:val="18"/>
                <w:szCs w:val="18"/>
                <w:lang w:val="fr-BE" w:eastAsia="fr-BE"/>
              </w:rPr>
              <w:t> </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lang w:val="fr-BE" w:eastAsia="fr-BE"/>
              </w:rPr>
            </w:pPr>
            <w:r>
              <w:rPr>
                <w:noProof/>
                <w:sz w:val="18"/>
                <w:szCs w:val="18"/>
                <w:lang w:val="fr-BE" w:eastAsia="fr-BE"/>
              </w:rPr>
              <w:t> </w:t>
            </w:r>
          </w:p>
        </w:tc>
        <w:tc>
          <w:tcPr>
            <w:tcW w:w="1016" w:type="dxa"/>
            <w:tcBorders>
              <w:top w:val="nil"/>
              <w:left w:val="nil"/>
              <w:bottom w:val="nil"/>
              <w:right w:val="single" w:sz="4" w:space="0" w:color="auto"/>
            </w:tcBorders>
            <w:shd w:val="clear" w:color="auto" w:fill="auto"/>
            <w:noWrap/>
            <w:vAlign w:val="bottom"/>
            <w:hideMark/>
          </w:tcPr>
          <w:p>
            <w:pPr>
              <w:keepNext/>
              <w:keepLines/>
              <w:spacing w:before="0" w:after="0"/>
              <w:jc w:val="left"/>
              <w:rPr>
                <w:b/>
                <w:bCs/>
                <w:noProof/>
                <w:sz w:val="18"/>
                <w:szCs w:val="18"/>
                <w:lang w:val="fr-BE" w:eastAsia="fr-BE"/>
              </w:rPr>
            </w:pPr>
            <w:r>
              <w:rPr>
                <w:b/>
                <w:bCs/>
                <w:noProof/>
                <w:sz w:val="18"/>
                <w:szCs w:val="18"/>
                <w:lang w:val="fr-BE" w:eastAsia="fr-BE"/>
              </w:rPr>
              <w:t> </w:t>
            </w:r>
          </w:p>
        </w:tc>
      </w:tr>
      <w:tr>
        <w:trPr>
          <w:gridAfter w:val="1"/>
          <w:wAfter w:w="11" w:type="dxa"/>
          <w:trHeight w:val="255"/>
          <w:jc w:val="center"/>
        </w:trPr>
        <w:tc>
          <w:tcPr>
            <w:tcW w:w="2012" w:type="dxa"/>
            <w:tcBorders>
              <w:top w:val="nil"/>
              <w:left w:val="single" w:sz="4" w:space="0" w:color="auto"/>
              <w:bottom w:val="nil"/>
              <w:right w:val="single" w:sz="4" w:space="0" w:color="auto"/>
            </w:tcBorders>
            <w:shd w:val="clear" w:color="auto" w:fill="auto"/>
            <w:noWrap/>
            <w:vAlign w:val="bottom"/>
            <w:hideMark/>
          </w:tcPr>
          <w:p>
            <w:pPr>
              <w:keepNext/>
              <w:keepLines/>
              <w:spacing w:before="0" w:after="0"/>
              <w:ind w:firstLineChars="100" w:firstLine="180"/>
              <w:jc w:val="left"/>
              <w:rPr>
                <w:i/>
                <w:iCs/>
                <w:noProof/>
                <w:sz w:val="18"/>
                <w:szCs w:val="18"/>
                <w:lang w:val="fr-BE" w:eastAsia="fr-BE"/>
              </w:rPr>
            </w:pPr>
            <w:r>
              <w:rPr>
                <w:i/>
                <w:iCs/>
                <w:noProof/>
                <w:sz w:val="18"/>
                <w:szCs w:val="18"/>
                <w:lang w:val="fr-BE" w:eastAsia="fr-BE"/>
              </w:rPr>
              <w:t>In commitments</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0,0</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0,0</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240,1</w:t>
            </w:r>
          </w:p>
        </w:tc>
        <w:tc>
          <w:tcPr>
            <w:tcW w:w="1016"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1 906,2</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0,0</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0,0</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0,0</w:t>
            </w:r>
          </w:p>
        </w:tc>
        <w:tc>
          <w:tcPr>
            <w:tcW w:w="1016" w:type="dxa"/>
            <w:tcBorders>
              <w:top w:val="nil"/>
              <w:left w:val="nil"/>
              <w:bottom w:val="nil"/>
              <w:right w:val="single" w:sz="4" w:space="0" w:color="auto"/>
            </w:tcBorders>
            <w:shd w:val="clear" w:color="auto" w:fill="auto"/>
            <w:noWrap/>
            <w:vAlign w:val="bottom"/>
            <w:hideMark/>
          </w:tcPr>
          <w:p>
            <w:pPr>
              <w:keepNext/>
              <w:keepLines/>
              <w:spacing w:before="0" w:after="0"/>
              <w:jc w:val="right"/>
              <w:rPr>
                <w:b/>
                <w:bCs/>
                <w:noProof/>
                <w:sz w:val="18"/>
                <w:szCs w:val="18"/>
                <w:lang w:val="fr-BE" w:eastAsia="fr-BE"/>
              </w:rPr>
            </w:pPr>
            <w:r>
              <w:rPr>
                <w:b/>
                <w:bCs/>
                <w:noProof/>
                <w:sz w:val="18"/>
                <w:szCs w:val="18"/>
                <w:lang w:val="fr-BE" w:eastAsia="fr-BE"/>
              </w:rPr>
              <w:t>2 146,3</w:t>
            </w:r>
          </w:p>
        </w:tc>
      </w:tr>
      <w:tr>
        <w:trPr>
          <w:gridAfter w:val="1"/>
          <w:wAfter w:w="11" w:type="dxa"/>
          <w:trHeight w:val="255"/>
          <w:jc w:val="center"/>
        </w:trPr>
        <w:tc>
          <w:tcPr>
            <w:tcW w:w="2012" w:type="dxa"/>
            <w:tcBorders>
              <w:top w:val="nil"/>
              <w:left w:val="single" w:sz="4" w:space="0" w:color="auto"/>
              <w:bottom w:val="nil"/>
              <w:right w:val="single" w:sz="4" w:space="0" w:color="auto"/>
            </w:tcBorders>
            <w:shd w:val="clear" w:color="auto" w:fill="auto"/>
            <w:noWrap/>
            <w:vAlign w:val="bottom"/>
            <w:hideMark/>
          </w:tcPr>
          <w:p>
            <w:pPr>
              <w:keepNext/>
              <w:keepLines/>
              <w:spacing w:before="0" w:after="0"/>
              <w:ind w:firstLineChars="100" w:firstLine="180"/>
              <w:jc w:val="left"/>
              <w:rPr>
                <w:i/>
                <w:iCs/>
                <w:noProof/>
                <w:sz w:val="18"/>
                <w:szCs w:val="18"/>
                <w:lang w:val="fr-BE" w:eastAsia="fr-BE"/>
              </w:rPr>
            </w:pPr>
            <w:r>
              <w:rPr>
                <w:i/>
                <w:iCs/>
                <w:noProof/>
                <w:sz w:val="18"/>
                <w:szCs w:val="18"/>
                <w:lang w:val="fr-BE" w:eastAsia="fr-BE"/>
              </w:rPr>
              <w:t>In payments</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2 818,2</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0,0</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0,0</w:t>
            </w:r>
          </w:p>
        </w:tc>
        <w:tc>
          <w:tcPr>
            <w:tcW w:w="1016"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0,0</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0,0</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0,0</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0,0</w:t>
            </w:r>
          </w:p>
        </w:tc>
        <w:tc>
          <w:tcPr>
            <w:tcW w:w="1016" w:type="dxa"/>
            <w:tcBorders>
              <w:top w:val="nil"/>
              <w:left w:val="nil"/>
              <w:bottom w:val="nil"/>
              <w:right w:val="single" w:sz="4" w:space="0" w:color="auto"/>
            </w:tcBorders>
            <w:shd w:val="clear" w:color="auto" w:fill="auto"/>
            <w:noWrap/>
            <w:vAlign w:val="bottom"/>
            <w:hideMark/>
          </w:tcPr>
          <w:p>
            <w:pPr>
              <w:keepNext/>
              <w:keepLines/>
              <w:spacing w:before="0" w:after="0"/>
              <w:jc w:val="right"/>
              <w:rPr>
                <w:b/>
                <w:bCs/>
                <w:noProof/>
                <w:sz w:val="18"/>
                <w:szCs w:val="18"/>
                <w:lang w:val="fr-BE" w:eastAsia="fr-BE"/>
              </w:rPr>
            </w:pPr>
            <w:r>
              <w:rPr>
                <w:b/>
                <w:bCs/>
                <w:noProof/>
                <w:sz w:val="18"/>
                <w:szCs w:val="18"/>
                <w:lang w:val="fr-BE" w:eastAsia="fr-BE"/>
              </w:rPr>
              <w:t>2 818,2</w:t>
            </w:r>
          </w:p>
        </w:tc>
      </w:tr>
      <w:tr>
        <w:trPr>
          <w:gridAfter w:val="1"/>
          <w:wAfter w:w="11" w:type="dxa"/>
          <w:trHeight w:val="255"/>
          <w:jc w:val="center"/>
        </w:trPr>
        <w:tc>
          <w:tcPr>
            <w:tcW w:w="2012" w:type="dxa"/>
            <w:tcBorders>
              <w:top w:val="nil"/>
              <w:left w:val="single" w:sz="4" w:space="0" w:color="auto"/>
              <w:bottom w:val="nil"/>
              <w:right w:val="single" w:sz="4" w:space="0" w:color="auto"/>
            </w:tcBorders>
            <w:shd w:val="clear" w:color="auto" w:fill="auto"/>
            <w:noWrap/>
            <w:vAlign w:val="bottom"/>
            <w:hideMark/>
          </w:tcPr>
          <w:p>
            <w:pPr>
              <w:keepNext/>
              <w:keepLines/>
              <w:spacing w:before="0" w:after="0"/>
              <w:jc w:val="left"/>
              <w:rPr>
                <w:noProof/>
                <w:sz w:val="18"/>
                <w:szCs w:val="18"/>
                <w:lang w:val="fr-BE" w:eastAsia="fr-BE"/>
              </w:rPr>
            </w:pPr>
            <w:r>
              <w:rPr>
                <w:noProof/>
                <w:sz w:val="18"/>
                <w:szCs w:val="18"/>
                <w:lang w:val="fr-BE" w:eastAsia="fr-BE"/>
              </w:rPr>
              <w:t>Annual offset</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lang w:val="fr-BE" w:eastAsia="fr-BE"/>
              </w:rPr>
            </w:pPr>
            <w:r>
              <w:rPr>
                <w:noProof/>
                <w:sz w:val="18"/>
                <w:szCs w:val="18"/>
                <w:lang w:val="fr-BE" w:eastAsia="fr-BE"/>
              </w:rPr>
              <w:t> </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lang w:val="fr-BE" w:eastAsia="fr-BE"/>
              </w:rPr>
            </w:pPr>
            <w:r>
              <w:rPr>
                <w:noProof/>
                <w:sz w:val="18"/>
                <w:szCs w:val="18"/>
                <w:lang w:val="fr-BE" w:eastAsia="fr-BE"/>
              </w:rPr>
              <w:t> </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lang w:val="fr-BE" w:eastAsia="fr-BE"/>
              </w:rPr>
            </w:pPr>
            <w:r>
              <w:rPr>
                <w:noProof/>
                <w:sz w:val="18"/>
                <w:szCs w:val="18"/>
                <w:lang w:val="fr-BE" w:eastAsia="fr-BE"/>
              </w:rPr>
              <w:t> </w:t>
            </w:r>
          </w:p>
        </w:tc>
        <w:tc>
          <w:tcPr>
            <w:tcW w:w="1016"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lang w:val="fr-BE" w:eastAsia="fr-BE"/>
              </w:rPr>
            </w:pPr>
            <w:r>
              <w:rPr>
                <w:noProof/>
                <w:sz w:val="18"/>
                <w:szCs w:val="18"/>
                <w:lang w:val="fr-BE" w:eastAsia="fr-BE"/>
              </w:rPr>
              <w:t> </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lang w:val="fr-BE" w:eastAsia="fr-BE"/>
              </w:rPr>
            </w:pPr>
            <w:r>
              <w:rPr>
                <w:noProof/>
                <w:sz w:val="18"/>
                <w:szCs w:val="18"/>
                <w:lang w:val="fr-BE" w:eastAsia="fr-BE"/>
              </w:rPr>
              <w:t> </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lang w:val="fr-BE" w:eastAsia="fr-BE"/>
              </w:rPr>
            </w:pPr>
            <w:r>
              <w:rPr>
                <w:noProof/>
                <w:sz w:val="18"/>
                <w:szCs w:val="18"/>
                <w:lang w:val="fr-BE" w:eastAsia="fr-BE"/>
              </w:rPr>
              <w:t> </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lang w:val="fr-BE" w:eastAsia="fr-BE"/>
              </w:rPr>
            </w:pPr>
            <w:r>
              <w:rPr>
                <w:noProof/>
                <w:sz w:val="18"/>
                <w:szCs w:val="18"/>
                <w:lang w:val="fr-BE" w:eastAsia="fr-BE"/>
              </w:rPr>
              <w:t> </w:t>
            </w:r>
          </w:p>
        </w:tc>
        <w:tc>
          <w:tcPr>
            <w:tcW w:w="1016" w:type="dxa"/>
            <w:tcBorders>
              <w:top w:val="nil"/>
              <w:left w:val="nil"/>
              <w:bottom w:val="nil"/>
              <w:right w:val="single" w:sz="4" w:space="0" w:color="auto"/>
            </w:tcBorders>
            <w:shd w:val="clear" w:color="auto" w:fill="auto"/>
            <w:noWrap/>
            <w:vAlign w:val="bottom"/>
            <w:hideMark/>
          </w:tcPr>
          <w:p>
            <w:pPr>
              <w:keepNext/>
              <w:keepLines/>
              <w:spacing w:before="0" w:after="0"/>
              <w:jc w:val="left"/>
              <w:rPr>
                <w:b/>
                <w:bCs/>
                <w:noProof/>
                <w:sz w:val="18"/>
                <w:szCs w:val="18"/>
                <w:lang w:val="fr-BE" w:eastAsia="fr-BE"/>
              </w:rPr>
            </w:pPr>
            <w:r>
              <w:rPr>
                <w:b/>
                <w:bCs/>
                <w:noProof/>
                <w:sz w:val="18"/>
                <w:szCs w:val="18"/>
                <w:lang w:val="fr-BE" w:eastAsia="fr-BE"/>
              </w:rPr>
              <w:t> </w:t>
            </w:r>
          </w:p>
        </w:tc>
      </w:tr>
      <w:tr>
        <w:trPr>
          <w:gridAfter w:val="1"/>
          <w:wAfter w:w="11" w:type="dxa"/>
          <w:trHeight w:val="255"/>
          <w:jc w:val="center"/>
        </w:trPr>
        <w:tc>
          <w:tcPr>
            <w:tcW w:w="2012" w:type="dxa"/>
            <w:tcBorders>
              <w:top w:val="nil"/>
              <w:left w:val="single" w:sz="4" w:space="0" w:color="auto"/>
              <w:bottom w:val="nil"/>
              <w:right w:val="single" w:sz="4" w:space="0" w:color="auto"/>
            </w:tcBorders>
            <w:shd w:val="clear" w:color="auto" w:fill="auto"/>
            <w:noWrap/>
            <w:vAlign w:val="bottom"/>
            <w:hideMark/>
          </w:tcPr>
          <w:p>
            <w:pPr>
              <w:keepNext/>
              <w:keepLines/>
              <w:spacing w:before="0" w:after="0"/>
              <w:ind w:firstLineChars="100" w:firstLine="180"/>
              <w:jc w:val="left"/>
              <w:rPr>
                <w:i/>
                <w:iCs/>
                <w:noProof/>
                <w:sz w:val="18"/>
                <w:szCs w:val="18"/>
                <w:lang w:val="fr-BE" w:eastAsia="fr-BE"/>
              </w:rPr>
            </w:pPr>
            <w:r>
              <w:rPr>
                <w:i/>
                <w:iCs/>
                <w:noProof/>
                <w:sz w:val="18"/>
                <w:szCs w:val="18"/>
                <w:lang w:val="fr-BE" w:eastAsia="fr-BE"/>
              </w:rPr>
              <w:t>In commitments</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0,0</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0,0</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-240,1</w:t>
            </w:r>
          </w:p>
        </w:tc>
        <w:tc>
          <w:tcPr>
            <w:tcW w:w="1016"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-1 082,3</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-318,0</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-253,9</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-252,0</w:t>
            </w:r>
          </w:p>
        </w:tc>
        <w:tc>
          <w:tcPr>
            <w:tcW w:w="1016" w:type="dxa"/>
            <w:tcBorders>
              <w:top w:val="nil"/>
              <w:left w:val="nil"/>
              <w:bottom w:val="nil"/>
              <w:right w:val="single" w:sz="4" w:space="0" w:color="auto"/>
            </w:tcBorders>
            <w:shd w:val="clear" w:color="auto" w:fill="auto"/>
            <w:noWrap/>
            <w:vAlign w:val="bottom"/>
            <w:hideMark/>
          </w:tcPr>
          <w:p>
            <w:pPr>
              <w:keepNext/>
              <w:keepLines/>
              <w:spacing w:before="0" w:after="0"/>
              <w:jc w:val="right"/>
              <w:rPr>
                <w:b/>
                <w:bCs/>
                <w:noProof/>
                <w:sz w:val="18"/>
                <w:szCs w:val="18"/>
                <w:lang w:val="fr-BE" w:eastAsia="fr-BE"/>
              </w:rPr>
            </w:pPr>
            <w:r>
              <w:rPr>
                <w:b/>
                <w:bCs/>
                <w:noProof/>
                <w:sz w:val="18"/>
                <w:szCs w:val="18"/>
                <w:lang w:val="fr-BE" w:eastAsia="fr-BE"/>
              </w:rPr>
              <w:t>-2 146,3</w:t>
            </w:r>
          </w:p>
        </w:tc>
      </w:tr>
      <w:tr>
        <w:trPr>
          <w:gridAfter w:val="1"/>
          <w:wAfter w:w="11" w:type="dxa"/>
          <w:trHeight w:val="255"/>
          <w:jc w:val="center"/>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pPr>
              <w:keepNext/>
              <w:keepLines/>
              <w:spacing w:before="0" w:after="0"/>
              <w:ind w:firstLineChars="100" w:firstLine="180"/>
              <w:jc w:val="left"/>
              <w:rPr>
                <w:i/>
                <w:iCs/>
                <w:noProof/>
                <w:sz w:val="18"/>
                <w:szCs w:val="18"/>
                <w:lang w:val="fr-BE" w:eastAsia="fr-BE"/>
              </w:rPr>
            </w:pPr>
            <w:r>
              <w:rPr>
                <w:i/>
                <w:iCs/>
                <w:noProof/>
                <w:sz w:val="18"/>
                <w:szCs w:val="18"/>
                <w:lang w:val="fr-BE" w:eastAsia="fr-BE"/>
              </w:rPr>
              <w:t>In payments</w:t>
            </w:r>
          </w:p>
        </w:tc>
        <w:tc>
          <w:tcPr>
            <w:tcW w:w="925"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0,0</w:t>
            </w:r>
          </w:p>
        </w:tc>
        <w:tc>
          <w:tcPr>
            <w:tcW w:w="925"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0,0</w:t>
            </w:r>
          </w:p>
        </w:tc>
        <w:tc>
          <w:tcPr>
            <w:tcW w:w="925"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0,0</w:t>
            </w:r>
          </w:p>
        </w:tc>
        <w:tc>
          <w:tcPr>
            <w:tcW w:w="1016"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-2 818,2</w:t>
            </w:r>
          </w:p>
        </w:tc>
        <w:tc>
          <w:tcPr>
            <w:tcW w:w="925"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0,0</w:t>
            </w:r>
          </w:p>
        </w:tc>
        <w:tc>
          <w:tcPr>
            <w:tcW w:w="925"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0,0</w:t>
            </w:r>
          </w:p>
        </w:tc>
        <w:tc>
          <w:tcPr>
            <w:tcW w:w="925"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lang w:val="fr-BE" w:eastAsia="fr-BE"/>
              </w:rPr>
            </w:pPr>
            <w:r>
              <w:rPr>
                <w:noProof/>
                <w:sz w:val="18"/>
                <w:szCs w:val="18"/>
                <w:lang w:val="fr-BE" w:eastAsia="fr-BE"/>
              </w:rPr>
              <w:t>0,0</w:t>
            </w:r>
          </w:p>
        </w:tc>
        <w:tc>
          <w:tcPr>
            <w:tcW w:w="1016"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b/>
                <w:bCs/>
                <w:noProof/>
                <w:sz w:val="18"/>
                <w:szCs w:val="18"/>
                <w:lang w:val="fr-BE" w:eastAsia="fr-BE"/>
              </w:rPr>
            </w:pPr>
            <w:r>
              <w:rPr>
                <w:b/>
                <w:bCs/>
                <w:noProof/>
                <w:sz w:val="18"/>
                <w:szCs w:val="18"/>
                <w:lang w:val="fr-BE" w:eastAsia="fr-BE"/>
              </w:rPr>
              <w:t>-2 818,2</w:t>
            </w:r>
          </w:p>
        </w:tc>
      </w:tr>
    </w:tbl>
    <w:p>
      <w:pPr>
        <w:pStyle w:val="ManualHeading2"/>
        <w:rPr>
          <w:noProof/>
        </w:rPr>
      </w:pPr>
      <w:bookmarkStart w:id="10" w:name="_Toc360453131"/>
      <w:r>
        <w:rPr>
          <w:noProof/>
        </w:rPr>
        <w:t>3.6.</w:t>
      </w:r>
      <w:r>
        <w:rPr>
          <w:noProof/>
        </w:rPr>
        <w:tab/>
        <w:t>Global margin for commitments</w:t>
      </w:r>
      <w:bookmarkEnd w:id="10"/>
      <w:r>
        <w:rPr>
          <w:noProof/>
        </w:rPr>
        <w:t xml:space="preserve"> for growth and employment, in particular youth employment, and for migration and security measures (GMC)</w:t>
      </w:r>
    </w:p>
    <w:p>
      <w:pPr>
        <w:pStyle w:val="Text1"/>
        <w:rPr>
          <w:noProof/>
        </w:rPr>
      </w:pPr>
      <w:r>
        <w:rPr>
          <w:noProof/>
        </w:rPr>
        <w:t>According to Article 14 of the MFF Regulation, as amended by Council Regulation (EU, Euratom) No 2017/1123, margins left available below the MFF ceilings for commitment appropriations shall constitute a Global MFF Margin for commitments, to be made available over and above the ceilings established in the MFF for the years 2016 to 2020 for policy objectives related to growth and employment, in particular youth employment, and to migration and security.</w:t>
      </w:r>
    </w:p>
    <w:p>
      <w:pPr>
        <w:pStyle w:val="Text1"/>
        <w:rPr>
          <w:noProof/>
        </w:rPr>
      </w:pPr>
      <w:r>
        <w:rPr>
          <w:noProof/>
        </w:rPr>
        <w:t>In the final budget 2019 the margin left available under the commitment ceiling amounts to EUR 1</w:t>
      </w:r>
      <w:r>
        <w:rPr>
          <w:bCs/>
          <w:noProof/>
        </w:rPr>
        <w:t> 291,</w:t>
      </w:r>
      <w:r>
        <w:rPr>
          <w:noProof/>
        </w:rPr>
        <w:t>1 million. The commitments on Special instruments (including the use of GMC and the Contingency margin) are not taken into account as they are implemented over and above the MFF ceilings.</w:t>
      </w:r>
    </w:p>
    <w:p>
      <w:pPr>
        <w:pStyle w:val="Text1"/>
        <w:rPr>
          <w:noProof/>
        </w:rPr>
      </w:pPr>
      <w:r>
        <w:rPr>
          <w:noProof/>
        </w:rPr>
        <w:t>According to Article 6(2) of the MFF Regulation, the 2% annual deflator shall be used for the calculation of the GMC. The amount of the remaining margin from 2019 which shall be made available for 2020 corresponds to EUR 1 316,9 million in current prices. The amount of GMC in 2011 prices corresponds to EUR 1 101,9 million.</w:t>
      </w:r>
    </w:p>
    <w:p>
      <w:pPr>
        <w:pStyle w:val="Text1"/>
        <w:rPr>
          <w:noProof/>
        </w:rPr>
      </w:pPr>
      <w:r>
        <w:rPr>
          <w:noProof/>
        </w:rPr>
        <w:t>The table below shows the details of the calculation of the GMC 2019:</w:t>
      </w:r>
    </w:p>
    <w:tbl>
      <w:tblPr>
        <w:tblW w:w="5870" w:type="dxa"/>
        <w:jc w:val="center"/>
        <w:tblCellMar>
          <w:left w:w="70" w:type="dxa"/>
          <w:right w:w="70" w:type="dxa"/>
        </w:tblCellMar>
        <w:tblLook w:val="04A0" w:firstRow="1" w:lastRow="0" w:firstColumn="1" w:lastColumn="0" w:noHBand="0" w:noVBand="1"/>
      </w:tblPr>
      <w:tblGrid>
        <w:gridCol w:w="4794"/>
        <w:gridCol w:w="1076"/>
      </w:tblGrid>
      <w:tr>
        <w:trPr>
          <w:trHeight w:val="270"/>
          <w:jc w:val="center"/>
        </w:trPr>
        <w:tc>
          <w:tcPr>
            <w:tcW w:w="5870" w:type="dxa"/>
            <w:gridSpan w:val="2"/>
            <w:tcBorders>
              <w:top w:val="single" w:sz="8" w:space="0" w:color="auto"/>
              <w:left w:val="single" w:sz="8" w:space="0" w:color="auto"/>
              <w:bottom w:val="single" w:sz="8" w:space="0" w:color="auto"/>
              <w:right w:val="single" w:sz="8" w:space="0" w:color="000000"/>
            </w:tcBorders>
            <w:shd w:val="clear" w:color="auto" w:fill="auto"/>
            <w:hideMark/>
          </w:tcPr>
          <w:p>
            <w:pPr>
              <w:spacing w:before="0" w:after="0"/>
              <w:jc w:val="center"/>
              <w:rPr>
                <w:b/>
                <w:bCs/>
                <w:noProof/>
                <w:sz w:val="18"/>
                <w:szCs w:val="18"/>
                <w:lang w:val="cs-CZ" w:eastAsia="cs-CZ"/>
              </w:rPr>
            </w:pPr>
            <w:r>
              <w:rPr>
                <w:b/>
                <w:bCs/>
                <w:noProof/>
                <w:sz w:val="18"/>
                <w:szCs w:val="18"/>
                <w:lang w:val="cs-CZ" w:eastAsia="cs-CZ"/>
              </w:rPr>
              <w:t>Global margin for commitments - 2019</w:t>
            </w:r>
          </w:p>
        </w:tc>
      </w:tr>
      <w:tr>
        <w:trPr>
          <w:trHeight w:val="270"/>
          <w:jc w:val="center"/>
        </w:trPr>
        <w:tc>
          <w:tcPr>
            <w:tcW w:w="5870" w:type="dxa"/>
            <w:gridSpan w:val="2"/>
            <w:tcBorders>
              <w:top w:val="nil"/>
              <w:left w:val="single" w:sz="8" w:space="0" w:color="auto"/>
              <w:bottom w:val="single" w:sz="8" w:space="0" w:color="auto"/>
              <w:right w:val="single" w:sz="8" w:space="0" w:color="auto"/>
            </w:tcBorders>
            <w:shd w:val="clear" w:color="auto" w:fill="auto"/>
            <w:hideMark/>
          </w:tcPr>
          <w:p>
            <w:pPr>
              <w:spacing w:before="0" w:after="0"/>
              <w:jc w:val="right"/>
              <w:rPr>
                <w:i/>
                <w:iCs/>
                <w:noProof/>
                <w:sz w:val="18"/>
                <w:szCs w:val="18"/>
                <w:lang w:val="cs-CZ" w:eastAsia="cs-CZ"/>
              </w:rPr>
            </w:pPr>
            <w:r>
              <w:rPr>
                <w:b/>
                <w:bCs/>
                <w:noProof/>
                <w:sz w:val="18"/>
                <w:szCs w:val="18"/>
                <w:lang w:val="cs-CZ" w:eastAsia="cs-CZ"/>
              </w:rPr>
              <w:t> </w:t>
            </w:r>
            <w:r>
              <w:rPr>
                <w:i/>
                <w:iCs/>
                <w:noProof/>
                <w:sz w:val="18"/>
                <w:szCs w:val="18"/>
                <w:lang w:val="cs-CZ" w:eastAsia="cs-CZ"/>
              </w:rPr>
              <w:t>EUR million</w:t>
            </w:r>
          </w:p>
        </w:tc>
      </w:tr>
      <w:tr>
        <w:trPr>
          <w:trHeight w:val="270"/>
          <w:jc w:val="center"/>
        </w:trPr>
        <w:tc>
          <w:tcPr>
            <w:tcW w:w="4794" w:type="dxa"/>
            <w:tcBorders>
              <w:top w:val="nil"/>
              <w:left w:val="single" w:sz="8" w:space="0" w:color="auto"/>
              <w:bottom w:val="single" w:sz="8" w:space="0" w:color="auto"/>
              <w:right w:val="single" w:sz="8" w:space="0" w:color="auto"/>
            </w:tcBorders>
            <w:shd w:val="clear" w:color="auto" w:fill="auto"/>
            <w:hideMark/>
          </w:tcPr>
          <w:p>
            <w:pPr>
              <w:spacing w:before="0" w:after="0"/>
              <w:jc w:val="left"/>
              <w:rPr>
                <w:noProof/>
                <w:sz w:val="18"/>
                <w:szCs w:val="18"/>
                <w:lang w:val="cs-CZ" w:eastAsia="cs-CZ"/>
              </w:rPr>
            </w:pPr>
            <w:r>
              <w:rPr>
                <w:noProof/>
                <w:sz w:val="18"/>
                <w:szCs w:val="18"/>
                <w:lang w:val="cs-CZ" w:eastAsia="cs-CZ"/>
              </w:rPr>
              <w:t>Ceiling CA 2019</w:t>
            </w:r>
          </w:p>
        </w:tc>
        <w:tc>
          <w:tcPr>
            <w:tcW w:w="1076" w:type="dxa"/>
            <w:tcBorders>
              <w:top w:val="nil"/>
              <w:left w:val="nil"/>
              <w:bottom w:val="single" w:sz="8" w:space="0" w:color="auto"/>
              <w:right w:val="single" w:sz="8" w:space="0" w:color="auto"/>
            </w:tcBorders>
            <w:shd w:val="clear" w:color="auto" w:fill="auto"/>
            <w:hideMark/>
          </w:tcPr>
          <w:p>
            <w:pPr>
              <w:spacing w:before="0" w:after="0"/>
              <w:jc w:val="right"/>
              <w:rPr>
                <w:noProof/>
                <w:sz w:val="18"/>
                <w:szCs w:val="18"/>
                <w:lang w:val="cs-CZ" w:eastAsia="cs-CZ"/>
              </w:rPr>
            </w:pPr>
            <w:r>
              <w:rPr>
                <w:noProof/>
                <w:sz w:val="18"/>
                <w:szCs w:val="18"/>
                <w:lang w:val="cs-CZ" w:eastAsia="cs-CZ"/>
              </w:rPr>
              <w:t>164 123,0</w:t>
            </w:r>
          </w:p>
        </w:tc>
      </w:tr>
      <w:tr>
        <w:trPr>
          <w:trHeight w:val="270"/>
          <w:jc w:val="center"/>
        </w:trPr>
        <w:tc>
          <w:tcPr>
            <w:tcW w:w="4794" w:type="dxa"/>
            <w:tcBorders>
              <w:top w:val="nil"/>
              <w:left w:val="single" w:sz="8" w:space="0" w:color="auto"/>
              <w:bottom w:val="single" w:sz="8" w:space="0" w:color="auto"/>
              <w:right w:val="single" w:sz="8" w:space="0" w:color="auto"/>
            </w:tcBorders>
            <w:shd w:val="clear" w:color="auto" w:fill="auto"/>
            <w:hideMark/>
          </w:tcPr>
          <w:p>
            <w:pPr>
              <w:spacing w:before="0" w:after="0"/>
              <w:jc w:val="left"/>
              <w:rPr>
                <w:noProof/>
                <w:sz w:val="18"/>
                <w:szCs w:val="18"/>
                <w:lang w:val="cs-CZ" w:eastAsia="cs-CZ"/>
              </w:rPr>
            </w:pPr>
            <w:r>
              <w:rPr>
                <w:noProof/>
                <w:sz w:val="18"/>
                <w:szCs w:val="18"/>
                <w:lang w:val="cs-CZ" w:eastAsia="cs-CZ"/>
              </w:rPr>
              <w:t>Total authorised appropriations budget 2019</w:t>
            </w:r>
          </w:p>
        </w:tc>
        <w:tc>
          <w:tcPr>
            <w:tcW w:w="1076" w:type="dxa"/>
            <w:tcBorders>
              <w:top w:val="nil"/>
              <w:left w:val="nil"/>
              <w:bottom w:val="single" w:sz="8" w:space="0" w:color="auto"/>
              <w:right w:val="single" w:sz="8" w:space="0" w:color="auto"/>
            </w:tcBorders>
            <w:shd w:val="clear" w:color="auto" w:fill="auto"/>
            <w:hideMark/>
          </w:tcPr>
          <w:p>
            <w:pPr>
              <w:spacing w:before="0" w:after="0"/>
              <w:jc w:val="right"/>
              <w:rPr>
                <w:noProof/>
                <w:sz w:val="18"/>
                <w:szCs w:val="18"/>
                <w:lang w:val="cs-CZ" w:eastAsia="cs-CZ"/>
              </w:rPr>
            </w:pPr>
            <w:r>
              <w:rPr>
                <w:noProof/>
                <w:sz w:val="18"/>
                <w:szCs w:val="18"/>
                <w:lang w:val="cs-CZ" w:eastAsia="cs-CZ"/>
              </w:rPr>
              <w:t>166 189,2</w:t>
            </w:r>
          </w:p>
        </w:tc>
      </w:tr>
      <w:tr>
        <w:trPr>
          <w:trHeight w:val="270"/>
          <w:jc w:val="center"/>
        </w:trPr>
        <w:tc>
          <w:tcPr>
            <w:tcW w:w="4794" w:type="dxa"/>
            <w:tcBorders>
              <w:top w:val="nil"/>
              <w:left w:val="single" w:sz="8" w:space="0" w:color="auto"/>
              <w:bottom w:val="single" w:sz="8" w:space="0" w:color="auto"/>
              <w:right w:val="single" w:sz="8" w:space="0" w:color="auto"/>
            </w:tcBorders>
            <w:shd w:val="clear" w:color="auto" w:fill="auto"/>
            <w:hideMark/>
          </w:tcPr>
          <w:p>
            <w:pPr>
              <w:spacing w:before="0" w:after="0"/>
              <w:jc w:val="left"/>
              <w:rPr>
                <w:noProof/>
                <w:sz w:val="18"/>
                <w:szCs w:val="18"/>
                <w:lang w:val="cs-CZ" w:eastAsia="cs-CZ"/>
              </w:rPr>
            </w:pPr>
            <w:r>
              <w:rPr>
                <w:noProof/>
                <w:sz w:val="18"/>
                <w:szCs w:val="18"/>
                <w:lang w:val="cs-CZ" w:eastAsia="cs-CZ"/>
              </w:rPr>
              <w:t>of which special instruments:</w:t>
            </w:r>
          </w:p>
        </w:tc>
        <w:tc>
          <w:tcPr>
            <w:tcW w:w="1076" w:type="dxa"/>
            <w:tcBorders>
              <w:top w:val="nil"/>
              <w:left w:val="nil"/>
              <w:bottom w:val="single" w:sz="8" w:space="0" w:color="auto"/>
              <w:right w:val="single" w:sz="8" w:space="0" w:color="auto"/>
            </w:tcBorders>
            <w:shd w:val="clear" w:color="auto" w:fill="auto"/>
            <w:hideMark/>
          </w:tcPr>
          <w:p>
            <w:pPr>
              <w:spacing w:before="0" w:after="0"/>
              <w:jc w:val="right"/>
              <w:rPr>
                <w:noProof/>
                <w:sz w:val="18"/>
                <w:szCs w:val="18"/>
                <w:lang w:val="cs-CZ" w:eastAsia="cs-CZ"/>
              </w:rPr>
            </w:pPr>
            <w:r>
              <w:rPr>
                <w:noProof/>
                <w:sz w:val="18"/>
                <w:szCs w:val="18"/>
                <w:lang w:val="cs-CZ" w:eastAsia="cs-CZ"/>
              </w:rPr>
              <w:t>3 357,3</w:t>
            </w:r>
          </w:p>
        </w:tc>
      </w:tr>
      <w:tr>
        <w:trPr>
          <w:trHeight w:val="255"/>
          <w:jc w:val="center"/>
        </w:trPr>
        <w:tc>
          <w:tcPr>
            <w:tcW w:w="4794" w:type="dxa"/>
            <w:tcBorders>
              <w:top w:val="nil"/>
              <w:left w:val="single" w:sz="8" w:space="0" w:color="auto"/>
              <w:bottom w:val="nil"/>
              <w:right w:val="single" w:sz="8" w:space="0" w:color="auto"/>
            </w:tcBorders>
            <w:shd w:val="clear" w:color="auto" w:fill="auto"/>
            <w:vAlign w:val="center"/>
            <w:hideMark/>
          </w:tcPr>
          <w:p>
            <w:pPr>
              <w:spacing w:before="0" w:after="0"/>
              <w:ind w:firstLineChars="100" w:firstLine="180"/>
              <w:jc w:val="left"/>
              <w:rPr>
                <w:noProof/>
                <w:sz w:val="18"/>
                <w:szCs w:val="18"/>
                <w:lang w:val="cs-CZ" w:eastAsia="cs-CZ"/>
              </w:rPr>
            </w:pPr>
            <w:r>
              <w:rPr>
                <w:noProof/>
                <w:sz w:val="18"/>
                <w:szCs w:val="18"/>
                <w:lang w:val="cs-CZ" w:eastAsia="cs-CZ"/>
              </w:rPr>
              <w:t>European Union Solidarity Fund</w:t>
            </w:r>
          </w:p>
        </w:tc>
        <w:tc>
          <w:tcPr>
            <w:tcW w:w="1076" w:type="dxa"/>
            <w:tcBorders>
              <w:top w:val="nil"/>
              <w:left w:val="nil"/>
              <w:bottom w:val="nil"/>
              <w:right w:val="single" w:sz="8" w:space="0" w:color="auto"/>
            </w:tcBorders>
            <w:shd w:val="clear" w:color="auto" w:fill="auto"/>
            <w:hideMark/>
          </w:tcPr>
          <w:p>
            <w:pPr>
              <w:spacing w:before="0" w:after="0"/>
              <w:jc w:val="right"/>
              <w:rPr>
                <w:noProof/>
                <w:sz w:val="18"/>
                <w:szCs w:val="18"/>
                <w:lang w:val="cs-CZ" w:eastAsia="cs-CZ"/>
              </w:rPr>
            </w:pPr>
            <w:r>
              <w:rPr>
                <w:noProof/>
                <w:sz w:val="18"/>
                <w:szCs w:val="18"/>
                <w:lang w:val="cs-CZ" w:eastAsia="cs-CZ"/>
              </w:rPr>
              <w:t>343,6</w:t>
            </w:r>
          </w:p>
        </w:tc>
      </w:tr>
      <w:tr>
        <w:trPr>
          <w:trHeight w:val="255"/>
          <w:jc w:val="center"/>
        </w:trPr>
        <w:tc>
          <w:tcPr>
            <w:tcW w:w="4794" w:type="dxa"/>
            <w:tcBorders>
              <w:top w:val="nil"/>
              <w:left w:val="single" w:sz="8" w:space="0" w:color="auto"/>
              <w:bottom w:val="nil"/>
              <w:right w:val="single" w:sz="8" w:space="0" w:color="auto"/>
            </w:tcBorders>
            <w:shd w:val="clear" w:color="auto" w:fill="auto"/>
            <w:vAlign w:val="center"/>
            <w:hideMark/>
          </w:tcPr>
          <w:p>
            <w:pPr>
              <w:spacing w:before="0" w:after="0"/>
              <w:ind w:firstLineChars="100" w:firstLine="180"/>
              <w:jc w:val="left"/>
              <w:rPr>
                <w:noProof/>
                <w:sz w:val="18"/>
                <w:szCs w:val="18"/>
                <w:lang w:val="cs-CZ" w:eastAsia="cs-CZ"/>
              </w:rPr>
            </w:pPr>
            <w:r>
              <w:rPr>
                <w:noProof/>
                <w:sz w:val="18"/>
                <w:szCs w:val="18"/>
                <w:lang w:val="cs-CZ" w:eastAsia="cs-CZ"/>
              </w:rPr>
              <w:t>European Globalisation Adjustment Fund</w:t>
            </w:r>
          </w:p>
        </w:tc>
        <w:tc>
          <w:tcPr>
            <w:tcW w:w="1076" w:type="dxa"/>
            <w:tcBorders>
              <w:top w:val="nil"/>
              <w:left w:val="nil"/>
              <w:bottom w:val="nil"/>
              <w:right w:val="single" w:sz="8" w:space="0" w:color="auto"/>
            </w:tcBorders>
            <w:shd w:val="clear" w:color="auto" w:fill="auto"/>
            <w:hideMark/>
          </w:tcPr>
          <w:p>
            <w:pPr>
              <w:spacing w:before="0" w:after="0"/>
              <w:jc w:val="right"/>
              <w:rPr>
                <w:noProof/>
                <w:sz w:val="18"/>
                <w:szCs w:val="18"/>
                <w:lang w:val="cs-CZ" w:eastAsia="cs-CZ"/>
              </w:rPr>
            </w:pPr>
            <w:r>
              <w:rPr>
                <w:noProof/>
                <w:sz w:val="18"/>
                <w:szCs w:val="18"/>
                <w:lang w:val="cs-CZ" w:eastAsia="cs-CZ"/>
              </w:rPr>
              <w:t>175,7</w:t>
            </w:r>
          </w:p>
        </w:tc>
      </w:tr>
      <w:tr>
        <w:trPr>
          <w:trHeight w:val="255"/>
          <w:jc w:val="center"/>
        </w:trPr>
        <w:tc>
          <w:tcPr>
            <w:tcW w:w="4794" w:type="dxa"/>
            <w:tcBorders>
              <w:top w:val="nil"/>
              <w:left w:val="single" w:sz="8" w:space="0" w:color="auto"/>
              <w:bottom w:val="nil"/>
              <w:right w:val="single" w:sz="8" w:space="0" w:color="auto"/>
            </w:tcBorders>
            <w:shd w:val="clear" w:color="auto" w:fill="auto"/>
            <w:vAlign w:val="center"/>
            <w:hideMark/>
          </w:tcPr>
          <w:p>
            <w:pPr>
              <w:spacing w:before="0" w:after="0"/>
              <w:ind w:firstLineChars="100" w:firstLine="180"/>
              <w:jc w:val="left"/>
              <w:rPr>
                <w:noProof/>
                <w:sz w:val="18"/>
                <w:szCs w:val="18"/>
                <w:lang w:val="cs-CZ" w:eastAsia="cs-CZ"/>
              </w:rPr>
            </w:pPr>
            <w:r>
              <w:rPr>
                <w:noProof/>
                <w:sz w:val="18"/>
                <w:szCs w:val="18"/>
                <w:lang w:val="cs-CZ" w:eastAsia="cs-CZ"/>
              </w:rPr>
              <w:t>Emergency Aid Reserve</w:t>
            </w:r>
          </w:p>
        </w:tc>
        <w:tc>
          <w:tcPr>
            <w:tcW w:w="1076" w:type="dxa"/>
            <w:tcBorders>
              <w:top w:val="nil"/>
              <w:left w:val="nil"/>
              <w:bottom w:val="nil"/>
              <w:right w:val="single" w:sz="8" w:space="0" w:color="auto"/>
            </w:tcBorders>
            <w:shd w:val="clear" w:color="auto" w:fill="auto"/>
            <w:hideMark/>
          </w:tcPr>
          <w:p>
            <w:pPr>
              <w:spacing w:before="0" w:after="0"/>
              <w:jc w:val="right"/>
              <w:rPr>
                <w:noProof/>
                <w:sz w:val="18"/>
                <w:szCs w:val="18"/>
                <w:lang w:val="cs-CZ" w:eastAsia="cs-CZ"/>
              </w:rPr>
            </w:pPr>
            <w:r>
              <w:rPr>
                <w:noProof/>
                <w:sz w:val="18"/>
                <w:szCs w:val="18"/>
                <w:lang w:val="cs-CZ" w:eastAsia="cs-CZ"/>
              </w:rPr>
              <w:t>351,5</w:t>
            </w:r>
          </w:p>
        </w:tc>
      </w:tr>
      <w:tr>
        <w:trPr>
          <w:trHeight w:val="255"/>
          <w:jc w:val="center"/>
        </w:trPr>
        <w:tc>
          <w:tcPr>
            <w:tcW w:w="4794" w:type="dxa"/>
            <w:tcBorders>
              <w:top w:val="nil"/>
              <w:left w:val="single" w:sz="8" w:space="0" w:color="auto"/>
              <w:bottom w:val="nil"/>
              <w:right w:val="single" w:sz="8" w:space="0" w:color="auto"/>
            </w:tcBorders>
            <w:shd w:val="clear" w:color="auto" w:fill="auto"/>
            <w:vAlign w:val="center"/>
            <w:hideMark/>
          </w:tcPr>
          <w:p>
            <w:pPr>
              <w:spacing w:before="0" w:after="0"/>
              <w:ind w:firstLineChars="100" w:firstLine="180"/>
              <w:jc w:val="left"/>
              <w:rPr>
                <w:noProof/>
                <w:sz w:val="18"/>
                <w:szCs w:val="18"/>
                <w:lang w:val="cs-CZ" w:eastAsia="cs-CZ"/>
              </w:rPr>
            </w:pPr>
            <w:r>
              <w:rPr>
                <w:noProof/>
                <w:sz w:val="18"/>
                <w:szCs w:val="18"/>
                <w:lang w:val="cs-CZ" w:eastAsia="cs-CZ"/>
              </w:rPr>
              <w:t>Flexibility instrument</w:t>
            </w:r>
          </w:p>
        </w:tc>
        <w:tc>
          <w:tcPr>
            <w:tcW w:w="1076" w:type="dxa"/>
            <w:tcBorders>
              <w:top w:val="nil"/>
              <w:left w:val="nil"/>
              <w:bottom w:val="nil"/>
              <w:right w:val="single" w:sz="8" w:space="0" w:color="auto"/>
            </w:tcBorders>
            <w:shd w:val="clear" w:color="auto" w:fill="auto"/>
            <w:hideMark/>
          </w:tcPr>
          <w:p>
            <w:pPr>
              <w:spacing w:before="0" w:after="0"/>
              <w:jc w:val="right"/>
              <w:rPr>
                <w:noProof/>
                <w:sz w:val="18"/>
                <w:szCs w:val="18"/>
                <w:lang w:val="cs-CZ" w:eastAsia="cs-CZ"/>
              </w:rPr>
            </w:pPr>
            <w:r>
              <w:rPr>
                <w:noProof/>
                <w:sz w:val="18"/>
                <w:szCs w:val="18"/>
                <w:lang w:val="cs-CZ" w:eastAsia="cs-CZ"/>
              </w:rPr>
              <w:t>1 164,3</w:t>
            </w:r>
          </w:p>
        </w:tc>
      </w:tr>
      <w:tr>
        <w:trPr>
          <w:trHeight w:val="270"/>
          <w:jc w:val="center"/>
        </w:trPr>
        <w:tc>
          <w:tcPr>
            <w:tcW w:w="4794" w:type="dxa"/>
            <w:tcBorders>
              <w:top w:val="nil"/>
              <w:left w:val="single" w:sz="8" w:space="0" w:color="auto"/>
              <w:bottom w:val="nil"/>
              <w:right w:val="single" w:sz="8" w:space="0" w:color="auto"/>
            </w:tcBorders>
            <w:shd w:val="clear" w:color="auto" w:fill="auto"/>
            <w:vAlign w:val="center"/>
            <w:hideMark/>
          </w:tcPr>
          <w:p>
            <w:pPr>
              <w:spacing w:before="0" w:after="0"/>
              <w:ind w:firstLineChars="100" w:firstLine="180"/>
              <w:jc w:val="left"/>
              <w:rPr>
                <w:noProof/>
                <w:sz w:val="18"/>
                <w:szCs w:val="18"/>
                <w:lang w:val="cs-CZ" w:eastAsia="cs-CZ"/>
              </w:rPr>
            </w:pPr>
            <w:r>
              <w:rPr>
                <w:noProof/>
                <w:sz w:val="18"/>
                <w:szCs w:val="18"/>
                <w:lang w:val="cs-CZ" w:eastAsia="cs-CZ"/>
              </w:rPr>
              <w:t>Contingency margin</w:t>
            </w:r>
          </w:p>
        </w:tc>
        <w:tc>
          <w:tcPr>
            <w:tcW w:w="1076" w:type="dxa"/>
            <w:tcBorders>
              <w:top w:val="nil"/>
              <w:left w:val="nil"/>
              <w:bottom w:val="nil"/>
              <w:right w:val="single" w:sz="8" w:space="0" w:color="auto"/>
            </w:tcBorders>
            <w:shd w:val="clear" w:color="auto" w:fill="auto"/>
            <w:hideMark/>
          </w:tcPr>
          <w:p>
            <w:pPr>
              <w:spacing w:before="0" w:after="0"/>
              <w:jc w:val="right"/>
              <w:rPr>
                <w:noProof/>
                <w:sz w:val="18"/>
                <w:szCs w:val="18"/>
                <w:lang w:val="cs-CZ" w:eastAsia="cs-CZ"/>
              </w:rPr>
            </w:pPr>
            <w:r>
              <w:rPr>
                <w:noProof/>
                <w:sz w:val="18"/>
                <w:szCs w:val="18"/>
                <w:lang w:val="cs-CZ" w:eastAsia="cs-CZ"/>
              </w:rPr>
              <w:t>-253,9</w:t>
            </w:r>
          </w:p>
        </w:tc>
      </w:tr>
      <w:tr>
        <w:trPr>
          <w:trHeight w:val="270"/>
          <w:jc w:val="center"/>
        </w:trPr>
        <w:tc>
          <w:tcPr>
            <w:tcW w:w="4794" w:type="dxa"/>
            <w:tcBorders>
              <w:top w:val="nil"/>
              <w:left w:val="single" w:sz="8" w:space="0" w:color="auto"/>
              <w:bottom w:val="nil"/>
              <w:right w:val="single" w:sz="8" w:space="0" w:color="auto"/>
            </w:tcBorders>
            <w:shd w:val="clear" w:color="auto" w:fill="auto"/>
            <w:hideMark/>
          </w:tcPr>
          <w:p>
            <w:pPr>
              <w:spacing w:before="0" w:after="0"/>
              <w:ind w:firstLineChars="100" w:firstLine="180"/>
              <w:jc w:val="left"/>
              <w:rPr>
                <w:noProof/>
                <w:sz w:val="18"/>
                <w:szCs w:val="18"/>
                <w:lang w:val="cs-CZ" w:eastAsia="cs-CZ"/>
              </w:rPr>
            </w:pPr>
            <w:r>
              <w:rPr>
                <w:noProof/>
                <w:sz w:val="18"/>
                <w:szCs w:val="18"/>
                <w:lang w:val="cs-CZ" w:eastAsia="cs-CZ"/>
              </w:rPr>
              <w:t>GMC mobilised in 2019</w:t>
            </w:r>
          </w:p>
        </w:tc>
        <w:tc>
          <w:tcPr>
            <w:tcW w:w="1076" w:type="dxa"/>
            <w:tcBorders>
              <w:top w:val="nil"/>
              <w:left w:val="nil"/>
              <w:bottom w:val="nil"/>
              <w:right w:val="single" w:sz="8" w:space="0" w:color="auto"/>
            </w:tcBorders>
            <w:shd w:val="clear" w:color="auto" w:fill="auto"/>
            <w:hideMark/>
          </w:tcPr>
          <w:p>
            <w:pPr>
              <w:spacing w:before="0" w:after="0"/>
              <w:jc w:val="right"/>
              <w:rPr>
                <w:noProof/>
                <w:sz w:val="18"/>
                <w:szCs w:val="18"/>
                <w:lang w:val="cs-CZ" w:eastAsia="cs-CZ"/>
              </w:rPr>
            </w:pPr>
            <w:r>
              <w:rPr>
                <w:noProof/>
                <w:sz w:val="18"/>
                <w:szCs w:val="18"/>
                <w:lang w:val="cs-CZ" w:eastAsia="cs-CZ"/>
              </w:rPr>
              <w:t>1 576,0</w:t>
            </w:r>
          </w:p>
        </w:tc>
      </w:tr>
      <w:tr>
        <w:trPr>
          <w:trHeight w:val="270"/>
          <w:jc w:val="center"/>
        </w:trPr>
        <w:tc>
          <w:tcPr>
            <w:tcW w:w="4794"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left"/>
              <w:rPr>
                <w:b/>
                <w:bCs/>
                <w:noProof/>
                <w:sz w:val="18"/>
                <w:szCs w:val="18"/>
                <w:lang w:val="cs-CZ" w:eastAsia="cs-CZ"/>
              </w:rPr>
            </w:pPr>
            <w:r>
              <w:rPr>
                <w:b/>
                <w:bCs/>
                <w:noProof/>
                <w:sz w:val="18"/>
                <w:szCs w:val="18"/>
                <w:lang w:val="cs-CZ" w:eastAsia="cs-CZ"/>
              </w:rPr>
              <w:t>Global margin for commitments 2019 (current prices)</w:t>
            </w:r>
          </w:p>
        </w:tc>
        <w:tc>
          <w:tcPr>
            <w:tcW w:w="1076" w:type="dxa"/>
            <w:tcBorders>
              <w:top w:val="single" w:sz="8" w:space="0" w:color="auto"/>
              <w:left w:val="nil"/>
              <w:bottom w:val="single" w:sz="8" w:space="0" w:color="auto"/>
              <w:right w:val="single" w:sz="8" w:space="0" w:color="auto"/>
            </w:tcBorders>
            <w:shd w:val="clear" w:color="auto" w:fill="auto"/>
            <w:hideMark/>
          </w:tcPr>
          <w:p>
            <w:pPr>
              <w:spacing w:before="0" w:after="0"/>
              <w:jc w:val="right"/>
              <w:rPr>
                <w:b/>
                <w:bCs/>
                <w:noProof/>
                <w:sz w:val="18"/>
                <w:szCs w:val="18"/>
                <w:lang w:val="cs-CZ" w:eastAsia="cs-CZ"/>
              </w:rPr>
            </w:pPr>
            <w:r>
              <w:rPr>
                <w:b/>
                <w:bCs/>
                <w:noProof/>
                <w:sz w:val="18"/>
                <w:szCs w:val="18"/>
                <w:lang w:val="cs-CZ" w:eastAsia="cs-CZ"/>
              </w:rPr>
              <w:t>1 291,1</w:t>
            </w:r>
          </w:p>
        </w:tc>
      </w:tr>
      <w:tr>
        <w:trPr>
          <w:trHeight w:val="270"/>
          <w:jc w:val="center"/>
        </w:trPr>
        <w:tc>
          <w:tcPr>
            <w:tcW w:w="4794" w:type="dxa"/>
            <w:tcBorders>
              <w:top w:val="nil"/>
              <w:left w:val="single" w:sz="8" w:space="0" w:color="auto"/>
              <w:bottom w:val="single" w:sz="8" w:space="0" w:color="auto"/>
              <w:right w:val="single" w:sz="8" w:space="0" w:color="auto"/>
            </w:tcBorders>
            <w:shd w:val="clear" w:color="auto" w:fill="auto"/>
            <w:hideMark/>
          </w:tcPr>
          <w:p>
            <w:pPr>
              <w:spacing w:before="0" w:after="0"/>
              <w:jc w:val="left"/>
              <w:rPr>
                <w:i/>
                <w:iCs/>
                <w:noProof/>
                <w:sz w:val="18"/>
                <w:szCs w:val="18"/>
                <w:lang w:val="cs-CZ" w:eastAsia="cs-CZ"/>
              </w:rPr>
            </w:pPr>
            <w:r>
              <w:rPr>
                <w:i/>
                <w:iCs/>
                <w:noProof/>
                <w:sz w:val="18"/>
                <w:szCs w:val="18"/>
                <w:lang w:val="cs-CZ" w:eastAsia="cs-CZ"/>
              </w:rPr>
              <w:t>Global margin for commitments 2019 (2011 prices)</w:t>
            </w:r>
          </w:p>
        </w:tc>
        <w:tc>
          <w:tcPr>
            <w:tcW w:w="1076" w:type="dxa"/>
            <w:tcBorders>
              <w:top w:val="nil"/>
              <w:left w:val="nil"/>
              <w:bottom w:val="single" w:sz="8" w:space="0" w:color="auto"/>
              <w:right w:val="single" w:sz="8" w:space="0" w:color="auto"/>
            </w:tcBorders>
            <w:shd w:val="clear" w:color="auto" w:fill="auto"/>
            <w:hideMark/>
          </w:tcPr>
          <w:p>
            <w:pPr>
              <w:spacing w:before="0" w:after="0"/>
              <w:jc w:val="right"/>
              <w:rPr>
                <w:i/>
                <w:iCs/>
                <w:noProof/>
                <w:sz w:val="18"/>
                <w:szCs w:val="18"/>
                <w:lang w:val="cs-CZ" w:eastAsia="cs-CZ"/>
              </w:rPr>
            </w:pPr>
            <w:r>
              <w:rPr>
                <w:i/>
                <w:iCs/>
                <w:noProof/>
                <w:sz w:val="18"/>
                <w:szCs w:val="18"/>
                <w:lang w:val="cs-CZ" w:eastAsia="cs-CZ"/>
              </w:rPr>
              <w:t>1 101,9</w:t>
            </w:r>
          </w:p>
        </w:tc>
      </w:tr>
      <w:tr>
        <w:trPr>
          <w:trHeight w:val="270"/>
          <w:jc w:val="center"/>
        </w:trPr>
        <w:tc>
          <w:tcPr>
            <w:tcW w:w="4794" w:type="dxa"/>
            <w:tcBorders>
              <w:top w:val="nil"/>
              <w:left w:val="single" w:sz="8" w:space="0" w:color="auto"/>
              <w:bottom w:val="single" w:sz="8" w:space="0" w:color="auto"/>
              <w:right w:val="single" w:sz="8" w:space="0" w:color="auto"/>
            </w:tcBorders>
            <w:shd w:val="clear" w:color="auto" w:fill="auto"/>
            <w:hideMark/>
          </w:tcPr>
          <w:p>
            <w:pPr>
              <w:spacing w:before="0" w:after="0"/>
              <w:jc w:val="left"/>
              <w:rPr>
                <w:b/>
                <w:bCs/>
                <w:noProof/>
                <w:sz w:val="18"/>
                <w:szCs w:val="18"/>
                <w:lang w:val="cs-CZ" w:eastAsia="cs-CZ"/>
              </w:rPr>
            </w:pPr>
            <w:r>
              <w:rPr>
                <w:b/>
                <w:bCs/>
                <w:noProof/>
                <w:sz w:val="18"/>
                <w:szCs w:val="18"/>
                <w:lang w:val="cs-CZ" w:eastAsia="cs-CZ"/>
              </w:rPr>
              <w:t>GMC 2019 available in 2020 (current prices)</w:t>
            </w:r>
          </w:p>
        </w:tc>
        <w:tc>
          <w:tcPr>
            <w:tcW w:w="1076" w:type="dxa"/>
            <w:tcBorders>
              <w:top w:val="nil"/>
              <w:left w:val="nil"/>
              <w:bottom w:val="single" w:sz="8" w:space="0" w:color="auto"/>
              <w:right w:val="single" w:sz="8" w:space="0" w:color="auto"/>
            </w:tcBorders>
            <w:shd w:val="clear" w:color="auto" w:fill="auto"/>
            <w:hideMark/>
          </w:tcPr>
          <w:p>
            <w:pPr>
              <w:spacing w:before="0" w:after="0"/>
              <w:jc w:val="right"/>
              <w:rPr>
                <w:b/>
                <w:bCs/>
                <w:noProof/>
                <w:sz w:val="18"/>
                <w:szCs w:val="18"/>
                <w:lang w:val="cs-CZ" w:eastAsia="cs-CZ"/>
              </w:rPr>
            </w:pPr>
            <w:r>
              <w:rPr>
                <w:b/>
                <w:bCs/>
                <w:noProof/>
                <w:sz w:val="18"/>
                <w:szCs w:val="18"/>
                <w:lang w:val="cs-CZ" w:eastAsia="cs-CZ"/>
              </w:rPr>
              <w:t>1 316,9</w:t>
            </w:r>
          </w:p>
        </w:tc>
      </w:tr>
    </w:tbl>
    <w:p>
      <w:pPr>
        <w:pStyle w:val="Text1"/>
        <w:rPr>
          <w:noProof/>
        </w:rPr>
      </w:pPr>
      <w:r>
        <w:rPr>
          <w:noProof/>
        </w:rPr>
        <w:t>Currently, a portion of the GMC 2018 (EUR 1 075,5 million in 2020 prices) remains available. The overall availability of the GMC in 2020 is therefore EUR 2 392,4 million (in 2020 prices).</w:t>
      </w:r>
    </w:p>
    <w:p>
      <w:pPr>
        <w:pStyle w:val="Text1"/>
        <w:rPr>
          <w:noProof/>
        </w:rPr>
      </w:pPr>
      <w:r>
        <w:rPr>
          <w:noProof/>
        </w:rPr>
        <w:lastRenderedPageBreak/>
        <w:t>The table below shows the details of the availabilities and usage of the GMC since 2014:</w:t>
      </w:r>
    </w:p>
    <w:tbl>
      <w:tblPr>
        <w:tblW w:w="9497" w:type="dxa"/>
        <w:tblInd w:w="70" w:type="dxa"/>
        <w:tblCellMar>
          <w:left w:w="70" w:type="dxa"/>
          <w:right w:w="70" w:type="dxa"/>
        </w:tblCellMar>
        <w:tblLook w:val="04A0" w:firstRow="1" w:lastRow="0" w:firstColumn="1" w:lastColumn="0" w:noHBand="0" w:noVBand="1"/>
      </w:tblPr>
      <w:tblGrid>
        <w:gridCol w:w="3544"/>
        <w:gridCol w:w="850"/>
        <w:gridCol w:w="851"/>
        <w:gridCol w:w="850"/>
        <w:gridCol w:w="851"/>
        <w:gridCol w:w="850"/>
        <w:gridCol w:w="851"/>
        <w:gridCol w:w="850"/>
      </w:tblGrid>
      <w:tr>
        <w:trPr>
          <w:trHeight w:val="270"/>
        </w:trPr>
        <w:tc>
          <w:tcPr>
            <w:tcW w:w="3544" w:type="dxa"/>
            <w:tcBorders>
              <w:top w:val="nil"/>
              <w:left w:val="nil"/>
              <w:bottom w:val="single" w:sz="8" w:space="0" w:color="auto"/>
              <w:right w:val="single" w:sz="8" w:space="0" w:color="000000"/>
            </w:tcBorders>
            <w:shd w:val="clear" w:color="auto" w:fill="auto"/>
            <w:noWrap/>
            <w:vAlign w:val="bottom"/>
            <w:hideMark/>
          </w:tcPr>
          <w:p>
            <w:pPr>
              <w:spacing w:before="0" w:after="0"/>
              <w:jc w:val="center"/>
              <w:rPr>
                <w:noProof/>
                <w:color w:val="000000"/>
                <w:sz w:val="18"/>
                <w:szCs w:val="18"/>
                <w:lang w:val="en-US" w:eastAsia="fr-BE"/>
              </w:rPr>
            </w:pPr>
            <w:r>
              <w:rPr>
                <w:noProof/>
                <w:color w:val="000000"/>
                <w:sz w:val="18"/>
                <w:szCs w:val="18"/>
                <w:lang w:val="en-US" w:eastAsia="fr-BE"/>
              </w:rPr>
              <w:t> </w:t>
            </w:r>
          </w:p>
        </w:tc>
        <w:tc>
          <w:tcPr>
            <w:tcW w:w="850" w:type="dxa"/>
            <w:tcBorders>
              <w:top w:val="single" w:sz="8" w:space="0" w:color="auto"/>
              <w:left w:val="nil"/>
              <w:bottom w:val="single" w:sz="8" w:space="0" w:color="auto"/>
              <w:right w:val="single" w:sz="4" w:space="0" w:color="000000"/>
            </w:tcBorders>
            <w:shd w:val="clear" w:color="auto" w:fill="auto"/>
            <w:vAlign w:val="center"/>
            <w:hideMark/>
          </w:tcPr>
          <w:p>
            <w:pPr>
              <w:spacing w:before="0" w:after="0"/>
              <w:jc w:val="center"/>
              <w:rPr>
                <w:b/>
                <w:bCs/>
                <w:noProof/>
                <w:sz w:val="18"/>
                <w:szCs w:val="18"/>
                <w:lang w:val="fr-BE" w:eastAsia="fr-BE"/>
              </w:rPr>
            </w:pPr>
            <w:r>
              <w:rPr>
                <w:b/>
                <w:bCs/>
                <w:noProof/>
                <w:sz w:val="18"/>
                <w:szCs w:val="18"/>
                <w:lang w:val="fr-BE" w:eastAsia="fr-BE"/>
              </w:rPr>
              <w:t>2014</w:t>
            </w:r>
          </w:p>
        </w:tc>
        <w:tc>
          <w:tcPr>
            <w:tcW w:w="851" w:type="dxa"/>
            <w:tcBorders>
              <w:top w:val="single" w:sz="8" w:space="0" w:color="auto"/>
              <w:left w:val="single" w:sz="8" w:space="0" w:color="000000"/>
              <w:bottom w:val="single" w:sz="8" w:space="0" w:color="auto"/>
              <w:right w:val="single" w:sz="4" w:space="0" w:color="000000"/>
            </w:tcBorders>
            <w:shd w:val="clear" w:color="auto" w:fill="auto"/>
            <w:vAlign w:val="center"/>
            <w:hideMark/>
          </w:tcPr>
          <w:p>
            <w:pPr>
              <w:spacing w:before="0" w:after="0"/>
              <w:jc w:val="center"/>
              <w:rPr>
                <w:b/>
                <w:bCs/>
                <w:noProof/>
                <w:sz w:val="18"/>
                <w:szCs w:val="18"/>
                <w:lang w:val="fr-BE" w:eastAsia="fr-BE"/>
              </w:rPr>
            </w:pPr>
            <w:r>
              <w:rPr>
                <w:b/>
                <w:bCs/>
                <w:noProof/>
                <w:sz w:val="18"/>
                <w:szCs w:val="18"/>
                <w:lang w:val="fr-BE" w:eastAsia="fr-BE"/>
              </w:rPr>
              <w:t>2015</w:t>
            </w:r>
          </w:p>
        </w:tc>
        <w:tc>
          <w:tcPr>
            <w:tcW w:w="850" w:type="dxa"/>
            <w:tcBorders>
              <w:top w:val="single" w:sz="8" w:space="0" w:color="auto"/>
              <w:left w:val="single" w:sz="8" w:space="0" w:color="000000"/>
              <w:bottom w:val="single" w:sz="8" w:space="0" w:color="auto"/>
              <w:right w:val="single" w:sz="4" w:space="0" w:color="000000"/>
            </w:tcBorders>
            <w:shd w:val="clear" w:color="auto" w:fill="auto"/>
            <w:vAlign w:val="center"/>
            <w:hideMark/>
          </w:tcPr>
          <w:p>
            <w:pPr>
              <w:spacing w:before="0" w:after="0"/>
              <w:jc w:val="center"/>
              <w:rPr>
                <w:b/>
                <w:bCs/>
                <w:noProof/>
                <w:sz w:val="18"/>
                <w:szCs w:val="18"/>
                <w:lang w:val="fr-BE" w:eastAsia="fr-BE"/>
              </w:rPr>
            </w:pPr>
            <w:r>
              <w:rPr>
                <w:b/>
                <w:bCs/>
                <w:noProof/>
                <w:sz w:val="18"/>
                <w:szCs w:val="18"/>
                <w:lang w:val="fr-BE" w:eastAsia="fr-BE"/>
              </w:rPr>
              <w:t>2016</w:t>
            </w:r>
          </w:p>
        </w:tc>
        <w:tc>
          <w:tcPr>
            <w:tcW w:w="851" w:type="dxa"/>
            <w:tcBorders>
              <w:top w:val="single" w:sz="8" w:space="0" w:color="auto"/>
              <w:left w:val="single" w:sz="8" w:space="0" w:color="000000"/>
              <w:bottom w:val="single" w:sz="8" w:space="0" w:color="auto"/>
              <w:right w:val="single" w:sz="4" w:space="0" w:color="000000"/>
            </w:tcBorders>
            <w:shd w:val="clear" w:color="auto" w:fill="auto"/>
            <w:vAlign w:val="center"/>
            <w:hideMark/>
          </w:tcPr>
          <w:p>
            <w:pPr>
              <w:spacing w:before="0" w:after="0"/>
              <w:jc w:val="center"/>
              <w:rPr>
                <w:b/>
                <w:bCs/>
                <w:noProof/>
                <w:sz w:val="18"/>
                <w:szCs w:val="18"/>
                <w:lang w:val="fr-BE" w:eastAsia="fr-BE"/>
              </w:rPr>
            </w:pPr>
            <w:r>
              <w:rPr>
                <w:b/>
                <w:bCs/>
                <w:noProof/>
                <w:sz w:val="18"/>
                <w:szCs w:val="18"/>
                <w:lang w:val="fr-BE" w:eastAsia="fr-BE"/>
              </w:rPr>
              <w:t>2017</w:t>
            </w:r>
          </w:p>
        </w:tc>
        <w:tc>
          <w:tcPr>
            <w:tcW w:w="850" w:type="dxa"/>
            <w:tcBorders>
              <w:top w:val="single" w:sz="8" w:space="0" w:color="auto"/>
              <w:left w:val="single" w:sz="8" w:space="0" w:color="000000"/>
              <w:bottom w:val="single" w:sz="8" w:space="0" w:color="auto"/>
              <w:right w:val="nil"/>
            </w:tcBorders>
            <w:shd w:val="clear" w:color="auto" w:fill="auto"/>
            <w:vAlign w:val="center"/>
            <w:hideMark/>
          </w:tcPr>
          <w:p>
            <w:pPr>
              <w:spacing w:before="0" w:after="0"/>
              <w:jc w:val="center"/>
              <w:rPr>
                <w:b/>
                <w:bCs/>
                <w:noProof/>
                <w:sz w:val="18"/>
                <w:szCs w:val="18"/>
                <w:lang w:val="fr-BE" w:eastAsia="fr-BE"/>
              </w:rPr>
            </w:pPr>
            <w:r>
              <w:rPr>
                <w:b/>
                <w:bCs/>
                <w:noProof/>
                <w:sz w:val="18"/>
                <w:szCs w:val="18"/>
                <w:lang w:val="fr-BE" w:eastAsia="fr-BE"/>
              </w:rPr>
              <w:t>2018</w:t>
            </w:r>
          </w:p>
        </w:tc>
        <w:tc>
          <w:tcPr>
            <w:tcW w:w="851" w:type="dxa"/>
            <w:tcBorders>
              <w:top w:val="single" w:sz="8" w:space="0" w:color="auto"/>
              <w:left w:val="single" w:sz="8" w:space="0" w:color="auto"/>
              <w:bottom w:val="single" w:sz="8" w:space="0" w:color="auto"/>
              <w:right w:val="nil"/>
            </w:tcBorders>
            <w:shd w:val="clear" w:color="auto" w:fill="auto"/>
            <w:vAlign w:val="center"/>
            <w:hideMark/>
          </w:tcPr>
          <w:p>
            <w:pPr>
              <w:spacing w:before="0" w:after="0"/>
              <w:jc w:val="center"/>
              <w:rPr>
                <w:b/>
                <w:bCs/>
                <w:noProof/>
                <w:sz w:val="18"/>
                <w:szCs w:val="18"/>
                <w:lang w:val="fr-BE" w:eastAsia="fr-BE"/>
              </w:rPr>
            </w:pPr>
            <w:r>
              <w:rPr>
                <w:b/>
                <w:bCs/>
                <w:noProof/>
                <w:sz w:val="18"/>
                <w:szCs w:val="18"/>
                <w:lang w:val="fr-BE" w:eastAsia="fr-BE"/>
              </w:rPr>
              <w:t>2019</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b/>
                <w:bCs/>
                <w:noProof/>
                <w:sz w:val="18"/>
                <w:szCs w:val="18"/>
                <w:lang w:val="fr-BE" w:eastAsia="fr-BE"/>
              </w:rPr>
            </w:pPr>
            <w:r>
              <w:rPr>
                <w:b/>
                <w:bCs/>
                <w:noProof/>
                <w:sz w:val="18"/>
                <w:szCs w:val="18"/>
                <w:lang w:val="fr-BE" w:eastAsia="fr-BE"/>
              </w:rPr>
              <w:t>2020</w:t>
            </w:r>
          </w:p>
        </w:tc>
      </w:tr>
      <w:tr>
        <w:trPr>
          <w:trHeight w:val="270"/>
        </w:trPr>
        <w:tc>
          <w:tcPr>
            <w:tcW w:w="354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pPr>
              <w:spacing w:before="0" w:after="0"/>
              <w:jc w:val="center"/>
              <w:rPr>
                <w:noProof/>
                <w:color w:val="000000"/>
                <w:sz w:val="18"/>
                <w:szCs w:val="18"/>
                <w:lang w:val="en-US" w:eastAsia="fr-BE"/>
              </w:rPr>
            </w:pPr>
            <w:r>
              <w:rPr>
                <w:noProof/>
                <w:color w:val="000000"/>
                <w:sz w:val="18"/>
                <w:szCs w:val="18"/>
                <w:lang w:val="en-US" w:eastAsia="fr-BE"/>
              </w:rPr>
              <w:t>Commitment margin available at year-end (confirmed by annual TAJU)</w:t>
            </w:r>
          </w:p>
        </w:tc>
        <w:tc>
          <w:tcPr>
            <w:tcW w:w="850" w:type="dxa"/>
            <w:tcBorders>
              <w:top w:val="nil"/>
              <w:left w:val="nil"/>
              <w:bottom w:val="single" w:sz="8" w:space="0" w:color="auto"/>
              <w:right w:val="single" w:sz="4" w:space="0" w:color="000000"/>
            </w:tcBorders>
            <w:shd w:val="clear" w:color="auto" w:fill="auto"/>
            <w:vAlign w:val="center"/>
            <w:hideMark/>
          </w:tcPr>
          <w:p>
            <w:pPr>
              <w:spacing w:before="0" w:after="0"/>
              <w:jc w:val="right"/>
              <w:rPr>
                <w:noProof/>
                <w:sz w:val="18"/>
                <w:szCs w:val="18"/>
                <w:lang w:val="fr-BE" w:eastAsia="fr-BE"/>
              </w:rPr>
            </w:pPr>
            <w:r>
              <w:rPr>
                <w:noProof/>
                <w:sz w:val="18"/>
                <w:szCs w:val="18"/>
                <w:lang w:val="fr-BE" w:eastAsia="fr-BE"/>
              </w:rPr>
              <w:t>521,9</w:t>
            </w:r>
          </w:p>
        </w:tc>
        <w:tc>
          <w:tcPr>
            <w:tcW w:w="851"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noProof/>
                <w:sz w:val="18"/>
                <w:szCs w:val="18"/>
                <w:lang w:val="fr-BE" w:eastAsia="fr-BE"/>
              </w:rPr>
            </w:pPr>
            <w:r>
              <w:rPr>
                <w:noProof/>
                <w:sz w:val="18"/>
                <w:szCs w:val="18"/>
                <w:lang w:val="fr-BE" w:eastAsia="fr-BE"/>
              </w:rPr>
              <w:t>1 383,2</w:t>
            </w:r>
          </w:p>
        </w:tc>
        <w:tc>
          <w:tcPr>
            <w:tcW w:w="850"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noProof/>
                <w:sz w:val="18"/>
                <w:szCs w:val="18"/>
                <w:lang w:val="fr-BE" w:eastAsia="fr-BE"/>
              </w:rPr>
            </w:pPr>
            <w:r>
              <w:rPr>
                <w:noProof/>
                <w:sz w:val="18"/>
                <w:szCs w:val="18"/>
                <w:lang w:val="fr-BE" w:eastAsia="fr-BE"/>
              </w:rPr>
              <w:t>2 090,2</w:t>
            </w:r>
          </w:p>
        </w:tc>
        <w:tc>
          <w:tcPr>
            <w:tcW w:w="851"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noProof/>
                <w:sz w:val="18"/>
                <w:szCs w:val="18"/>
                <w:lang w:val="fr-BE" w:eastAsia="fr-BE"/>
              </w:rPr>
            </w:pPr>
            <w:r>
              <w:rPr>
                <w:noProof/>
                <w:sz w:val="18"/>
                <w:szCs w:val="18"/>
                <w:lang w:val="fr-BE" w:eastAsia="fr-BE"/>
              </w:rPr>
              <w:t>1 115,5</w:t>
            </w:r>
          </w:p>
        </w:tc>
        <w:tc>
          <w:tcPr>
            <w:tcW w:w="850"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noProof/>
                <w:sz w:val="18"/>
                <w:szCs w:val="18"/>
                <w:lang w:val="fr-BE" w:eastAsia="fr-BE"/>
              </w:rPr>
            </w:pPr>
            <w:r>
              <w:rPr>
                <w:noProof/>
                <w:sz w:val="18"/>
                <w:szCs w:val="18"/>
                <w:lang w:val="fr-BE" w:eastAsia="fr-BE"/>
              </w:rPr>
              <w:t>1 390,9</w:t>
            </w:r>
          </w:p>
        </w:tc>
        <w:tc>
          <w:tcPr>
            <w:tcW w:w="851"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noProof/>
                <w:sz w:val="18"/>
                <w:szCs w:val="18"/>
                <w:lang w:val="fr-BE" w:eastAsia="fr-BE"/>
              </w:rPr>
            </w:pPr>
            <w:r>
              <w:rPr>
                <w:noProof/>
                <w:sz w:val="18"/>
                <w:szCs w:val="18"/>
                <w:lang w:val="fr-BE" w:eastAsia="fr-BE"/>
              </w:rPr>
              <w:t>1 291,1</w:t>
            </w:r>
          </w:p>
        </w:tc>
        <w:tc>
          <w:tcPr>
            <w:tcW w:w="85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right"/>
              <w:rPr>
                <w:noProof/>
                <w:sz w:val="18"/>
                <w:szCs w:val="18"/>
                <w:lang w:val="fr-BE" w:eastAsia="fr-BE"/>
              </w:rPr>
            </w:pPr>
            <w:r>
              <w:rPr>
                <w:noProof/>
                <w:sz w:val="18"/>
                <w:szCs w:val="18"/>
                <w:lang w:val="fr-BE" w:eastAsia="fr-BE"/>
              </w:rPr>
              <w:t> </w:t>
            </w:r>
          </w:p>
        </w:tc>
      </w:tr>
      <w:tr>
        <w:trPr>
          <w:trHeight w:val="270"/>
        </w:trPr>
        <w:tc>
          <w:tcPr>
            <w:tcW w:w="354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pPr>
              <w:spacing w:before="0" w:after="0"/>
              <w:jc w:val="center"/>
              <w:rPr>
                <w:b/>
                <w:bCs/>
                <w:noProof/>
                <w:color w:val="000000"/>
                <w:sz w:val="18"/>
                <w:szCs w:val="18"/>
                <w:lang w:val="fr-BE" w:eastAsia="fr-BE"/>
              </w:rPr>
            </w:pPr>
            <w:r>
              <w:rPr>
                <w:b/>
                <w:bCs/>
                <w:noProof/>
                <w:color w:val="000000"/>
                <w:sz w:val="18"/>
                <w:szCs w:val="18"/>
                <w:lang w:val="fr-BE" w:eastAsia="fr-BE"/>
              </w:rPr>
              <w:t>Annual GMC available</w:t>
            </w:r>
          </w:p>
        </w:tc>
        <w:tc>
          <w:tcPr>
            <w:tcW w:w="850" w:type="dxa"/>
            <w:tcBorders>
              <w:top w:val="nil"/>
              <w:left w:val="nil"/>
              <w:bottom w:val="single" w:sz="8" w:space="0" w:color="auto"/>
              <w:right w:val="single" w:sz="4" w:space="0" w:color="000000"/>
            </w:tcBorders>
            <w:shd w:val="clear" w:color="auto" w:fill="auto"/>
            <w:vAlign w:val="center"/>
            <w:hideMark/>
          </w:tcPr>
          <w:p>
            <w:pPr>
              <w:spacing w:before="0" w:after="0"/>
              <w:jc w:val="right"/>
              <w:rPr>
                <w:b/>
                <w:bCs/>
                <w:noProof/>
                <w:sz w:val="18"/>
                <w:szCs w:val="18"/>
                <w:lang w:val="fr-BE" w:eastAsia="fr-BE"/>
              </w:rPr>
            </w:pPr>
            <w:r>
              <w:rPr>
                <w:b/>
                <w:bCs/>
                <w:noProof/>
                <w:sz w:val="18"/>
                <w:szCs w:val="18"/>
                <w:lang w:val="fr-BE" w:eastAsia="fr-BE"/>
              </w:rPr>
              <w:t>0,0</w:t>
            </w:r>
          </w:p>
        </w:tc>
        <w:tc>
          <w:tcPr>
            <w:tcW w:w="851"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b/>
                <w:bCs/>
                <w:noProof/>
                <w:sz w:val="18"/>
                <w:szCs w:val="18"/>
                <w:lang w:val="fr-BE" w:eastAsia="fr-BE"/>
              </w:rPr>
            </w:pPr>
            <w:r>
              <w:rPr>
                <w:b/>
                <w:bCs/>
                <w:noProof/>
                <w:sz w:val="18"/>
                <w:szCs w:val="18"/>
                <w:lang w:val="fr-BE" w:eastAsia="fr-BE"/>
              </w:rPr>
              <w:t>0,0</w:t>
            </w:r>
          </w:p>
        </w:tc>
        <w:tc>
          <w:tcPr>
            <w:tcW w:w="850"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b/>
                <w:bCs/>
                <w:noProof/>
                <w:sz w:val="18"/>
                <w:szCs w:val="18"/>
                <w:lang w:val="fr-BE" w:eastAsia="fr-BE"/>
              </w:rPr>
            </w:pPr>
            <w:r>
              <w:rPr>
                <w:b/>
                <w:bCs/>
                <w:noProof/>
                <w:sz w:val="18"/>
                <w:szCs w:val="18"/>
                <w:lang w:val="fr-BE" w:eastAsia="fr-BE"/>
              </w:rPr>
              <w:t>1 953,9</w:t>
            </w:r>
          </w:p>
        </w:tc>
        <w:tc>
          <w:tcPr>
            <w:tcW w:w="851"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b/>
                <w:bCs/>
                <w:noProof/>
                <w:sz w:val="18"/>
                <w:szCs w:val="18"/>
                <w:lang w:val="fr-BE" w:eastAsia="fr-BE"/>
              </w:rPr>
            </w:pPr>
            <w:r>
              <w:rPr>
                <w:b/>
                <w:bCs/>
                <w:noProof/>
                <w:sz w:val="18"/>
                <w:szCs w:val="18"/>
                <w:lang w:val="fr-BE" w:eastAsia="fr-BE"/>
              </w:rPr>
              <w:t>3 571,1</w:t>
            </w:r>
          </w:p>
        </w:tc>
        <w:tc>
          <w:tcPr>
            <w:tcW w:w="850"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b/>
                <w:bCs/>
                <w:noProof/>
                <w:sz w:val="18"/>
                <w:szCs w:val="18"/>
                <w:lang w:val="fr-BE" w:eastAsia="fr-BE"/>
              </w:rPr>
            </w:pPr>
            <w:r>
              <w:rPr>
                <w:b/>
                <w:bCs/>
                <w:noProof/>
                <w:sz w:val="18"/>
                <w:szCs w:val="18"/>
                <w:lang w:val="fr-BE" w:eastAsia="fr-BE"/>
              </w:rPr>
              <w:t>2 802,4</w:t>
            </w:r>
          </w:p>
        </w:tc>
        <w:tc>
          <w:tcPr>
            <w:tcW w:w="851" w:type="dxa"/>
            <w:tcBorders>
              <w:top w:val="nil"/>
              <w:left w:val="single" w:sz="8" w:space="0" w:color="auto"/>
              <w:bottom w:val="single" w:sz="8" w:space="0" w:color="auto"/>
              <w:right w:val="nil"/>
            </w:tcBorders>
            <w:shd w:val="clear" w:color="auto" w:fill="auto"/>
            <w:vAlign w:val="center"/>
            <w:hideMark/>
          </w:tcPr>
          <w:p>
            <w:pPr>
              <w:spacing w:before="0" w:after="0"/>
              <w:jc w:val="right"/>
              <w:rPr>
                <w:b/>
                <w:bCs/>
                <w:noProof/>
                <w:sz w:val="18"/>
                <w:szCs w:val="18"/>
                <w:lang w:val="fr-BE" w:eastAsia="fr-BE"/>
              </w:rPr>
            </w:pPr>
            <w:r>
              <w:rPr>
                <w:b/>
                <w:bCs/>
                <w:noProof/>
                <w:sz w:val="18"/>
                <w:szCs w:val="18"/>
                <w:lang w:val="fr-BE" w:eastAsia="fr-BE"/>
              </w:rPr>
              <w:t>2 894,7</w:t>
            </w:r>
          </w:p>
        </w:tc>
        <w:tc>
          <w:tcPr>
            <w:tcW w:w="85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right"/>
              <w:rPr>
                <w:b/>
                <w:bCs/>
                <w:noProof/>
                <w:sz w:val="18"/>
                <w:szCs w:val="18"/>
                <w:lang w:val="fr-BE" w:eastAsia="fr-BE"/>
              </w:rPr>
            </w:pPr>
            <w:r>
              <w:rPr>
                <w:b/>
                <w:bCs/>
                <w:noProof/>
                <w:sz w:val="18"/>
                <w:szCs w:val="18"/>
                <w:lang w:val="fr-BE" w:eastAsia="fr-BE"/>
              </w:rPr>
              <w:t>2 662,0</w:t>
            </w:r>
          </w:p>
        </w:tc>
      </w:tr>
      <w:tr>
        <w:trPr>
          <w:trHeight w:val="255"/>
        </w:trPr>
        <w:tc>
          <w:tcPr>
            <w:tcW w:w="3544"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lang w:val="fr-BE" w:eastAsia="fr-BE"/>
              </w:rPr>
            </w:pPr>
            <w:r>
              <w:rPr>
                <w:i/>
                <w:iCs/>
                <w:noProof/>
                <w:color w:val="000000"/>
                <w:sz w:val="18"/>
                <w:szCs w:val="18"/>
                <w:lang w:val="fr-BE" w:eastAsia="fr-BE"/>
              </w:rPr>
              <w:t>GMC 2014</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543,0</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0,0</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0,0</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0,0</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0,0</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lang w:val="fr-BE" w:eastAsia="fr-BE"/>
              </w:rPr>
            </w:pPr>
            <w:r>
              <w:rPr>
                <w:i/>
                <w:iCs/>
                <w:noProof/>
                <w:color w:val="000000"/>
                <w:sz w:val="18"/>
                <w:szCs w:val="18"/>
                <w:lang w:val="fr-BE" w:eastAsia="fr-BE"/>
              </w:rPr>
              <w:t>GMC 2015</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1 410,9</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1 439,1</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0,0</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0,0</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0,0</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lang w:val="fr-BE" w:eastAsia="fr-BE"/>
              </w:rPr>
            </w:pPr>
            <w:r>
              <w:rPr>
                <w:i/>
                <w:iCs/>
                <w:noProof/>
                <w:color w:val="000000"/>
                <w:sz w:val="18"/>
                <w:szCs w:val="18"/>
                <w:lang w:val="fr-BE" w:eastAsia="fr-BE"/>
              </w:rPr>
              <w:t>GMC 2016</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2 132,0</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1 664,6</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315,4</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0,0</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lang w:val="fr-BE" w:eastAsia="fr-BE"/>
              </w:rPr>
            </w:pPr>
            <w:r>
              <w:rPr>
                <w:i/>
                <w:iCs/>
                <w:noProof/>
                <w:color w:val="000000"/>
                <w:sz w:val="18"/>
                <w:szCs w:val="18"/>
                <w:lang w:val="fr-BE" w:eastAsia="fr-BE"/>
              </w:rPr>
              <w:t>GMC 2017</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1 137,8</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1 160,6</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0,0</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lang w:val="fr-BE" w:eastAsia="fr-BE"/>
              </w:rPr>
            </w:pPr>
            <w:r>
              <w:rPr>
                <w:i/>
                <w:iCs/>
                <w:noProof/>
                <w:color w:val="000000"/>
                <w:sz w:val="18"/>
                <w:szCs w:val="18"/>
                <w:lang w:val="fr-BE" w:eastAsia="fr-BE"/>
              </w:rPr>
              <w:t>GMC 2018</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1 418,7</w:t>
            </w:r>
          </w:p>
        </w:tc>
        <w:tc>
          <w:tcPr>
            <w:tcW w:w="850" w:type="dxa"/>
            <w:tcBorders>
              <w:top w:val="single" w:sz="4" w:space="0" w:color="auto"/>
              <w:left w:val="single" w:sz="8" w:space="0" w:color="000000"/>
              <w:bottom w:val="single" w:sz="4" w:space="0" w:color="auto"/>
              <w:right w:val="single" w:sz="8" w:space="0" w:color="auto"/>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1 345,1</w:t>
            </w:r>
          </w:p>
        </w:tc>
      </w:tr>
      <w:tr>
        <w:trPr>
          <w:trHeight w:val="270"/>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lang w:val="fr-BE" w:eastAsia="fr-BE"/>
              </w:rPr>
            </w:pPr>
            <w:r>
              <w:rPr>
                <w:i/>
                <w:iCs/>
                <w:noProof/>
                <w:color w:val="000000"/>
                <w:sz w:val="18"/>
                <w:szCs w:val="18"/>
                <w:lang w:val="fr-BE" w:eastAsia="fr-BE"/>
              </w:rPr>
              <w:t>GMC 2019</w:t>
            </w:r>
          </w:p>
        </w:tc>
        <w:tc>
          <w:tcPr>
            <w:tcW w:w="850" w:type="dxa"/>
            <w:tcBorders>
              <w:top w:val="nil"/>
              <w:left w:val="nil"/>
              <w:bottom w:val="single" w:sz="8"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1" w:type="dxa"/>
            <w:tcBorders>
              <w:top w:val="nil"/>
              <w:left w:val="single" w:sz="8" w:space="0" w:color="000000"/>
              <w:bottom w:val="single" w:sz="8"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0" w:type="dxa"/>
            <w:tcBorders>
              <w:top w:val="nil"/>
              <w:left w:val="single" w:sz="8" w:space="0" w:color="000000"/>
              <w:bottom w:val="single" w:sz="8"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1" w:type="dxa"/>
            <w:tcBorders>
              <w:top w:val="nil"/>
              <w:left w:val="single" w:sz="8" w:space="0" w:color="000000"/>
              <w:bottom w:val="single" w:sz="8"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0" w:type="dxa"/>
            <w:tcBorders>
              <w:top w:val="nil"/>
              <w:left w:val="single" w:sz="8" w:space="0" w:color="000000"/>
              <w:bottom w:val="single" w:sz="8"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1" w:type="dxa"/>
            <w:tcBorders>
              <w:top w:val="nil"/>
              <w:left w:val="single" w:sz="8" w:space="0" w:color="000000"/>
              <w:bottom w:val="single" w:sz="8" w:space="0" w:color="auto"/>
              <w:right w:val="nil"/>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0" w:type="dxa"/>
            <w:tcBorders>
              <w:top w:val="single" w:sz="4" w:space="0" w:color="auto"/>
              <w:left w:val="single" w:sz="8" w:space="0" w:color="auto"/>
              <w:bottom w:val="single" w:sz="8" w:space="0" w:color="auto"/>
              <w:right w:val="single" w:sz="8" w:space="0" w:color="auto"/>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1 316,9</w:t>
            </w:r>
          </w:p>
        </w:tc>
      </w:tr>
      <w:tr>
        <w:trPr>
          <w:trHeight w:val="270"/>
        </w:trPr>
        <w:tc>
          <w:tcPr>
            <w:tcW w:w="354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pPr>
              <w:spacing w:before="0" w:after="0"/>
              <w:jc w:val="center"/>
              <w:rPr>
                <w:b/>
                <w:bCs/>
                <w:noProof/>
                <w:color w:val="000000"/>
                <w:sz w:val="18"/>
                <w:szCs w:val="18"/>
                <w:lang w:val="fr-BE" w:eastAsia="fr-BE"/>
              </w:rPr>
            </w:pPr>
            <w:r>
              <w:rPr>
                <w:b/>
                <w:bCs/>
                <w:noProof/>
                <w:color w:val="000000"/>
                <w:sz w:val="18"/>
                <w:szCs w:val="18"/>
                <w:lang w:val="fr-BE" w:eastAsia="fr-BE"/>
              </w:rPr>
              <w:t>Annual use of GMC</w:t>
            </w:r>
          </w:p>
        </w:tc>
        <w:tc>
          <w:tcPr>
            <w:tcW w:w="850" w:type="dxa"/>
            <w:tcBorders>
              <w:top w:val="nil"/>
              <w:left w:val="nil"/>
              <w:bottom w:val="single" w:sz="8" w:space="0" w:color="auto"/>
              <w:right w:val="single" w:sz="4" w:space="0" w:color="000000"/>
            </w:tcBorders>
            <w:shd w:val="clear" w:color="auto" w:fill="auto"/>
            <w:vAlign w:val="center"/>
            <w:hideMark/>
          </w:tcPr>
          <w:p>
            <w:pPr>
              <w:spacing w:before="0" w:after="0"/>
              <w:jc w:val="right"/>
              <w:rPr>
                <w:b/>
                <w:bCs/>
                <w:noProof/>
                <w:sz w:val="18"/>
                <w:szCs w:val="18"/>
                <w:lang w:val="fr-BE" w:eastAsia="fr-BE"/>
              </w:rPr>
            </w:pPr>
            <w:r>
              <w:rPr>
                <w:b/>
                <w:bCs/>
                <w:noProof/>
                <w:sz w:val="18"/>
                <w:szCs w:val="18"/>
                <w:lang w:val="fr-BE" w:eastAsia="fr-BE"/>
              </w:rPr>
              <w:t>0,0</w:t>
            </w:r>
          </w:p>
        </w:tc>
        <w:tc>
          <w:tcPr>
            <w:tcW w:w="851"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b/>
                <w:bCs/>
                <w:noProof/>
                <w:sz w:val="18"/>
                <w:szCs w:val="18"/>
                <w:lang w:val="fr-BE" w:eastAsia="fr-BE"/>
              </w:rPr>
            </w:pPr>
            <w:r>
              <w:rPr>
                <w:b/>
                <w:bCs/>
                <w:noProof/>
                <w:sz w:val="18"/>
                <w:szCs w:val="18"/>
                <w:lang w:val="fr-BE" w:eastAsia="fr-BE"/>
              </w:rPr>
              <w:t>0,0</w:t>
            </w:r>
          </w:p>
        </w:tc>
        <w:tc>
          <w:tcPr>
            <w:tcW w:w="850"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b/>
                <w:bCs/>
                <w:noProof/>
                <w:sz w:val="18"/>
                <w:szCs w:val="18"/>
                <w:lang w:val="fr-BE" w:eastAsia="fr-BE"/>
              </w:rPr>
            </w:pPr>
            <w:r>
              <w:rPr>
                <w:b/>
                <w:bCs/>
                <w:noProof/>
                <w:sz w:val="18"/>
                <w:szCs w:val="18"/>
                <w:lang w:val="fr-BE" w:eastAsia="fr-BE"/>
              </w:rPr>
              <w:t>-543,0</w:t>
            </w:r>
          </w:p>
        </w:tc>
        <w:tc>
          <w:tcPr>
            <w:tcW w:w="851"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b/>
                <w:bCs/>
                <w:noProof/>
                <w:sz w:val="18"/>
                <w:szCs w:val="18"/>
                <w:lang w:val="fr-BE" w:eastAsia="fr-BE"/>
              </w:rPr>
            </w:pPr>
            <w:r>
              <w:rPr>
                <w:b/>
                <w:bCs/>
                <w:noProof/>
                <w:sz w:val="18"/>
                <w:szCs w:val="18"/>
                <w:lang w:val="fr-BE" w:eastAsia="fr-BE"/>
              </w:rPr>
              <w:t>-1 939,1</w:t>
            </w:r>
          </w:p>
        </w:tc>
        <w:tc>
          <w:tcPr>
            <w:tcW w:w="850"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b/>
                <w:bCs/>
                <w:noProof/>
                <w:sz w:val="18"/>
                <w:szCs w:val="18"/>
                <w:lang w:val="fr-BE" w:eastAsia="fr-BE"/>
              </w:rPr>
            </w:pPr>
            <w:r>
              <w:rPr>
                <w:b/>
                <w:bCs/>
                <w:noProof/>
                <w:sz w:val="18"/>
                <w:szCs w:val="18"/>
                <w:lang w:val="fr-BE" w:eastAsia="fr-BE"/>
              </w:rPr>
              <w:t>-1 355,6</w:t>
            </w:r>
          </w:p>
        </w:tc>
        <w:tc>
          <w:tcPr>
            <w:tcW w:w="851" w:type="dxa"/>
            <w:tcBorders>
              <w:top w:val="nil"/>
              <w:left w:val="single" w:sz="8" w:space="0" w:color="auto"/>
              <w:bottom w:val="single" w:sz="8" w:space="0" w:color="auto"/>
              <w:right w:val="nil"/>
            </w:tcBorders>
            <w:shd w:val="clear" w:color="auto" w:fill="auto"/>
            <w:vAlign w:val="center"/>
            <w:hideMark/>
          </w:tcPr>
          <w:p>
            <w:pPr>
              <w:spacing w:before="0" w:after="0"/>
              <w:jc w:val="right"/>
              <w:rPr>
                <w:b/>
                <w:bCs/>
                <w:noProof/>
                <w:sz w:val="18"/>
                <w:szCs w:val="18"/>
                <w:lang w:val="fr-BE" w:eastAsia="fr-BE"/>
              </w:rPr>
            </w:pPr>
            <w:r>
              <w:rPr>
                <w:b/>
                <w:bCs/>
                <w:noProof/>
                <w:sz w:val="18"/>
                <w:szCs w:val="18"/>
                <w:lang w:val="fr-BE" w:eastAsia="fr-BE"/>
              </w:rPr>
              <w:t>-1 576,0</w:t>
            </w:r>
          </w:p>
        </w:tc>
        <w:tc>
          <w:tcPr>
            <w:tcW w:w="85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right"/>
              <w:rPr>
                <w:b/>
                <w:bCs/>
                <w:noProof/>
                <w:sz w:val="18"/>
                <w:szCs w:val="18"/>
                <w:lang w:val="fr-BE" w:eastAsia="fr-BE"/>
              </w:rPr>
            </w:pPr>
            <w:r>
              <w:rPr>
                <w:b/>
                <w:bCs/>
                <w:noProof/>
                <w:sz w:val="18"/>
                <w:szCs w:val="18"/>
                <w:lang w:val="fr-BE" w:eastAsia="fr-BE"/>
              </w:rPr>
              <w:t>-269,6</w:t>
            </w:r>
          </w:p>
        </w:tc>
      </w:tr>
      <w:tr>
        <w:trPr>
          <w:trHeight w:val="255"/>
        </w:trPr>
        <w:tc>
          <w:tcPr>
            <w:tcW w:w="3544" w:type="dxa"/>
            <w:tcBorders>
              <w:top w:val="nil"/>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lang w:val="fr-BE" w:eastAsia="fr-BE"/>
              </w:rPr>
            </w:pPr>
            <w:r>
              <w:rPr>
                <w:i/>
                <w:iCs/>
                <w:noProof/>
                <w:color w:val="000000"/>
                <w:sz w:val="18"/>
                <w:szCs w:val="18"/>
                <w:lang w:val="fr-BE" w:eastAsia="fr-BE"/>
              </w:rPr>
              <w:t>GMC 2014</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-543,0</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0,0</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0,0</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0,0</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0,0</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lang w:val="fr-BE" w:eastAsia="fr-BE"/>
              </w:rPr>
            </w:pPr>
            <w:r>
              <w:rPr>
                <w:i/>
                <w:iCs/>
                <w:noProof/>
                <w:color w:val="000000"/>
                <w:sz w:val="18"/>
                <w:szCs w:val="18"/>
                <w:lang w:val="fr-BE" w:eastAsia="fr-BE"/>
              </w:rPr>
              <w:t>GMC 2015</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0,0</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-1 439,1</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0,0</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0,0</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0,0</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lang w:val="fr-BE" w:eastAsia="fr-BE"/>
              </w:rPr>
            </w:pPr>
            <w:r>
              <w:rPr>
                <w:i/>
                <w:iCs/>
                <w:noProof/>
                <w:color w:val="000000"/>
                <w:sz w:val="18"/>
                <w:szCs w:val="18"/>
                <w:lang w:val="fr-BE" w:eastAsia="fr-BE"/>
              </w:rPr>
              <w:t>GMC 2016</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-500,0</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-1 355,6</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-315,4</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0,0</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lang w:val="fr-BE" w:eastAsia="fr-BE"/>
              </w:rPr>
            </w:pPr>
            <w:r>
              <w:rPr>
                <w:i/>
                <w:iCs/>
                <w:noProof/>
                <w:color w:val="000000"/>
                <w:sz w:val="18"/>
                <w:szCs w:val="18"/>
                <w:lang w:val="fr-BE" w:eastAsia="fr-BE"/>
              </w:rPr>
              <w:t>GMC 2017</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0,0</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-1 160,6</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0,0</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lang w:val="fr-BE" w:eastAsia="fr-BE"/>
              </w:rPr>
            </w:pPr>
            <w:r>
              <w:rPr>
                <w:i/>
                <w:iCs/>
                <w:noProof/>
                <w:color w:val="000000"/>
                <w:sz w:val="18"/>
                <w:szCs w:val="18"/>
                <w:lang w:val="fr-BE" w:eastAsia="fr-BE"/>
              </w:rPr>
              <w:t>GMC 2018</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-100,0</w:t>
            </w:r>
          </w:p>
        </w:tc>
        <w:tc>
          <w:tcPr>
            <w:tcW w:w="850" w:type="dxa"/>
            <w:tcBorders>
              <w:top w:val="single" w:sz="4" w:space="0" w:color="auto"/>
              <w:left w:val="single" w:sz="8" w:space="0" w:color="000000"/>
              <w:bottom w:val="single" w:sz="4" w:space="0" w:color="auto"/>
              <w:right w:val="single" w:sz="8" w:space="0" w:color="auto"/>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-269,6</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lang w:val="fr-BE" w:eastAsia="fr-BE"/>
              </w:rPr>
            </w:pPr>
            <w:r>
              <w:rPr>
                <w:i/>
                <w:iCs/>
                <w:noProof/>
                <w:color w:val="000000"/>
                <w:sz w:val="18"/>
                <w:szCs w:val="18"/>
                <w:lang w:val="fr-BE" w:eastAsia="fr-BE"/>
              </w:rPr>
              <w:t>GMC 2019</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lang w:val="fr-BE" w:eastAsia="fr-BE"/>
              </w:rPr>
            </w:pPr>
          </w:p>
        </w:tc>
      </w:tr>
      <w:tr>
        <w:trPr>
          <w:trHeight w:val="270"/>
        </w:trPr>
        <w:tc>
          <w:tcPr>
            <w:tcW w:w="354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pPr>
              <w:spacing w:before="0" w:after="0"/>
              <w:jc w:val="center"/>
              <w:rPr>
                <w:b/>
                <w:bCs/>
                <w:noProof/>
                <w:color w:val="000000"/>
                <w:sz w:val="18"/>
                <w:szCs w:val="18"/>
                <w:lang w:val="en-US" w:eastAsia="fr-BE"/>
              </w:rPr>
            </w:pPr>
            <w:r>
              <w:rPr>
                <w:b/>
                <w:bCs/>
                <w:noProof/>
                <w:color w:val="000000"/>
                <w:sz w:val="18"/>
                <w:szCs w:val="18"/>
                <w:lang w:val="en-US" w:eastAsia="fr-BE"/>
              </w:rPr>
              <w:t>Remaining GMC at year-end</w:t>
            </w:r>
          </w:p>
        </w:tc>
        <w:tc>
          <w:tcPr>
            <w:tcW w:w="850" w:type="dxa"/>
            <w:tcBorders>
              <w:top w:val="nil"/>
              <w:left w:val="nil"/>
              <w:bottom w:val="single" w:sz="8" w:space="0" w:color="auto"/>
              <w:right w:val="single" w:sz="4" w:space="0" w:color="000000"/>
            </w:tcBorders>
            <w:shd w:val="clear" w:color="auto" w:fill="auto"/>
            <w:vAlign w:val="center"/>
            <w:hideMark/>
          </w:tcPr>
          <w:p>
            <w:pPr>
              <w:spacing w:before="0" w:after="0"/>
              <w:jc w:val="right"/>
              <w:rPr>
                <w:b/>
                <w:bCs/>
                <w:noProof/>
                <w:sz w:val="18"/>
                <w:szCs w:val="18"/>
                <w:lang w:val="fr-BE" w:eastAsia="fr-BE"/>
              </w:rPr>
            </w:pPr>
            <w:r>
              <w:rPr>
                <w:b/>
                <w:bCs/>
                <w:noProof/>
                <w:sz w:val="18"/>
                <w:szCs w:val="18"/>
                <w:lang w:val="fr-BE" w:eastAsia="fr-BE"/>
              </w:rPr>
              <w:t>0,0</w:t>
            </w:r>
          </w:p>
        </w:tc>
        <w:tc>
          <w:tcPr>
            <w:tcW w:w="851"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b/>
                <w:bCs/>
                <w:noProof/>
                <w:sz w:val="18"/>
                <w:szCs w:val="18"/>
                <w:lang w:val="fr-BE" w:eastAsia="fr-BE"/>
              </w:rPr>
            </w:pPr>
            <w:r>
              <w:rPr>
                <w:b/>
                <w:bCs/>
                <w:noProof/>
                <w:sz w:val="18"/>
                <w:szCs w:val="18"/>
                <w:lang w:val="fr-BE" w:eastAsia="fr-BE"/>
              </w:rPr>
              <w:t>0,0</w:t>
            </w:r>
          </w:p>
        </w:tc>
        <w:tc>
          <w:tcPr>
            <w:tcW w:w="850"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b/>
                <w:bCs/>
                <w:noProof/>
                <w:sz w:val="18"/>
                <w:szCs w:val="18"/>
                <w:lang w:val="fr-BE" w:eastAsia="fr-BE"/>
              </w:rPr>
            </w:pPr>
            <w:r>
              <w:rPr>
                <w:b/>
                <w:bCs/>
                <w:noProof/>
                <w:sz w:val="18"/>
                <w:szCs w:val="18"/>
                <w:lang w:val="fr-BE" w:eastAsia="fr-BE"/>
              </w:rPr>
              <w:t>1 410,9</w:t>
            </w:r>
          </w:p>
        </w:tc>
        <w:tc>
          <w:tcPr>
            <w:tcW w:w="851"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b/>
                <w:bCs/>
                <w:noProof/>
                <w:sz w:val="18"/>
                <w:szCs w:val="18"/>
                <w:lang w:val="fr-BE" w:eastAsia="fr-BE"/>
              </w:rPr>
            </w:pPr>
            <w:r>
              <w:rPr>
                <w:b/>
                <w:bCs/>
                <w:noProof/>
                <w:sz w:val="18"/>
                <w:szCs w:val="18"/>
                <w:lang w:val="fr-BE" w:eastAsia="fr-BE"/>
              </w:rPr>
              <w:t>1 632,0</w:t>
            </w:r>
          </w:p>
        </w:tc>
        <w:tc>
          <w:tcPr>
            <w:tcW w:w="850"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b/>
                <w:bCs/>
                <w:noProof/>
                <w:sz w:val="18"/>
                <w:szCs w:val="18"/>
                <w:lang w:val="fr-BE" w:eastAsia="fr-BE"/>
              </w:rPr>
            </w:pPr>
            <w:r>
              <w:rPr>
                <w:b/>
                <w:bCs/>
                <w:noProof/>
                <w:sz w:val="18"/>
                <w:szCs w:val="18"/>
                <w:lang w:val="fr-BE" w:eastAsia="fr-BE"/>
              </w:rPr>
              <w:t>1 446,8</w:t>
            </w:r>
          </w:p>
        </w:tc>
        <w:tc>
          <w:tcPr>
            <w:tcW w:w="851" w:type="dxa"/>
            <w:tcBorders>
              <w:top w:val="nil"/>
              <w:left w:val="single" w:sz="8" w:space="0" w:color="auto"/>
              <w:bottom w:val="single" w:sz="8" w:space="0" w:color="auto"/>
              <w:right w:val="nil"/>
            </w:tcBorders>
            <w:shd w:val="clear" w:color="auto" w:fill="auto"/>
            <w:vAlign w:val="center"/>
            <w:hideMark/>
          </w:tcPr>
          <w:p>
            <w:pPr>
              <w:spacing w:before="0" w:after="0"/>
              <w:jc w:val="right"/>
              <w:rPr>
                <w:b/>
                <w:bCs/>
                <w:noProof/>
                <w:sz w:val="18"/>
                <w:szCs w:val="18"/>
                <w:lang w:val="fr-BE" w:eastAsia="fr-BE"/>
              </w:rPr>
            </w:pPr>
            <w:r>
              <w:rPr>
                <w:b/>
                <w:bCs/>
                <w:noProof/>
                <w:sz w:val="18"/>
                <w:szCs w:val="18"/>
                <w:lang w:val="fr-BE" w:eastAsia="fr-BE"/>
              </w:rPr>
              <w:t>1 318,7</w:t>
            </w:r>
          </w:p>
        </w:tc>
        <w:tc>
          <w:tcPr>
            <w:tcW w:w="85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right"/>
              <w:rPr>
                <w:b/>
                <w:bCs/>
                <w:noProof/>
                <w:sz w:val="18"/>
                <w:szCs w:val="18"/>
                <w:lang w:val="fr-BE" w:eastAsia="fr-BE"/>
              </w:rPr>
            </w:pPr>
            <w:r>
              <w:rPr>
                <w:b/>
                <w:bCs/>
                <w:noProof/>
                <w:sz w:val="18"/>
                <w:szCs w:val="18"/>
                <w:lang w:val="fr-BE" w:eastAsia="fr-BE"/>
              </w:rPr>
              <w:t>2 392,4</w:t>
            </w:r>
          </w:p>
        </w:tc>
      </w:tr>
      <w:tr>
        <w:trPr>
          <w:trHeight w:val="255"/>
        </w:trPr>
        <w:tc>
          <w:tcPr>
            <w:tcW w:w="3544"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lang w:val="fr-BE" w:eastAsia="fr-BE"/>
              </w:rPr>
            </w:pPr>
            <w:r>
              <w:rPr>
                <w:i/>
                <w:iCs/>
                <w:noProof/>
                <w:color w:val="000000"/>
                <w:sz w:val="18"/>
                <w:szCs w:val="18"/>
                <w:lang w:val="fr-BE" w:eastAsia="fr-BE"/>
              </w:rPr>
              <w:t>GMC 2014</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0,0</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0,0</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0,0</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0,0</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0,0</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lang w:val="fr-BE" w:eastAsia="fr-BE"/>
              </w:rPr>
            </w:pPr>
            <w:r>
              <w:rPr>
                <w:i/>
                <w:iCs/>
                <w:noProof/>
                <w:color w:val="000000"/>
                <w:sz w:val="18"/>
                <w:szCs w:val="18"/>
                <w:lang w:val="fr-BE" w:eastAsia="fr-BE"/>
              </w:rPr>
              <w:t>GMC 2015</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1 410,9</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0,0</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0,0</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0,0</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0,0</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lang w:val="fr-BE" w:eastAsia="fr-BE"/>
              </w:rPr>
            </w:pPr>
            <w:r>
              <w:rPr>
                <w:i/>
                <w:iCs/>
                <w:noProof/>
                <w:color w:val="000000"/>
                <w:sz w:val="18"/>
                <w:szCs w:val="18"/>
                <w:lang w:val="fr-BE" w:eastAsia="fr-BE"/>
              </w:rPr>
              <w:t>GMC 2016</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1 632,0</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309,0</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0,0</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0,0</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lang w:val="fr-BE" w:eastAsia="fr-BE"/>
              </w:rPr>
            </w:pPr>
            <w:r>
              <w:rPr>
                <w:i/>
                <w:iCs/>
                <w:noProof/>
                <w:color w:val="000000"/>
                <w:sz w:val="18"/>
                <w:szCs w:val="18"/>
                <w:lang w:val="fr-BE" w:eastAsia="fr-BE"/>
              </w:rPr>
              <w:t>GMC 2017</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1 137,8</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0,0</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0,0</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lang w:val="fr-BE" w:eastAsia="fr-BE"/>
              </w:rPr>
            </w:pPr>
            <w:r>
              <w:rPr>
                <w:i/>
                <w:iCs/>
                <w:noProof/>
                <w:color w:val="000000"/>
                <w:sz w:val="18"/>
                <w:szCs w:val="18"/>
                <w:lang w:val="fr-BE" w:eastAsia="fr-BE"/>
              </w:rPr>
              <w:t>GMC 2018</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1 318,7</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1 075,5</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lang w:val="fr-BE" w:eastAsia="fr-BE"/>
              </w:rPr>
            </w:pPr>
            <w:r>
              <w:rPr>
                <w:i/>
                <w:iCs/>
                <w:noProof/>
                <w:color w:val="000000"/>
                <w:sz w:val="18"/>
                <w:szCs w:val="18"/>
                <w:lang w:val="fr-BE" w:eastAsia="fr-BE"/>
              </w:rPr>
              <w:t>GMC 2019</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lang w:val="fr-BE" w:eastAsia="fr-BE"/>
              </w:rPr>
            </w:pPr>
            <w:r>
              <w:rPr>
                <w:i/>
                <w:iCs/>
                <w:noProof/>
                <w:sz w:val="18"/>
                <w:szCs w:val="18"/>
                <w:lang w:val="fr-BE" w:eastAsia="fr-BE"/>
              </w:rPr>
              <w:t>1 316,9</w:t>
            </w:r>
          </w:p>
        </w:tc>
      </w:tr>
    </w:tbl>
    <w:p>
      <w:pPr>
        <w:pStyle w:val="Text1"/>
        <w:ind w:left="0"/>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6714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t-PT"/>
        </w:rPr>
      </w:pPr>
      <w:r>
        <w:rPr>
          <w:rStyle w:val="FootnoteReference"/>
        </w:rPr>
        <w:footnoteRef/>
      </w:r>
      <w:r>
        <w:rPr>
          <w:lang w:val="pt-PT"/>
        </w:rPr>
        <w:tab/>
        <w:t>OJ L 163, 24.6.2017, p.1.</w:t>
      </w:r>
    </w:p>
  </w:footnote>
  <w:footnote w:id="3">
    <w:p>
      <w:pPr>
        <w:pStyle w:val="FootnoteText"/>
        <w:rPr>
          <w:lang w:val="pt-PT"/>
        </w:rPr>
      </w:pPr>
      <w:r>
        <w:rPr>
          <w:rStyle w:val="FootnoteReference"/>
        </w:rPr>
        <w:footnoteRef/>
      </w:r>
      <w:r>
        <w:rPr>
          <w:lang w:val="pt-PT"/>
        </w:rPr>
        <w:t xml:space="preserve"> </w:t>
      </w:r>
      <w:r>
        <w:rPr>
          <w:lang w:val="pt-PT"/>
        </w:rPr>
        <w:tab/>
        <w:t>COM(2019) 310 final of 15.05.2019.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5B8B29F9"/>
    <w:multiLevelType w:val="hybridMultilevel"/>
    <w:tmpl w:val="32229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hideGrammaticalErrors/>
  <w:revisionView w:markup="0"/>
  <w:defaultTabStop w:val="720"/>
  <w:hyphenationZone w:val="425"/>
  <w:characterSpacingControl w:val="doNotCompress"/>
  <w:hdrShapeDefaults>
    <o:shapedefaults v:ext="edit" spidmax="1269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ED3DEA1-CA2B-4155-AB3A-7332C8039B84"/>
    <w:docVar w:name="LW_COVERPAGE_TYPE" w:val="1"/>
    <w:docVar w:name="LW_CROSSREFERENCE" w:val="&lt;UNUSED&gt;"/>
    <w:docVar w:name="LW_DocType" w:val="NORMAL"/>
    <w:docVar w:name="LW_EMISSION" w:val="2.4.2020"/>
    <w:docVar w:name="LW_EMISSION_ISODATE" w:val="2020-04-02"/>
    <w:docVar w:name="LW_EMISSION_LOCATION" w:val="BRX"/>
    <w:docVar w:name="LW_EMISSION_PREFIX" w:val="Brussels, "/>
    <w:docVar w:name="LW_EMISSION_SUFFIX" w:val="&lt;EMPTY&gt;"/>
    <w:docVar w:name="LW_ID_DOCTYPE_NONLW" w:val="CP-011"/>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1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Technical adjustment in respect of special instruments for 2020_x000b_(Article 6(1)(e) and (f) of Council Regulation No 1311/2013 laying down the multiannual financial framework for the years 2014-2020)"/>
    <w:docVar w:name="LW_TYPE.DOC.CP" w:val="COMMUNICATION FROM THE COMMISSION TO THE COUNCIL AND THE EUROPEAN PARLIAMENT"/>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link w:val="ManualHeading1Char"/>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customStyle="1" w:styleId="Pagedecouverture">
    <w:name w:val="Page de couverture"/>
    <w:basedOn w:val="Normal"/>
    <w:next w:val="Normal"/>
    <w:pPr>
      <w:spacing w:before="0" w:after="0"/>
    </w:pPr>
    <w:rPr>
      <w:rFonts w:eastAsiaTheme="minorHAnsi"/>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lang w:eastAsia="en-GB"/>
    </w:rPr>
  </w:style>
  <w:style w:type="character" w:customStyle="1" w:styleId="FooterCoverPageChar">
    <w:name w:val="Footer Cover Page Char"/>
    <w:basedOn w:val="ManualHeading1Char"/>
    <w:link w:val="FooterCoverPage"/>
    <w:rPr>
      <w:rFonts w:ascii="Times New Roman" w:eastAsia="Times New Roman" w:hAnsi="Times New Roman" w:cs="Times New Roman"/>
      <w:b w:val="0"/>
      <w:smallCaps w:val="0"/>
      <w:sz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ManualHeading1Char"/>
    <w:link w:val="FooterSensitivity"/>
    <w:rPr>
      <w:rFonts w:ascii="Times New Roman" w:eastAsia="Times New Roman" w:hAnsi="Times New Roman" w:cs="Times New Roman"/>
      <w:b/>
      <w:smallCaps w:val="0"/>
      <w:sz w:val="32"/>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ManualHeading1Char"/>
    <w:link w:val="HeaderCoverPage"/>
    <w:rPr>
      <w:rFonts w:ascii="Times New Roman" w:eastAsia="Times New Roman" w:hAnsi="Times New Roman" w:cs="Times New Roman"/>
      <w:b w:val="0"/>
      <w:smallCaps w:val="0"/>
      <w:sz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ManualHeading1Char"/>
    <w:link w:val="HeaderSensitivity"/>
    <w:rPr>
      <w:rFonts w:ascii="Times New Roman" w:eastAsia="Times New Roman" w:hAnsi="Times New Roman" w:cs="Times New Roman"/>
      <w:b/>
      <w:smallCaps w:val="0"/>
      <w:sz w:val="32"/>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SecurityMarking">
    <w:name w:val="SecurityMarking"/>
    <w:basedOn w:val="Normal"/>
    <w:pPr>
      <w:spacing w:before="0" w:after="0" w:line="276" w:lineRule="auto"/>
      <w:ind w:left="5103"/>
      <w:jc w:val="left"/>
    </w:pPr>
    <w:rPr>
      <w:rFonts w:eastAsiaTheme="minorHAnsi"/>
      <w:sz w:val="28"/>
      <w:lang w:eastAsia="en-US"/>
    </w:rPr>
  </w:style>
  <w:style w:type="paragraph" w:customStyle="1" w:styleId="DateMarking">
    <w:name w:val="DateMarking"/>
    <w:basedOn w:val="Normal"/>
    <w:pPr>
      <w:spacing w:before="0" w:after="0" w:line="276" w:lineRule="auto"/>
      <w:ind w:left="5103"/>
      <w:jc w:val="left"/>
    </w:pPr>
    <w:rPr>
      <w:rFonts w:eastAsiaTheme="minorHAnsi"/>
      <w:i/>
      <w:sz w:val="28"/>
      <w:lang w:eastAsia="en-US"/>
    </w:rPr>
  </w:style>
  <w:style w:type="paragraph" w:customStyle="1" w:styleId="ReleasableTo">
    <w:name w:val="ReleasableTo"/>
    <w:basedOn w:val="Normal"/>
    <w:pPr>
      <w:spacing w:before="0" w:after="0" w:line="276" w:lineRule="auto"/>
      <w:ind w:left="5103"/>
      <w:jc w:val="left"/>
    </w:pPr>
    <w:rPr>
      <w:rFonts w:eastAsiaTheme="minorHAnsi"/>
      <w:i/>
      <w:sz w:val="28"/>
      <w:lang w:eastAsia="en-US"/>
    </w:rPr>
  </w:style>
  <w:style w:type="paragraph" w:customStyle="1" w:styleId="HeaderSensitivityRight">
    <w:name w:val="Header Sensitivity Right"/>
    <w:basedOn w:val="Normal"/>
    <w:pPr>
      <w:spacing w:before="0"/>
      <w:jc w:val="right"/>
    </w:pPr>
    <w:rPr>
      <w:sz w:val="28"/>
    </w:rPr>
  </w:style>
  <w:style w:type="paragraph" w:customStyle="1" w:styleId="LegalNumPar">
    <w:name w:val="LegalNumPar"/>
    <w:basedOn w:val="Normal"/>
    <w:pPr>
      <w:numPr>
        <w:numId w:val="4"/>
      </w:numPr>
      <w:spacing w:line="360" w:lineRule="auto"/>
    </w:pPr>
  </w:style>
  <w:style w:type="paragraph" w:customStyle="1" w:styleId="LegalNumPar2">
    <w:name w:val="LegalNumPar2"/>
    <w:basedOn w:val="Normal"/>
    <w:pPr>
      <w:numPr>
        <w:ilvl w:val="1"/>
        <w:numId w:val="4"/>
      </w:numPr>
      <w:spacing w:line="360" w:lineRule="auto"/>
    </w:pPr>
  </w:style>
  <w:style w:type="paragraph" w:customStyle="1" w:styleId="LegalNumPar3">
    <w:name w:val="LegalNumPar3"/>
    <w:basedOn w:val="Normal"/>
    <w:pPr>
      <w:numPr>
        <w:ilvl w:val="2"/>
        <w:numId w:val="4"/>
      </w:numPr>
      <w:spacing w:line="36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link w:val="ManualHeading1Char"/>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customStyle="1" w:styleId="Pagedecouverture">
    <w:name w:val="Page de couverture"/>
    <w:basedOn w:val="Normal"/>
    <w:next w:val="Normal"/>
    <w:pPr>
      <w:spacing w:before="0" w:after="0"/>
    </w:pPr>
    <w:rPr>
      <w:rFonts w:eastAsiaTheme="minorHAnsi"/>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lang w:eastAsia="en-GB"/>
    </w:rPr>
  </w:style>
  <w:style w:type="character" w:customStyle="1" w:styleId="FooterCoverPageChar">
    <w:name w:val="Footer Cover Page Char"/>
    <w:basedOn w:val="ManualHeading1Char"/>
    <w:link w:val="FooterCoverPage"/>
    <w:rPr>
      <w:rFonts w:ascii="Times New Roman" w:eastAsia="Times New Roman" w:hAnsi="Times New Roman" w:cs="Times New Roman"/>
      <w:b w:val="0"/>
      <w:smallCaps w:val="0"/>
      <w:sz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ManualHeading1Char"/>
    <w:link w:val="FooterSensitivity"/>
    <w:rPr>
      <w:rFonts w:ascii="Times New Roman" w:eastAsia="Times New Roman" w:hAnsi="Times New Roman" w:cs="Times New Roman"/>
      <w:b/>
      <w:smallCaps w:val="0"/>
      <w:sz w:val="32"/>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ManualHeading1Char"/>
    <w:link w:val="HeaderCoverPage"/>
    <w:rPr>
      <w:rFonts w:ascii="Times New Roman" w:eastAsia="Times New Roman" w:hAnsi="Times New Roman" w:cs="Times New Roman"/>
      <w:b w:val="0"/>
      <w:smallCaps w:val="0"/>
      <w:sz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ManualHeading1Char"/>
    <w:link w:val="HeaderSensitivity"/>
    <w:rPr>
      <w:rFonts w:ascii="Times New Roman" w:eastAsia="Times New Roman" w:hAnsi="Times New Roman" w:cs="Times New Roman"/>
      <w:b/>
      <w:smallCaps w:val="0"/>
      <w:sz w:val="32"/>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SecurityMarking">
    <w:name w:val="SecurityMarking"/>
    <w:basedOn w:val="Normal"/>
    <w:pPr>
      <w:spacing w:before="0" w:after="0" w:line="276" w:lineRule="auto"/>
      <w:ind w:left="5103"/>
      <w:jc w:val="left"/>
    </w:pPr>
    <w:rPr>
      <w:rFonts w:eastAsiaTheme="minorHAnsi"/>
      <w:sz w:val="28"/>
      <w:lang w:eastAsia="en-US"/>
    </w:rPr>
  </w:style>
  <w:style w:type="paragraph" w:customStyle="1" w:styleId="DateMarking">
    <w:name w:val="DateMarking"/>
    <w:basedOn w:val="Normal"/>
    <w:pPr>
      <w:spacing w:before="0" w:after="0" w:line="276" w:lineRule="auto"/>
      <w:ind w:left="5103"/>
      <w:jc w:val="left"/>
    </w:pPr>
    <w:rPr>
      <w:rFonts w:eastAsiaTheme="minorHAnsi"/>
      <w:i/>
      <w:sz w:val="28"/>
      <w:lang w:eastAsia="en-US"/>
    </w:rPr>
  </w:style>
  <w:style w:type="paragraph" w:customStyle="1" w:styleId="ReleasableTo">
    <w:name w:val="ReleasableTo"/>
    <w:basedOn w:val="Normal"/>
    <w:pPr>
      <w:spacing w:before="0" w:after="0" w:line="276" w:lineRule="auto"/>
      <w:ind w:left="5103"/>
      <w:jc w:val="left"/>
    </w:pPr>
    <w:rPr>
      <w:rFonts w:eastAsiaTheme="minorHAnsi"/>
      <w:i/>
      <w:sz w:val="28"/>
      <w:lang w:eastAsia="en-US"/>
    </w:rPr>
  </w:style>
  <w:style w:type="paragraph" w:customStyle="1" w:styleId="HeaderSensitivityRight">
    <w:name w:val="Header Sensitivity Right"/>
    <w:basedOn w:val="Normal"/>
    <w:pPr>
      <w:spacing w:before="0"/>
      <w:jc w:val="right"/>
    </w:pPr>
    <w:rPr>
      <w:sz w:val="28"/>
    </w:rPr>
  </w:style>
  <w:style w:type="paragraph" w:customStyle="1" w:styleId="LegalNumPar">
    <w:name w:val="LegalNumPar"/>
    <w:basedOn w:val="Normal"/>
    <w:pPr>
      <w:numPr>
        <w:numId w:val="4"/>
      </w:numPr>
      <w:spacing w:line="360" w:lineRule="auto"/>
    </w:pPr>
  </w:style>
  <w:style w:type="paragraph" w:customStyle="1" w:styleId="LegalNumPar2">
    <w:name w:val="LegalNumPar2"/>
    <w:basedOn w:val="Normal"/>
    <w:pPr>
      <w:numPr>
        <w:ilvl w:val="1"/>
        <w:numId w:val="4"/>
      </w:numPr>
      <w:spacing w:line="360" w:lineRule="auto"/>
    </w:pPr>
  </w:style>
  <w:style w:type="paragraph" w:customStyle="1" w:styleId="LegalNumPar3">
    <w:name w:val="LegalNumPar3"/>
    <w:basedOn w:val="Normal"/>
    <w:pPr>
      <w:numPr>
        <w:ilvl w:val="2"/>
        <w:numId w:val="4"/>
      </w:num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8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60CFCA0-C35F-4944-8106-4BCBDE6E4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2013</Words>
  <Characters>9343</Characters>
  <Application>Microsoft Office Word</Application>
  <DocSecurity>0</DocSecurity>
  <Lines>718</Lines>
  <Paragraphs>667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18</cp:revision>
  <cp:lastPrinted>2019-04-11T08:28:00Z</cp:lastPrinted>
  <dcterms:created xsi:type="dcterms:W3CDTF">2020-03-30T14:53:00Z</dcterms:created>
  <dcterms:modified xsi:type="dcterms:W3CDTF">2020-04-01T21:22:00Z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CP-011</vt:lpwstr>
  </property>
</Properties>
</file>