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87F3467-1F79-4BB2-8D27-0B6E50E5747C" style="width:450.75pt;height:39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jc w:val="center"/>
        <w:rPr>
          <w:noProof/>
        </w:rPr>
      </w:pPr>
      <w:r>
        <w:rPr>
          <w:noProof/>
        </w:rPr>
        <w:t>ПРИЛОЖЕНИЕ I</w:t>
      </w:r>
    </w:p>
    <w:p>
      <w:pPr>
        <w:jc w:val="center"/>
        <w:rPr>
          <w:b/>
          <w:noProof/>
        </w:rPr>
      </w:pPr>
      <w:r>
        <w:rPr>
          <w:b/>
          <w:noProof/>
        </w:rPr>
        <w:t>ОТНОСНО ТАРИФНИТЕ КВОТИ, ПОСОЧЕНИ В ЧЛЕН 1, ПАРАГРАФ 2</w:t>
      </w:r>
    </w:p>
    <w:p>
      <w:pPr>
        <w:rPr>
          <w:noProof/>
        </w:rPr>
      </w:pPr>
      <w:r>
        <w:rPr>
          <w:noProof/>
        </w:rPr>
        <w:t>Независимо от правилата за тълкуване на Комбинираната номенклатура следва да се счита, че текстът на описанието на стоките има само указателно значение, като преференциалната схема се определя – в рамките на настоящото приложение – от обхвата на кодовете по КН. Когато се използват „ex“ кодове по КН, преференциалната схема се определя чрез прилагането на кода по КН и съответното описание, взети заедно.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55"/>
        <w:gridCol w:w="2206"/>
        <w:gridCol w:w="1984"/>
        <w:gridCol w:w="1418"/>
        <w:gridCol w:w="1701"/>
        <w:gridCol w:w="1843"/>
      </w:tblGrid>
      <w:tr>
        <w:trPr>
          <w:tblHeader/>
        </w:trPr>
        <w:tc>
          <w:tcPr>
            <w:tcW w:w="1055" w:type="dxa"/>
            <w:tcBorders>
              <w:top w:val="single" w:sz="2" w:space="0" w:color="auto"/>
              <w:bottom w:val="single" w:sz="4" w:space="0" w:color="000000"/>
              <w:right w:val="single" w:sz="2" w:space="0" w:color="auto"/>
            </w:tcBorders>
          </w:tcPr>
          <w:p>
            <w:pPr>
              <w:spacing w:before="36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Пореден номер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before="48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Код по КН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before="48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Описание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Годишен обем на квотата</w:t>
            </w:r>
            <w:r>
              <w:rPr>
                <w:rStyle w:val="FootnoteReference"/>
                <w:noProof/>
                <w:sz w:val="22"/>
              </w:rPr>
              <w:footnoteReference w:id="1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before="48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Бенефициери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>
            <w:pPr>
              <w:spacing w:before="36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Митническа ставка</w:t>
            </w:r>
          </w:p>
        </w:tc>
      </w:tr>
      <w:tr>
        <w:trPr>
          <w:cantSplit/>
        </w:trPr>
        <w:tc>
          <w:tcPr>
            <w:tcW w:w="1055" w:type="dxa"/>
            <w:tcBorders>
              <w:bottom w:val="single" w:sz="2" w:space="0" w:color="auto"/>
              <w:right w:val="single" w:sz="2" w:space="0" w:color="auto"/>
            </w:tcBorders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09.1530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>
            <w:pPr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ex 2204 21 94</w:t>
            </w:r>
          </w:p>
          <w:p>
            <w:pPr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ex 2204 21 95</w:t>
            </w:r>
          </w:p>
          <w:p>
            <w:pPr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ex 2204 21 96</w:t>
            </w:r>
          </w:p>
          <w:p>
            <w:pPr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ex 2204 21 97</w:t>
            </w:r>
          </w:p>
          <w:p>
            <w:pPr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ex 2204 21 98</w:t>
            </w:r>
          </w:p>
          <w:p>
            <w:pPr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ex 2204 22 93</w:t>
            </w:r>
          </w:p>
          <w:p>
            <w:pPr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ex 2204 22 94</w:t>
            </w:r>
          </w:p>
          <w:p>
            <w:pPr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ex 2204 22 95</w:t>
            </w:r>
          </w:p>
          <w:p>
            <w:pPr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ex 2204 29 93</w:t>
            </w:r>
          </w:p>
          <w:p>
            <w:pPr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ex 2204 29 94</w:t>
            </w:r>
          </w:p>
          <w:p>
            <w:pPr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ex 2204 29 95</w:t>
            </w:r>
          </w:p>
        </w:tc>
        <w:tc>
          <w:tcPr>
            <w:tcW w:w="19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Вина от прясно грозде, с действително алкохолно съдържание, непревишаващо 15 обемни %, различни от пенливите вина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30 000 hl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Албания</w:t>
            </w:r>
            <w:r>
              <w:rPr>
                <w:rStyle w:val="FootnoteReference"/>
                <w:noProof/>
                <w:sz w:val="22"/>
              </w:rPr>
              <w:footnoteReference w:id="2"/>
            </w:r>
            <w:r>
              <w:rPr>
                <w:noProof/>
                <w:sz w:val="22"/>
              </w:rPr>
              <w:t>, Босна и Херцеговина</w:t>
            </w:r>
            <w:r>
              <w:rPr>
                <w:rStyle w:val="FootnoteReference"/>
                <w:noProof/>
                <w:sz w:val="22"/>
              </w:rPr>
              <w:footnoteReference w:id="3"/>
            </w:r>
            <w:r>
              <w:rPr>
                <w:noProof/>
                <w:sz w:val="22"/>
              </w:rPr>
              <w:t>, Косово</w:t>
            </w:r>
            <w:r>
              <w:rPr>
                <w:rStyle w:val="FootnoteReference"/>
                <w:noProof/>
                <w:sz w:val="22"/>
              </w:rPr>
              <w:footnoteReference w:id="4"/>
            </w:r>
            <w:r>
              <w:rPr>
                <w:noProof/>
                <w:sz w:val="22"/>
              </w:rPr>
              <w:t>, Черна гора</w:t>
            </w:r>
            <w:r>
              <w:rPr>
                <w:rStyle w:val="FootnoteReference"/>
                <w:noProof/>
                <w:sz w:val="22"/>
              </w:rPr>
              <w:footnoteReference w:id="5"/>
            </w:r>
            <w:r>
              <w:rPr>
                <w:noProof/>
                <w:sz w:val="22"/>
              </w:rPr>
              <w:t>, Северна Македония</w:t>
            </w:r>
            <w:r>
              <w:rPr>
                <w:rStyle w:val="FootnoteReference"/>
                <w:noProof/>
                <w:sz w:val="22"/>
              </w:rPr>
              <w:footnoteReference w:id="6"/>
            </w:r>
            <w:r>
              <w:rPr>
                <w:noProof/>
                <w:sz w:val="22"/>
              </w:rPr>
              <w:t>, Сърбия</w:t>
            </w:r>
            <w:r>
              <w:rPr>
                <w:rStyle w:val="FootnoteReference"/>
                <w:noProof/>
                <w:sz w:val="22"/>
              </w:rPr>
              <w:footnoteReference w:id="7"/>
            </w:r>
            <w:r>
              <w:rPr>
                <w:noProof/>
                <w:sz w:val="22"/>
              </w:rPr>
              <w:t>.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</w:tcPr>
          <w:p>
            <w:pPr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Освобождаване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Един общ обем за тарифна квота, достъпен за вноса с произход от бенефициерите.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Достъпът за вината с произход от Албания до общата тарифна квота зависи от предварителното изчерпване на индивидуалната тарифна квота, предвидена в Протокола за вината, сключен с Албания. Тази индивидуална тарифна квота е отворена под поредни номера 09.1512 и 09.1513.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Достъпът за вината с произход от Босна и Херцеговина до общата тарифна квота зависи от предварителното изчерпване на двете индивидуални тарифни квоти, предвидени в Протокола за вината, сключен с Босна и Херцеговина. Тези индивидуални тарифни квоти са отворени под поредни номера 09.1528 и 09.1529.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Достъпът за вината с произход от Косово до общата тарифна квота зависи от предварителното изчерпване на двете индивидуални тарифни квоти, предвидени в Протокола за вината, сключен с Косово. Тези индивидуални тарифни квоти са отворени под поредни номера 09.1570 и 09.1572.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Достъпът за вината с произход от Черна гора до общата тарифна квота, що се отнася до продуктите с код по КН 2204 21, зависи от предварителното изчерпване на индивидуалната тарифна квота, предвидена в Протокола за вината, сключен с Черна гора. Посочената индивидуална тарифна квота е отворена под пореден номер 09.1514.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Достъпът за вината с произход от Северна Македония до общата тарифна квота зависи от предварителното изчерпване на двете индивидуални тарифни квоти, предвидени в Протокола за вината, сключен със Северна Македония. Тези индивидуални тарифни квоти са отворени под поредни номера 09.1558 и 09.1559.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Достъпът за вината с произход от Сърбия до общата тарифна квота зависи от предварителното изчерпване на двете индивидуални тарифни квоти, предвидени в Протокола за вината, сключен със Сърбия. Тези индивидуални тарифни квоти са отворени под поредни номера 09.1526 и 09.1527.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EBC5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21E69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0F899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042F3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F5A89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01C08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3163E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E9240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3-27 10:51:5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87F3467-1F79-4BB2-8D27-0B6E50E5747C"/>
    <w:docVar w:name="LW_COVERPAGE_TYPE" w:val="1"/>
    <w:docVar w:name="LW_CROSSREFERENCE" w:val="&lt;UNUSED&gt;"/>
    <w:docVar w:name="LW_DocType" w:val="ANNEX"/>
    <w:docVar w:name="LW_EMISSION" w:val="3.4.2020"/>
    <w:docVar w:name="LW_EMISSION_ISODATE" w:val="2020-04-03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75?\u1083?\u1072?\u1084?\u1077?\u1085?\u1090? (\u1045?\u1054?) \u8470? 1215/2009 \u1085?\u1072? \u1057?\u1098?\u1074?\u1077?\u1090?\u1072? \u1079?\u1072? \u1074?\u1098?\u1074?\u1077?\u1078?\u1076?\u1072?\u1085?\u1077? \u1085?\u1072? \u1080?\u1079?\u1082?\u1083?\u1102?\u1095?\u1080?\u1090?\u1077?\u1083?\u1085?\u1080? \u1090?\u1098?\u1088?\u1075?\u1086?\u1074?\u1089?\u1082?\u1080? \u1084?\u1077?\u1088?\u1082?\u1080? \u1079?\u1072? \u1089?\u1090?\u1088?\u1072?\u1085?\u1080? \u1080? \u1090?\u1077?\u1088?\u1080?\u1090?\u1086?\u1088?\u1080?\u1080?, \u1091?\u1095?\u1072?\u1089?\u1090?\u1074?\u1072?\u1097?\u1080? \u1080?\u1083?\u1080? \u1089?\u1074?\u1098?\u1088?\u1079?\u1072?\u1085?\u1080? \u1089? \u1087?\u1088?\u1086?\u1094?\u1077?\u1089?\u1072? \u1085?\u1072? \u1089?\u1090?\u1072?\u1073?\u1080?\u1083?\u1080?\u1079?\u1080?\u1088?\u1072?\u1085?\u1077? \u1080? \u1072?\u1089?\u1086?\u1094?\u1080?\u1080?\u1088?\u1072?\u1085?\u1077?, \u1086?\u1089?\u1098?\u1097?\u1077?\u1089?\u1090?\u1074?\u1103?\u1074?\u1072?\u1085? \u1086?\u1090? \u1045?\u1074?\u1088?\u1086?\u1087?\u1077?\u1081?\u1089?\u1082?\u1080?\u1103? \u1089?\u1098?\u1102?\u1079?"/>
    <w:docVar w:name="LW_OBJETACTEPRINCIPAL.CP" w:val="\u1079?\u1072? \u1080?\u1079?\u1084?\u1077?\u1085?\u1077?\u1085?\u1080?\u1077? \u1085?\u1072? \u1056?\u1077?\u1075?\u1083?\u1072?\u1084?\u1077?\u1085?\u1090? (\u1045?\u1054?) \u8470? 1215/2009 \u1085?\u1072? \u1057?\u1098?\u1074?\u1077?\u1090?\u1072? \u1079?\u1072? \u1074?\u1098?\u1074?\u1077?\u1078?\u1076?\u1072?\u1085?\u1077? \u1085?\u1072? \u1080?\u1079?\u1082?\u1083?\u1102?\u1095?\u1080?\u1090?\u1077?\u1083?\u1085?\u1080? \u1090?\u1098?\u1088?\u1075?\u1086?\u1074?\u1089?\u1082?\u1080? \u1084?\u1077?\u1088?\u1082?\u1080? \u1079?\u1072? \u1089?\u1090?\u1088?\u1072?\u1085?\u1080? \u1080? \u1090?\u1077?\u1088?\u1080?\u1090?\u1086?\u1088?\u1080?\u1080?, \u1091?\u1095?\u1072?\u1089?\u1090?\u1074?\u1072?\u1097?\u1080? \u1080?\u1083?\u1080? \u1089?\u1074?\u1098?\u1088?\u1079?\u1072?\u1085?\u1080? \u1089? \u1087?\u1088?\u1086?\u1094?\u1077?\u1089?\u1072? \u1085?\u1072? \u1089?\u1090?\u1072?\u1073?\u1080?\u1083?\u1080?\u1079?\u1080?\u1088?\u1072?\u1085?\u1077? \u1080? \u1072?\u1089?\u1086?\u1094?\u1080?\u1080?\u1088?\u1072?\u1085?\u1077?, \u1086?\u1089?\u1098?\u1097?\u1077?\u1089?\u1090?\u1074?\u1103?\u1074?\u1072?\u1085? \u1086?\u1090? \u1045?\u1074?\u1088?\u1086?\u1087?\u1077?\u1081?\u1089?\u1082?\u1080?\u1103? \u1089?\u1098?\u1102?\u1079?"/>
    <w:docVar w:name="LW_PART_NBR" w:val="1"/>
    <w:docVar w:name="LW_PART_NBR_TOTAL" w:val="1"/>
    <w:docVar w:name="LW_REF.INST.NEW" w:val="COM"/>
    <w:docVar w:name="LW_REF.INST.NEW_ADOPTED" w:val="final"/>
    <w:docVar w:name="LW_REF.INST.NEW_TEXT" w:val="(2020) 13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166</Words>
  <Characters>796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 Birgit (TRADE)</dc:creator>
  <cp:keywords/>
  <dc:description/>
  <cp:lastModifiedBy>WES PDFC Administrator</cp:lastModifiedBy>
  <cp:revision>9</cp:revision>
  <dcterms:created xsi:type="dcterms:W3CDTF">2020-03-13T12:23:00Z</dcterms:created>
  <dcterms:modified xsi:type="dcterms:W3CDTF">2020-03-27T09:51:00Z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