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FCBE600-6B16-42CF-A2BD-069557AAB396"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noProof/>
        </w:rPr>
      </w:pPr>
      <w:r>
        <w:rPr>
          <w:noProof/>
        </w:rPr>
        <w:t>ANNEX I</w:t>
      </w:r>
    </w:p>
    <w:p>
      <w:pPr>
        <w:jc w:val="center"/>
        <w:rPr>
          <w:b/>
          <w:noProof/>
        </w:rPr>
      </w:pPr>
      <w:r>
        <w:rPr>
          <w:b/>
          <w:noProof/>
        </w:rPr>
        <w:t>CONCERNING THE TARIFF QUOTAS REFERRED TO IN ARTICLE 1(2)</w:t>
      </w:r>
    </w:p>
    <w:p>
      <w:pPr>
        <w:rPr>
          <w:noProof/>
        </w:rPr>
      </w:pPr>
      <w:r>
        <w:rPr>
          <w:noProof/>
        </w:rPr>
        <w:t>Notwithstanding the rules for the interpretation of the Combined Nomenclature, the wording for the description of the products is to be considered as having no more than an indicative value, the preferential scheme being determined, within the context of this Annex, by the coverage of the CN codes. Where ex CN codes are indicated, the preferential scheme is to be determined by application of the CN code and corresponding description taken together.</w:t>
      </w:r>
    </w:p>
    <w:tbl>
      <w:tblPr>
        <w:tblW w:w="10207" w:type="dxa"/>
        <w:tblInd w:w="-34" w:type="dxa"/>
        <w:tblLayout w:type="fixed"/>
        <w:tblLook w:val="0000" w:firstRow="0" w:lastRow="0" w:firstColumn="0" w:lastColumn="0" w:noHBand="0" w:noVBand="0"/>
      </w:tblPr>
      <w:tblGrid>
        <w:gridCol w:w="1055"/>
        <w:gridCol w:w="2206"/>
        <w:gridCol w:w="1984"/>
        <w:gridCol w:w="1418"/>
        <w:gridCol w:w="1701"/>
        <w:gridCol w:w="1843"/>
      </w:tblGrid>
      <w:tr>
        <w:trPr>
          <w:tblHeader/>
        </w:trPr>
        <w:tc>
          <w:tcPr>
            <w:tcW w:w="1055" w:type="dxa"/>
            <w:tcBorders>
              <w:top w:val="single" w:sz="2" w:space="0" w:color="auto"/>
              <w:bottom w:val="single" w:sz="4" w:space="0" w:color="000000"/>
              <w:right w:val="single" w:sz="2" w:space="0" w:color="auto"/>
            </w:tcBorders>
          </w:tcPr>
          <w:p>
            <w:pPr>
              <w:spacing w:before="360"/>
              <w:jc w:val="center"/>
              <w:rPr>
                <w:noProof/>
                <w:sz w:val="22"/>
              </w:rPr>
            </w:pPr>
            <w:r>
              <w:rPr>
                <w:noProof/>
                <w:sz w:val="22"/>
              </w:rPr>
              <w:t>Order No</w:t>
            </w:r>
          </w:p>
        </w:tc>
        <w:tc>
          <w:tcPr>
            <w:tcW w:w="2206" w:type="dxa"/>
            <w:tcBorders>
              <w:top w:val="single" w:sz="2" w:space="0" w:color="auto"/>
              <w:left w:val="single" w:sz="2" w:space="0" w:color="auto"/>
              <w:bottom w:val="single" w:sz="2" w:space="0" w:color="auto"/>
              <w:right w:val="single" w:sz="2" w:space="0" w:color="auto"/>
            </w:tcBorders>
          </w:tcPr>
          <w:p>
            <w:pPr>
              <w:spacing w:before="480"/>
              <w:jc w:val="center"/>
              <w:rPr>
                <w:noProof/>
                <w:sz w:val="22"/>
              </w:rPr>
            </w:pPr>
            <w:r>
              <w:rPr>
                <w:noProof/>
                <w:sz w:val="22"/>
              </w:rPr>
              <w:t>CN Code</w:t>
            </w:r>
          </w:p>
        </w:tc>
        <w:tc>
          <w:tcPr>
            <w:tcW w:w="1984" w:type="dxa"/>
            <w:tcBorders>
              <w:top w:val="single" w:sz="2" w:space="0" w:color="auto"/>
              <w:left w:val="single" w:sz="2" w:space="0" w:color="auto"/>
              <w:bottom w:val="single" w:sz="2" w:space="0" w:color="auto"/>
              <w:right w:val="single" w:sz="2" w:space="0" w:color="auto"/>
            </w:tcBorders>
          </w:tcPr>
          <w:p>
            <w:pPr>
              <w:spacing w:before="480"/>
              <w:jc w:val="center"/>
              <w:rPr>
                <w:noProof/>
                <w:sz w:val="22"/>
              </w:rPr>
            </w:pPr>
            <w:r>
              <w:rPr>
                <w:noProof/>
                <w:sz w:val="22"/>
              </w:rPr>
              <w:t>Description</w:t>
            </w:r>
          </w:p>
        </w:tc>
        <w:tc>
          <w:tcPr>
            <w:tcW w:w="1418" w:type="dxa"/>
            <w:tcBorders>
              <w:top w:val="single" w:sz="2" w:space="0" w:color="auto"/>
              <w:left w:val="single" w:sz="2" w:space="0" w:color="auto"/>
              <w:bottom w:val="single" w:sz="2" w:space="0" w:color="auto"/>
              <w:right w:val="single" w:sz="2" w:space="0" w:color="auto"/>
            </w:tcBorders>
          </w:tcPr>
          <w:p>
            <w:pPr>
              <w:jc w:val="center"/>
              <w:rPr>
                <w:noProof/>
                <w:sz w:val="22"/>
              </w:rPr>
            </w:pPr>
            <w:r>
              <w:rPr>
                <w:noProof/>
                <w:sz w:val="22"/>
              </w:rPr>
              <w:t>Quota volume per year</w:t>
            </w:r>
            <w:r>
              <w:rPr>
                <w:rStyle w:val="FootnoteReference"/>
                <w:noProof/>
                <w:sz w:val="22"/>
              </w:rPr>
              <w:footnoteReference w:id="1"/>
            </w:r>
          </w:p>
        </w:tc>
        <w:tc>
          <w:tcPr>
            <w:tcW w:w="1701" w:type="dxa"/>
            <w:tcBorders>
              <w:top w:val="single" w:sz="2" w:space="0" w:color="auto"/>
              <w:left w:val="single" w:sz="2" w:space="0" w:color="auto"/>
              <w:bottom w:val="single" w:sz="2" w:space="0" w:color="auto"/>
              <w:right w:val="single" w:sz="2" w:space="0" w:color="auto"/>
            </w:tcBorders>
          </w:tcPr>
          <w:p>
            <w:pPr>
              <w:spacing w:before="480"/>
              <w:jc w:val="center"/>
              <w:rPr>
                <w:noProof/>
                <w:sz w:val="22"/>
              </w:rPr>
            </w:pPr>
            <w:r>
              <w:rPr>
                <w:noProof/>
                <w:sz w:val="22"/>
              </w:rPr>
              <w:t>Beneficiaries</w:t>
            </w:r>
          </w:p>
        </w:tc>
        <w:tc>
          <w:tcPr>
            <w:tcW w:w="1843" w:type="dxa"/>
            <w:tcBorders>
              <w:top w:val="single" w:sz="2" w:space="0" w:color="auto"/>
              <w:left w:val="single" w:sz="2" w:space="0" w:color="auto"/>
              <w:bottom w:val="single" w:sz="2" w:space="0" w:color="auto"/>
            </w:tcBorders>
          </w:tcPr>
          <w:p>
            <w:pPr>
              <w:spacing w:before="360"/>
              <w:jc w:val="center"/>
              <w:rPr>
                <w:noProof/>
                <w:sz w:val="22"/>
              </w:rPr>
            </w:pPr>
            <w:r>
              <w:rPr>
                <w:noProof/>
                <w:sz w:val="22"/>
              </w:rPr>
              <w:t>Rate of duty</w:t>
            </w:r>
          </w:p>
        </w:tc>
      </w:tr>
      <w:tr>
        <w:trPr>
          <w:cantSplit/>
        </w:trPr>
        <w:tc>
          <w:tcPr>
            <w:tcW w:w="1055" w:type="dxa"/>
            <w:tcBorders>
              <w:bottom w:val="single" w:sz="2" w:space="0" w:color="auto"/>
              <w:right w:val="single" w:sz="2" w:space="0" w:color="auto"/>
            </w:tcBorders>
          </w:tcPr>
          <w:p>
            <w:pPr>
              <w:rPr>
                <w:noProof/>
                <w:sz w:val="22"/>
              </w:rPr>
            </w:pPr>
            <w:r>
              <w:rPr>
                <w:noProof/>
                <w:sz w:val="22"/>
              </w:rPr>
              <w:t>09.1530</w:t>
            </w:r>
          </w:p>
        </w:tc>
        <w:tc>
          <w:tcPr>
            <w:tcW w:w="2206" w:type="dxa"/>
            <w:tcBorders>
              <w:top w:val="single" w:sz="2" w:space="0" w:color="auto"/>
              <w:left w:val="single" w:sz="2" w:space="0" w:color="auto"/>
              <w:bottom w:val="single" w:sz="4" w:space="0" w:color="auto"/>
              <w:right w:val="single" w:sz="2" w:space="0" w:color="auto"/>
            </w:tcBorders>
          </w:tcPr>
          <w:p>
            <w:pPr>
              <w:jc w:val="left"/>
              <w:rPr>
                <w:noProof/>
                <w:sz w:val="22"/>
                <w:lang w:val="fr-BE"/>
              </w:rPr>
            </w:pPr>
            <w:r>
              <w:rPr>
                <w:noProof/>
                <w:sz w:val="22"/>
                <w:lang w:val="fr-BE"/>
              </w:rPr>
              <w:t>ex 2204 21 94</w:t>
            </w:r>
          </w:p>
          <w:p>
            <w:pPr>
              <w:jc w:val="left"/>
              <w:rPr>
                <w:noProof/>
                <w:sz w:val="22"/>
                <w:lang w:val="fr-BE"/>
              </w:rPr>
            </w:pPr>
            <w:r>
              <w:rPr>
                <w:noProof/>
                <w:sz w:val="22"/>
                <w:lang w:val="fr-BE"/>
              </w:rPr>
              <w:t>ex 2204 21 95</w:t>
            </w:r>
          </w:p>
          <w:p>
            <w:pPr>
              <w:jc w:val="left"/>
              <w:rPr>
                <w:noProof/>
                <w:sz w:val="22"/>
                <w:lang w:val="fr-BE"/>
              </w:rPr>
            </w:pPr>
            <w:r>
              <w:rPr>
                <w:noProof/>
                <w:sz w:val="22"/>
                <w:lang w:val="fr-BE"/>
              </w:rPr>
              <w:t>ex 2204 21 96</w:t>
            </w:r>
          </w:p>
          <w:p>
            <w:pPr>
              <w:jc w:val="left"/>
              <w:rPr>
                <w:noProof/>
                <w:sz w:val="22"/>
                <w:lang w:val="fr-BE"/>
              </w:rPr>
            </w:pPr>
            <w:r>
              <w:rPr>
                <w:noProof/>
                <w:sz w:val="22"/>
                <w:lang w:val="fr-BE"/>
              </w:rPr>
              <w:t>ex 2204 21 97</w:t>
            </w:r>
          </w:p>
          <w:p>
            <w:pPr>
              <w:jc w:val="left"/>
              <w:rPr>
                <w:noProof/>
                <w:sz w:val="22"/>
                <w:lang w:val="fr-BE"/>
              </w:rPr>
            </w:pPr>
            <w:r>
              <w:rPr>
                <w:noProof/>
                <w:sz w:val="22"/>
                <w:lang w:val="fr-BE"/>
              </w:rPr>
              <w:t>ex 2204 21 98</w:t>
            </w:r>
          </w:p>
          <w:p>
            <w:pPr>
              <w:jc w:val="left"/>
              <w:rPr>
                <w:noProof/>
                <w:sz w:val="22"/>
                <w:lang w:val="fr-BE"/>
              </w:rPr>
            </w:pPr>
            <w:r>
              <w:rPr>
                <w:noProof/>
                <w:sz w:val="22"/>
                <w:lang w:val="fr-BE"/>
              </w:rPr>
              <w:t>ex 2204 22 93</w:t>
            </w:r>
          </w:p>
          <w:p>
            <w:pPr>
              <w:jc w:val="left"/>
              <w:rPr>
                <w:noProof/>
                <w:sz w:val="22"/>
                <w:lang w:val="fr-BE"/>
              </w:rPr>
            </w:pPr>
            <w:r>
              <w:rPr>
                <w:noProof/>
                <w:sz w:val="22"/>
                <w:lang w:val="fr-BE"/>
              </w:rPr>
              <w:t>ex 2204 22 94</w:t>
            </w:r>
          </w:p>
          <w:p>
            <w:pPr>
              <w:jc w:val="left"/>
              <w:rPr>
                <w:noProof/>
                <w:sz w:val="22"/>
                <w:lang w:val="fr-BE"/>
              </w:rPr>
            </w:pPr>
            <w:r>
              <w:rPr>
                <w:noProof/>
                <w:sz w:val="22"/>
                <w:lang w:val="fr-BE"/>
              </w:rPr>
              <w:t>ex 2204 22 95</w:t>
            </w:r>
          </w:p>
          <w:p>
            <w:pPr>
              <w:jc w:val="left"/>
              <w:rPr>
                <w:noProof/>
                <w:sz w:val="22"/>
                <w:lang w:val="fr-BE"/>
              </w:rPr>
            </w:pPr>
            <w:r>
              <w:rPr>
                <w:noProof/>
                <w:sz w:val="22"/>
                <w:lang w:val="fr-BE"/>
              </w:rPr>
              <w:t>ex 2204 29 93</w:t>
            </w:r>
          </w:p>
          <w:p>
            <w:pPr>
              <w:jc w:val="left"/>
              <w:rPr>
                <w:noProof/>
                <w:sz w:val="22"/>
                <w:lang w:val="fr-BE"/>
              </w:rPr>
            </w:pPr>
            <w:r>
              <w:rPr>
                <w:noProof/>
                <w:sz w:val="22"/>
                <w:lang w:val="fr-BE"/>
              </w:rPr>
              <w:t>ex 2204 29 94</w:t>
            </w:r>
          </w:p>
          <w:p>
            <w:pPr>
              <w:jc w:val="left"/>
              <w:rPr>
                <w:noProof/>
                <w:sz w:val="22"/>
              </w:rPr>
            </w:pPr>
            <w:r>
              <w:rPr>
                <w:noProof/>
                <w:sz w:val="22"/>
              </w:rPr>
              <w:t>ex 2204 29 95</w:t>
            </w:r>
          </w:p>
        </w:tc>
        <w:tc>
          <w:tcPr>
            <w:tcW w:w="1984" w:type="dxa"/>
            <w:tcBorders>
              <w:left w:val="single" w:sz="2" w:space="0" w:color="auto"/>
              <w:bottom w:val="single" w:sz="2" w:space="0" w:color="auto"/>
              <w:right w:val="single" w:sz="2" w:space="0" w:color="auto"/>
            </w:tcBorders>
          </w:tcPr>
          <w:p>
            <w:pPr>
              <w:jc w:val="left"/>
              <w:rPr>
                <w:noProof/>
                <w:sz w:val="22"/>
              </w:rPr>
            </w:pPr>
            <w:r>
              <w:rPr>
                <w:noProof/>
                <w:sz w:val="22"/>
              </w:rPr>
              <w:t>Wine of fresh grapes, of an actual alcoholic strength by volume not exceeding 15 % vol, other than sparkling wine</w:t>
            </w:r>
          </w:p>
        </w:tc>
        <w:tc>
          <w:tcPr>
            <w:tcW w:w="1418" w:type="dxa"/>
            <w:tcBorders>
              <w:left w:val="single" w:sz="2" w:space="0" w:color="auto"/>
              <w:bottom w:val="single" w:sz="2" w:space="0" w:color="auto"/>
              <w:right w:val="single" w:sz="2" w:space="0" w:color="auto"/>
            </w:tcBorders>
          </w:tcPr>
          <w:p>
            <w:pPr>
              <w:jc w:val="left"/>
              <w:rPr>
                <w:noProof/>
                <w:sz w:val="22"/>
              </w:rPr>
            </w:pPr>
            <w:r>
              <w:rPr>
                <w:noProof/>
                <w:sz w:val="22"/>
              </w:rPr>
              <w:t>30 000 hl</w:t>
            </w:r>
          </w:p>
        </w:tc>
        <w:tc>
          <w:tcPr>
            <w:tcW w:w="1701" w:type="dxa"/>
            <w:tcBorders>
              <w:left w:val="single" w:sz="2" w:space="0" w:color="auto"/>
              <w:bottom w:val="single" w:sz="2" w:space="0" w:color="auto"/>
              <w:right w:val="single" w:sz="2" w:space="0" w:color="auto"/>
            </w:tcBorders>
          </w:tcPr>
          <w:p>
            <w:pPr>
              <w:jc w:val="left"/>
              <w:rPr>
                <w:noProof/>
                <w:sz w:val="22"/>
              </w:rPr>
            </w:pPr>
            <w:r>
              <w:rPr>
                <w:noProof/>
                <w:sz w:val="22"/>
              </w:rPr>
              <w:t>Albania</w:t>
            </w:r>
            <w:r>
              <w:rPr>
                <w:rStyle w:val="FootnoteReference"/>
                <w:noProof/>
                <w:sz w:val="22"/>
              </w:rPr>
              <w:footnoteReference w:id="2"/>
            </w:r>
            <w:r>
              <w:rPr>
                <w:noProof/>
                <w:sz w:val="22"/>
              </w:rPr>
              <w:t>, Bosnia and Herzegovina</w:t>
            </w:r>
            <w:r>
              <w:rPr>
                <w:rStyle w:val="FootnoteReference"/>
                <w:noProof/>
                <w:sz w:val="22"/>
              </w:rPr>
              <w:footnoteReference w:id="3"/>
            </w:r>
            <w:r>
              <w:rPr>
                <w:noProof/>
                <w:sz w:val="22"/>
              </w:rPr>
              <w:t>, Kosovo</w:t>
            </w:r>
            <w:r>
              <w:rPr>
                <w:rStyle w:val="FootnoteReference"/>
                <w:noProof/>
                <w:sz w:val="22"/>
              </w:rPr>
              <w:footnoteReference w:id="4"/>
            </w:r>
            <w:r>
              <w:rPr>
                <w:noProof/>
                <w:sz w:val="22"/>
              </w:rPr>
              <w:t>, , Montenegro</w:t>
            </w:r>
            <w:r>
              <w:rPr>
                <w:rStyle w:val="FootnoteReference"/>
                <w:noProof/>
                <w:sz w:val="22"/>
              </w:rPr>
              <w:footnoteReference w:id="5"/>
            </w:r>
            <w:r>
              <w:rPr>
                <w:noProof/>
                <w:sz w:val="22"/>
              </w:rPr>
              <w:t>, North Macedonia</w:t>
            </w:r>
            <w:r>
              <w:rPr>
                <w:rStyle w:val="FootnoteReference"/>
                <w:noProof/>
                <w:sz w:val="22"/>
              </w:rPr>
              <w:footnoteReference w:id="6"/>
            </w:r>
            <w:r>
              <w:rPr>
                <w:noProof/>
                <w:sz w:val="22"/>
              </w:rPr>
              <w:t>, Serbia</w:t>
            </w:r>
            <w:r>
              <w:rPr>
                <w:rStyle w:val="FootnoteReference"/>
                <w:noProof/>
                <w:sz w:val="22"/>
              </w:rPr>
              <w:footnoteReference w:id="7"/>
            </w:r>
            <w:r>
              <w:rPr>
                <w:noProof/>
                <w:sz w:val="22"/>
              </w:rPr>
              <w:t>.</w:t>
            </w:r>
          </w:p>
        </w:tc>
        <w:tc>
          <w:tcPr>
            <w:tcW w:w="1843" w:type="dxa"/>
            <w:tcBorders>
              <w:left w:val="single" w:sz="2" w:space="0" w:color="auto"/>
              <w:bottom w:val="single" w:sz="2" w:space="0" w:color="auto"/>
            </w:tcBorders>
          </w:tcPr>
          <w:p>
            <w:pPr>
              <w:jc w:val="left"/>
              <w:rPr>
                <w:noProof/>
                <w:sz w:val="22"/>
              </w:rPr>
            </w:pPr>
            <w:r>
              <w:rPr>
                <w:noProof/>
                <w:sz w:val="22"/>
              </w:rPr>
              <w:t>Exemption</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One global volume per tariff quota accessible to imports originating in the beneficiaries.</w:t>
      </w:r>
    </w:p>
  </w:footnote>
  <w:footnote w:id="2">
    <w:p>
      <w:pPr>
        <w:pStyle w:val="FootnoteText"/>
      </w:pPr>
      <w:r>
        <w:rPr>
          <w:rStyle w:val="FootnoteReference"/>
        </w:rPr>
        <w:footnoteRef/>
      </w:r>
      <w:r>
        <w:tab/>
        <w:t>Access for wine originating in Albania to the global tariff quota is subject to the prior exhaustion of the individual tariff quota provided for in the Protocol on wine concluded with Albania. That individual quota is opened under order No 09.1512 and 09.15.13.</w:t>
      </w:r>
    </w:p>
  </w:footnote>
  <w:footnote w:id="3">
    <w:p>
      <w:pPr>
        <w:pStyle w:val="FootnoteText"/>
      </w:pPr>
      <w:r>
        <w:rPr>
          <w:rStyle w:val="FootnoteReference"/>
        </w:rPr>
        <w:footnoteRef/>
      </w:r>
      <w:r>
        <w:tab/>
        <w:t>Access for wine originating in Bosnia and Herzegovina to the global tariff quota is subject to the prior exhaustion of both individual tariff quotas provided for in the Protocol on wine concluded with Bosnia and Herzegovina. Those individual quotas are opened under order Nos 09.1528 and 09.1529.</w:t>
      </w:r>
    </w:p>
  </w:footnote>
  <w:footnote w:id="4">
    <w:p>
      <w:pPr>
        <w:pStyle w:val="FootnoteText"/>
      </w:pPr>
      <w:r>
        <w:rPr>
          <w:rStyle w:val="FootnoteReference"/>
        </w:rPr>
        <w:footnoteRef/>
      </w:r>
      <w:r>
        <w:tab/>
        <w:t>Access for wine originating in Kosovo to the global tariff quota is subject to the prior exhaustion of both individual tariff quotas provided for in the Protocol on wine concluded with Kosovo. Those individual quotas are opened under order Nos 09.1570 and 09.1572.</w:t>
      </w:r>
    </w:p>
  </w:footnote>
  <w:footnote w:id="5">
    <w:p>
      <w:pPr>
        <w:pStyle w:val="FootnoteText"/>
      </w:pPr>
      <w:r>
        <w:rPr>
          <w:rStyle w:val="FootnoteReference"/>
        </w:rPr>
        <w:footnoteRef/>
      </w:r>
      <w:r>
        <w:tab/>
        <w:t>Access for wine originating in Montenegro to the global tariff quota, insofar as it concerns products of CN code 2204 21, is subject to the prior exhaustion of the individual tariff quota provided for in the Protocol on wine concluded with Montenegro. That individual tariff quota is opened under order No 09.1514.</w:t>
      </w:r>
    </w:p>
  </w:footnote>
  <w:footnote w:id="6">
    <w:p>
      <w:pPr>
        <w:pStyle w:val="FootnoteText"/>
      </w:pPr>
      <w:r>
        <w:rPr>
          <w:rStyle w:val="FootnoteReference"/>
        </w:rPr>
        <w:footnoteRef/>
      </w:r>
      <w:r>
        <w:tab/>
        <w:t>Access for wine originating in North Macedonia to the global tariff quota is subject to the prior exhaustion of both individual tariff quotas provided for in the Additional Protocol on wine concluded with North Macedonia. Those individual quotas are opened under order Nos 09.1558 and 09.1559.</w:t>
      </w:r>
    </w:p>
  </w:footnote>
  <w:footnote w:id="7">
    <w:p>
      <w:pPr>
        <w:pStyle w:val="FootnoteText"/>
        <w:rPr>
          <w:lang w:val="fr-BE"/>
        </w:rPr>
      </w:pPr>
      <w:r>
        <w:rPr>
          <w:rStyle w:val="FootnoteReference"/>
        </w:rPr>
        <w:footnoteRef/>
      </w:r>
      <w:r>
        <w:tab/>
        <w:t>Access for wine originating in Serbia to the global tariff quota is subject to the prior exhaustion of both individual tariff quotas provided for in the Protocol on wine concluded with Serbia. Those individual quotas are opened under order Nos 09.1526 and 09.1527.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BC51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21E6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F899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42F3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5A89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1C08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163E36"/>
    <w:lvl w:ilvl="0">
      <w:start w:val="1"/>
      <w:numFmt w:val="decimal"/>
      <w:pStyle w:val="ListNumber"/>
      <w:lvlText w:val="%1."/>
      <w:lvlJc w:val="left"/>
      <w:pPr>
        <w:tabs>
          <w:tab w:val="num" w:pos="360"/>
        </w:tabs>
        <w:ind w:left="360" w:hanging="360"/>
      </w:pPr>
    </w:lvl>
  </w:abstractNum>
  <w:abstractNum w:abstractNumId="7">
    <w:nsid w:val="FFFFFF89"/>
    <w:multiLevelType w:val="singleLevel"/>
    <w:tmpl w:val="0E9240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27 10:51: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FCBE600-6B16-42CF-A2BD-069557AAB396"/>
    <w:docVar w:name="LW_COVERPAGE_TYPE" w:val="1"/>
    <w:docVar w:name="LW_CROSSREFERENCE" w:val="&lt;UNUSED&gt;"/>
    <w:docVar w:name="LW_DocType" w:val="ANNEX"/>
    <w:docVar w:name="LW_EMISSION" w:val="3.4.2020"/>
    <w:docVar w:name="LW_EMISSION_ISODATE" w:val="2020-04-0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Council Regulation (EC) No 1215/2009 introducing exceptional trade measures for countries and territories participating in or linked to the European Union's Stabilisation and Association process"/>
    <w:docVar w:name="LW_OBJETACTEPRINCIPAL.CP" w:val="amending Council Regulation (EC) No 1215/2009 introducing exceptional trade measures for countries and territories participating in or linked to the European Union's Stabilisation and Association process"/>
    <w:docVar w:name="LW_PART_NBR" w:val="1"/>
    <w:docVar w:name="LW_PART_NBR_TOTAL" w:val="1"/>
    <w:docVar w:name="LW_REF.INST.NEW" w:val="COM"/>
    <w:docVar w:name="LW_REF.INST.NEW_ADOPTED" w:val="final"/>
    <w:docVar w:name="LW_REF.INST.NEW_TEXT" w:val="(2020)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the Council"/>
    <w:docVar w:name="LW_TYPEACTEPRINCIPAL.CP" w:val="Proposal for a Regulation of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182</Words>
  <Characters>810</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2020-02-27T14:36:00Z</dcterms:created>
  <dcterms:modified xsi:type="dcterms:W3CDTF">2020-03-27T09:51:00Z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