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E3FEB42-EEE0-4ABE-9213-96A142AB2496" style="width:450.75pt;height:379.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highlight w:val="yellow"/>
        </w:rPr>
      </w:pPr>
      <w:r>
        <w:rPr>
          <w:noProof/>
        </w:rPr>
        <w:t>Веднага след първите случаи на заразяване с COVID-19 Европейският съюз започна да работи неуморно, за да окаже подкрепа на държавите членки и техните граждани при преодоляването на кризата. Комисията задейства своята обща система за бързо предупреждение „ARGUS“ за координация при кризи и Кризисният координационен комитет заседава редовно, за да координира действията на всички съответни ведомства и служби на Комисията и на агенциите на ЕС. Освен това Комисията създаде координационен екип за реакция на политическо равнище, съставен от петимата комисари, които отговарят за най-силно засегнатите политики. След като лидерите на ЕС обсъдиха мерките за реакция на разпространението на COVID-19 по време на видеоконферентни срещи на 10, 17 и 26 март 2020 г., Комисията умножава усилията си по всички направления за борба срещу пандемията от COVID-19. Във връзка с това на 13 март 2020 г. Комисията публикува Съобщение до Европейския парламент, Европейския съвет, Съвета, Европейската централна банка, Европейската инвестиционна банка и Еврогрупата за „координирани икономически мерки в отговор на пандемията от COVID-19“. В икономическата сфера Комисията предложи инвестиционната инициатива в отговор на коронавируса (CRII), за да се използват по гъвкав начин структурните фондове на ЕС в отговор на бързо възникващите потребности в най-засегнатите сектори, като здравеопазване, МСП и пазари на труда, и да се помогне на най-засегнатите територии в държавите членки и на техните граждани. Това предложение междувременно бе прието и влезе в сила на 30 март. Комисията прие също така временна рамка за държавна помощ, която да позволи на държавите членки да използват пълната гъвкавост, предвидена в правилата за държавната помощ, за да подпомогнат икономиките си. Освен това Комисията също така призова Съвета да осигури задействането от страна на институциите на Съюза на общата клауза за дерогация съгласно Пакта за стабилност, както и прилагането от тяхна страна на тази клауза като част от стратегията на Съюза за бърз, решителен и координиран фискален отговор на пандемията от COVID-19.</w:t>
      </w:r>
    </w:p>
    <w:p>
      <w:pPr>
        <w:pBdr>
          <w:top w:val="nil"/>
          <w:left w:val="nil"/>
          <w:bottom w:val="nil"/>
          <w:right w:val="nil"/>
          <w:between w:val="nil"/>
          <w:bar w:val="nil"/>
        </w:pBdr>
        <w:spacing w:before="0" w:after="240"/>
        <w:rPr>
          <w:rFonts w:eastAsia="Arial Unicode MS"/>
          <w:noProof/>
        </w:rPr>
      </w:pPr>
      <w:r>
        <w:rPr>
          <w:noProof/>
        </w:rPr>
        <w:t xml:space="preserve">Кризата, пред която сме изправени вследствие на пандемията от COVID-19, има много голямо човешко измерение, както и значително отрицателно социално-икономическо въздействие. Ето защо е от съществено значение Съюзът и неговите държави членки да действат решително и колективно в дух на солидарност, за да се ограничи разпространението на вируса и да се помогне на пациентите, да се противодейства на неблагоприятните икономически ефекти и да се смекчат отрицателните социални последици. Като част от този съвместен координиран отговор, предложението на Комисията да се разшири обхватът на фонд „Солидарност“ на ЕС (ФСЕС), така че да включи тежките извънредни ситуации в областта на общественото здраве, и да се определят специфични операции, допустими за финансиране, също бе прието и укрепи солидарността на Съюза спрямо държавите членки във връзка със справянето с извънредната ситуация. </w:t>
      </w:r>
    </w:p>
    <w:p>
      <w:pPr>
        <w:pBdr>
          <w:top w:val="nil"/>
          <w:left w:val="nil"/>
          <w:bottom w:val="nil"/>
          <w:right w:val="nil"/>
          <w:between w:val="nil"/>
          <w:bar w:val="nil"/>
        </w:pBdr>
        <w:spacing w:before="0" w:after="240"/>
        <w:rPr>
          <w:rFonts w:eastAsia="Arial Unicode MS"/>
          <w:noProof/>
        </w:rPr>
      </w:pPr>
      <w:r>
        <w:rPr>
          <w:noProof/>
        </w:rPr>
        <w:t xml:space="preserve">Както бе обявено в съобщението от 13 март 2020 г., Съюзът е готов също така да оказва подкрепа на държавите членки, когато това е възможно, за намаляване на въздействието върху заетостта за лицата и най-силно засегнатите сектори. Новият инструмент за временна подкрепа за смекчаване на рисковете от безработица при извънредно положение (SURE), предложен на Съвета, е допълнителен временен </w:t>
      </w:r>
      <w:r>
        <w:rPr>
          <w:noProof/>
        </w:rPr>
        <w:lastRenderedPageBreak/>
        <w:t xml:space="preserve">инструмент, който да позволи финансова помощ от Съюза до 100 милиарда евро под формата на заеми от Съюза за засегнатите държави членки. Условният пасив, произтичащ от тези заеми от Съюза, ще бъде приведен в съответствие с бюджетните ограничения на ЕС чрез гаранции от държавите членки в бюджета на Съюза, представляващи 25 % от отпуснатите заеми и осигурени от всяка държава членка в зависимост от съответния ѝ дял от общия брутен национален доход на Съюза. SURE ще бъде допълнителна финансова помощ, допълваща националните мерки и редовната безвъзмездна помощ, която се предоставя за сходни цели в рамките на Европейския социален фонд. </w:t>
      </w:r>
    </w:p>
    <w:p>
      <w:pPr>
        <w:pBdr>
          <w:top w:val="nil"/>
          <w:left w:val="nil"/>
          <w:bottom w:val="nil"/>
          <w:right w:val="nil"/>
          <w:between w:val="nil"/>
          <w:bar w:val="nil"/>
        </w:pBdr>
        <w:spacing w:before="0" w:after="240"/>
        <w:rPr>
          <w:rFonts w:eastAsia="Arial Unicode MS"/>
          <w:noProof/>
        </w:rPr>
      </w:pPr>
      <w:r>
        <w:rPr>
          <w:noProof/>
        </w:rPr>
        <w:t>Инструментът SURE следва да бъде на разположение на държавите членки, които трябва да мобилизират значителни финансови средства за борба с отрицателните икономически и социални последици от разпространението на COVID-19 на тяхната територия. Създаването на SURE е по-нататъшен осезаем израз на солидарността на Съюза, чрез който държавите членки се споразумяват да се подкрепят взаимно в рамките на Съюза, като предоставят допълнителни финансови средства чрез заеми. Инструментът SURE ще осигури финансова помощ на държавите членки за справяне с внезапните увеличения на публичните разходи с цел запазване на заетостта. По-конкретно, инструментът SURE ще действа като втора защитна линия, като подкрепя схемите за работа с намалено работно време и други подобни мерки, за да помогне на държавите членки да защитят работните места и по този начин служителите и самостоятелно заетите лица срещу риска от безработица и загуба на доходи. Схемите за работа с намалено работно време са публични програми, които позволяват на предприятията, изпитващи икономически затруднения, временно да намалят работното време, като предоставят на своите служители подпомагане на доходите от държавата за часовете, които не са изработили. Подобни схеми съществуват за заместване на доходите на самостоятелно заетите лица в извънредни ситуации. Условията, определящи кога дадена държава членка може да се възползва от подкрепа по този инструмент, следва да бъдат установени чрез позоваване на внезапното рязко увеличаване на действителните и евентуално също планираните публични разходи с цел запазване на заетостта, предизвикано от пандемията от COVID-19, и да бъдат пряко свързани със създаването или удължаването на схеми за работа с намалено работно време и други подобни мерки, предприети в отговор на епидемията.</w:t>
      </w:r>
    </w:p>
    <w:p>
      <w:pPr>
        <w:rPr>
          <w:noProof/>
        </w:rPr>
      </w:pPr>
      <w:r>
        <w:rPr>
          <w:noProof/>
        </w:rPr>
        <w:t>SURE ще приеме формата на схема за заеми, основана на система от гаранции от държавите членки. Тази система ще позволи на Съюза да:</w:t>
      </w:r>
    </w:p>
    <w:p>
      <w:pPr>
        <w:pStyle w:val="Point1"/>
        <w:rPr>
          <w:noProof/>
        </w:rPr>
      </w:pPr>
      <w:r>
        <w:t>(1)</w:t>
      </w:r>
      <w:r>
        <w:tab/>
      </w:r>
      <w:r>
        <w:rPr>
          <w:noProof/>
        </w:rPr>
        <w:t>увеличи обема на заемите, които могат да бъдат предоставяни от инструмента SURE на държавите членки, които искат финансова помощ по инструмента;</w:t>
      </w:r>
    </w:p>
    <w:p>
      <w:pPr>
        <w:pStyle w:val="Point1"/>
        <w:rPr>
          <w:noProof/>
        </w:rPr>
      </w:pPr>
      <w:r>
        <w:t>(2)</w:t>
      </w:r>
      <w:r>
        <w:tab/>
      </w:r>
      <w:r>
        <w:rPr>
          <w:noProof/>
        </w:rPr>
        <w:t>гарантира, че условният пасив на Съюза, произтичащ от инструмента, е съвместим с бюджетните ограничения на Съюза.</w:t>
      </w:r>
    </w:p>
    <w:p>
      <w:pPr>
        <w:rPr>
          <w:noProof/>
        </w:rPr>
      </w:pPr>
      <w:r>
        <w:rPr>
          <w:noProof/>
        </w:rPr>
        <w:t xml:space="preserve">С цел подходът да обслужи предвидената цел, държавите членки трябва да предоставят на Съюза надеждни, неотменими и изискуеми гаранции в зависимост от съответните дялове от общия брутен национален доход на Съюза. Системата от гаранции ще предотврати необходимостта от предварителни парични вноски от държавите членки, като същевременно ще осигури необходимото кредитно подобрение, за да се гарантира висок кредитен рейтинг и да се защитят ресурсите на бюджета на Съюза. </w:t>
      </w:r>
    </w:p>
    <w:p>
      <w:pPr>
        <w:rPr>
          <w:noProof/>
        </w:rPr>
      </w:pPr>
      <w:r>
        <w:rPr>
          <w:noProof/>
        </w:rPr>
        <w:t>В допълнение към провизията на гаранции от държавите членки, в рамката са вградени и други предпазни мерки, за да се гарантира финансовата стабилност на схемата:</w:t>
      </w:r>
    </w:p>
    <w:p>
      <w:pPr>
        <w:pStyle w:val="Bullet1"/>
        <w:numPr>
          <w:ilvl w:val="0"/>
          <w:numId w:val="20"/>
        </w:numPr>
        <w:rPr>
          <w:noProof/>
        </w:rPr>
      </w:pPr>
      <w:r>
        <w:rPr>
          <w:noProof/>
        </w:rPr>
        <w:lastRenderedPageBreak/>
        <w:t>стриктен и консервативен подход към финансовото управление;</w:t>
      </w:r>
    </w:p>
    <w:p>
      <w:pPr>
        <w:pStyle w:val="Bullet1"/>
        <w:rPr>
          <w:noProof/>
        </w:rPr>
      </w:pPr>
      <w:r>
        <w:rPr>
          <w:noProof/>
        </w:rPr>
        <w:t>изграждане на портфейл от заеми с цел ограничаване на риска от концентрация, годишната експозиция и прекомерната експозиция на отделни държави членки, като същевременно се осигурят достатъчни средства за най-нуждаещите се държави членки; както и</w:t>
      </w:r>
    </w:p>
    <w:p>
      <w:pPr>
        <w:pStyle w:val="Bullet1"/>
        <w:rPr>
          <w:noProof/>
        </w:rPr>
      </w:pPr>
      <w:r>
        <w:rPr>
          <w:noProof/>
        </w:rPr>
        <w:t>възможности за подновяване на дълг.</w:t>
      </w:r>
    </w:p>
    <w:p>
      <w:pPr>
        <w:pStyle w:val="ManualHeading2"/>
        <w:rPr>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е в допълнение на друг правен инструмент на Съюза за предоставяне на подкрепа на държавите членки в случай на извънредни ситуации, а именно Регламент (ЕО) № 2012/2002 на Съвета от 11 ноември 2002 г. за създаване на фонд „Солидарност“ на Европейския съюз („Регламент (ЕО) № 2012/2002“). Регламент (ЕС) 2020/461 на Европейския парламент и на Съвета, с който се изменя посочения инструмент, за да се разшири обхватът му така, че да се обхванат тежките извънредни ситуации в областта на общественото здраве и да се определят специфични операции, допустими за финансиране, беше приет на 30 март.</w:t>
      </w:r>
    </w:p>
    <w:p>
      <w:pPr>
        <w:pBdr>
          <w:top w:val="nil"/>
          <w:left w:val="nil"/>
          <w:bottom w:val="nil"/>
          <w:right w:val="nil"/>
          <w:between w:val="nil"/>
          <w:bar w:val="nil"/>
        </w:pBdr>
        <w:spacing w:before="0" w:after="240"/>
        <w:rPr>
          <w:noProof/>
        </w:rPr>
      </w:pPr>
      <w:r>
        <w:rPr>
          <w:noProof/>
        </w:rPr>
        <w:t>Докато ФСЕС е постоянен инструмент, SURE ще има временен характер. Географският обхват е също така различен, тъй като SURE е ограничен до държавите членки и не обхваща държавите, които водят преговори за присъединяване към Съюза. Тематичният обхват на двата инструмента обаче е съвместим — справяне с тежките кризи, произтичащи от заплахи за общественото здраве, когато ФСЕС може да се използва постоянно, докато инструментът SURE се ограничава до конкретния случай на пандемията от COVID-19. Друга разлика е, че ФСЕС се основава на безвъзмездни средства и дава възможност за авансови плащания. Инструментът SURE е основан на заеми.</w:t>
      </w:r>
    </w:p>
    <w:p>
      <w:pPr>
        <w:pBdr>
          <w:top w:val="nil"/>
          <w:left w:val="nil"/>
          <w:bottom w:val="nil"/>
          <w:right w:val="nil"/>
          <w:between w:val="nil"/>
          <w:bar w:val="nil"/>
        </w:pBdr>
        <w:spacing w:before="0" w:after="240"/>
        <w:rPr>
          <w:rFonts w:eastAsia="Arial Unicode MS"/>
          <w:noProof/>
        </w:rPr>
      </w:pPr>
      <w:r>
        <w:rPr>
          <w:noProof/>
        </w:rPr>
        <w:t xml:space="preserve">Задействането на финансова помощ от Съюза по инструмента SURE би било възможно по предложение на Комисията до Съвета. Съответната държава членка следва да поиска подкрепа. Преди Съветът да отпусне финансова помощ по инструмента SURE, Комисията следва да се консултира със съответната държава членка за оценка на степента на (реализираното или очакваното) внезапно рязко увеличение на публичните разходи в областта на защитата на заетостта. Държавата членка следва да представи доказателства за това внезапно рязко увеличение на действителните и евентуално също на планираните разходи при поискване на подкрепата. Съветът приема решение за изпълнение за одобряване на финансовата помощ, като действа с квалифицирано мнозинство, ако са изпълнени условията по този инструмент. Комисията и ползващата се държава членка ще сключат споразумение за изпълнение. При разглеждането на рязко увеличените разходи съответните операции продължават да бъдат ограничени до спешните публични действия в областта на защитата на заетостта във връзка с пандемията от COVID-19. Получените в резултат на това заеми ще помогнат на държавите членки да финансират увеличените си публични разходи в областта на схемите за работа с намалено работно време и други подобни мерки, за да им се помогне да защитят работните места и по този начин служителите и самостоятелно заетите лица срещу риска от безработица. </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rStyle w:val="Marker0"/>
          <w:noProof/>
          <w:color w:val="auto"/>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w:t>
      </w:r>
      <w:r>
        <w:rPr>
          <w:rStyle w:val="Marker0"/>
          <w:noProof/>
          <w:color w:val="auto"/>
        </w:rPr>
        <w:lastRenderedPageBreak/>
        <w:t xml:space="preserve">Европейския социален фонд и Европейския фонд за стратегически инвестиции (ЕФСИ)/InvestEU. Той се основава на техника, използвана през миналата финансова криза за Европейския механизъм за финансово стабилизиране (ЕМФС) от страна на Съюза за предоставяне на краткосрочна финансова помощ от Съюза на държавите членки, които са изправени пред затруднения или заплашени от затруднения, причинени от извънредно събитие извън контрола на държавата членка, както и на новата рамка за управление на условните задължения, предвидена във Финансовия регламент от 2018 г. Като използва заеми в този конкретен случай на пандемия от COVID-19 в подкрепа на държавите членки, настоящият специфичен инструмент би могъл по-специално да се използва от държавите членки като втора защитна линия за финансиране на схеми за работа с намалено работно време и други подобни мерки, които спомагат за защитата на работните места и по този начин за защитата на служителите и на самостоятелно заетите лица срещу риска от безработица. </w:t>
      </w:r>
    </w:p>
    <w:p>
      <w:pPr>
        <w:pBdr>
          <w:top w:val="nil"/>
          <w:left w:val="nil"/>
          <w:bottom w:val="nil"/>
          <w:right w:val="nil"/>
          <w:between w:val="nil"/>
          <w:bar w:val="nil"/>
        </w:pBdr>
        <w:spacing w:before="0" w:after="240"/>
        <w:rPr>
          <w:rFonts w:eastAsia="Arial Unicode MS"/>
          <w:noProof/>
        </w:rPr>
      </w:pPr>
      <w:r>
        <w:rPr>
          <w:rStyle w:val="Marker0"/>
          <w:noProof/>
          <w:color w:val="auto"/>
        </w:rPr>
        <w:t>Този временен инструмент следва да се разглежда като спешно привеждане в действие на европейската презастрахователна схема за обезщетения при безработица в специфичния контекст на кризата с COVID-19, без да се засяга възможното последващо създаване на постоянен инструмент с различно правно основание от ДФЕС.</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Style w:val="Marker0"/>
          <w:noProof/>
          <w:color w:val="auto"/>
        </w:rPr>
      </w:pPr>
      <w:r>
        <w:rPr>
          <w:rStyle w:val="Marker0"/>
          <w:noProof/>
          <w:color w:val="auto"/>
        </w:rPr>
        <w:t xml:space="preserve">Правното основание на настоящия инструмент е член 122 от Договора за функционирането на Европейския съюз (ДФЕС). Той се основава на параграф 1 и параграф 2 от член 122 от ДФЕС. </w:t>
      </w:r>
    </w:p>
    <w:p>
      <w:pPr>
        <w:pBdr>
          <w:top w:val="nil"/>
          <w:left w:val="nil"/>
          <w:bottom w:val="nil"/>
          <w:right w:val="nil"/>
          <w:between w:val="nil"/>
          <w:bar w:val="nil"/>
        </w:pBdr>
        <w:spacing w:before="0" w:after="240"/>
        <w:rPr>
          <w:rStyle w:val="Marker0"/>
          <w:noProof/>
          <w:color w:val="auto"/>
        </w:rPr>
      </w:pPr>
      <w:r>
        <w:rPr>
          <w:noProof/>
        </w:rPr>
        <w:t>Пандемията от COVID-19 представлява внезапно и извънредно събитие, водещо до мащабно и разрушително въздействие върху икономическите системи на държавите членки, което призовава за колективни ответни действия в дух на солидарност. Изграждането на системата за гаранции въз основа на доброволните финансови участия на държавите членки към Съюза в подкрепа на финансовата помощ съгласно инструмента SURE се основава на член 122, параграф 1 от ДФЕС. Тази намеса ще покаже духа на солидарност между държавите членки, които ще реагират с мерки, подходящи за безпрецедентното икономическо положение, причинено от пандемията от COVID-19. Поради това е оправдано гаранционната схема в подкрепа на инструмента SURE да се основава на член 122, параграф 1 от ДФЕС.</w:t>
      </w:r>
    </w:p>
    <w:p>
      <w:pPr>
        <w:pBdr>
          <w:top w:val="nil"/>
          <w:left w:val="nil"/>
          <w:bottom w:val="nil"/>
          <w:right w:val="nil"/>
          <w:between w:val="nil"/>
          <w:bar w:val="nil"/>
        </w:pBdr>
        <w:spacing w:before="0" w:after="240"/>
        <w:rPr>
          <w:rStyle w:val="Marker0"/>
          <w:noProof/>
          <w:color w:val="auto"/>
        </w:rPr>
      </w:pPr>
      <w:r>
        <w:rPr>
          <w:rStyle w:val="Marker0"/>
          <w:noProof/>
          <w:color w:val="auto"/>
        </w:rPr>
        <w:t xml:space="preserve">Организацията и управлението на схемата за заеми се основава на член 122, параграф 2 от ДФЕС, който позволява на Съвета да предоставя временно и ad hoc финансова помощ от Съюза по предложение на Комисията на държава членка, която изпитва затруднения или е сериозно застрашена от тежки затруднения, причинени от природни бедствия или извънредни обстоятелства извън нейния контрол, при определени условия. Това правно основание ще бъде в основата на елемента за заеми на инструмента SURE. </w:t>
      </w:r>
    </w:p>
    <w:p>
      <w:pPr>
        <w:pBdr>
          <w:top w:val="nil"/>
          <w:left w:val="nil"/>
          <w:bottom w:val="nil"/>
          <w:right w:val="nil"/>
          <w:between w:val="nil"/>
          <w:bar w:val="nil"/>
        </w:pBdr>
        <w:spacing w:before="0" w:after="240"/>
        <w:rPr>
          <w:rStyle w:val="Marker0"/>
          <w:noProof/>
          <w:color w:val="auto"/>
        </w:rPr>
      </w:pPr>
      <w:r>
        <w:rPr>
          <w:rStyle w:val="Marker0"/>
          <w:noProof/>
          <w:color w:val="auto"/>
        </w:rPr>
        <w:t xml:space="preserve">Член 122, параграф 2 от ДФЕС беше използван веднъж преди. По време на финансовата криза той послужи като правно основание за създаването на временен Европейски механизъм за финансово стабилизиране (ЕМФС), за да се помогне на държавите членки, които загубиха достъп до пазара изцяло или отчасти поради сериозно влошаване на разходите по заемите. Съюзът използва този инструмент, за да предостави заеми на Ирландия, Португалия и мостово финансиране за Гърция. </w:t>
      </w:r>
    </w:p>
    <w:p>
      <w:pPr>
        <w:pBdr>
          <w:top w:val="nil"/>
          <w:left w:val="nil"/>
          <w:bottom w:val="nil"/>
          <w:right w:val="nil"/>
          <w:between w:val="nil"/>
          <w:bar w:val="nil"/>
        </w:pBdr>
        <w:spacing w:before="0" w:after="240"/>
        <w:rPr>
          <w:rFonts w:eastAsia="Arial Unicode MS"/>
          <w:noProof/>
        </w:rPr>
      </w:pPr>
      <w:r>
        <w:rPr>
          <w:rStyle w:val="Marker0"/>
          <w:noProof/>
          <w:color w:val="auto"/>
        </w:rPr>
        <w:lastRenderedPageBreak/>
        <w:t>Член 122, параграф 2 от ДФЕС може да се използва при всички видове извънредни кризисни ситуации и не се ограничава само до кризи с финансов характер или във връзка с финансовата стабилност. Съветът разполага с голяма свобода, за да прецени дали са изпълнени условията на това правно основание. Това очевидно е така за държавите членки, които са засегнати в най-голяма степен от сериозната заплаха за общественото здраве, причинена от пандемията от COVID-19, както и от нейните икономически и социални последици.</w:t>
      </w:r>
    </w:p>
    <w:p>
      <w:pPr>
        <w:pStyle w:val="ManualHeading2"/>
        <w:rPr>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rStyle w:val="Marker0"/>
          <w:noProof/>
          <w:color w:val="auto"/>
        </w:rPr>
        <w:t>Предложението има за цел да подкрепи държавите членки, изправени пред тежко икономическо смущение, дължащо се на извънредното събитие, причинено от пандемията от COVID-19, за да се демонстрира европейска солидарност с онези държави членки, които са силно засегнати, чрез предоставяне на финансова помощ от Съюза под формата на временни заеми. Като втора защитна линия такава финансова помощ ще подкрепи временно увеличените публични разходи на техните правителства в областта на схемите за работа с намалено работно време и други подобни мерки, за да им се помогне да защитят работните места и по този начин служителите и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rPr>
      </w:pPr>
      <w:r>
        <w:rPr>
          <w:rStyle w:val="Marker0"/>
          <w:noProof/>
          <w:color w:val="auto"/>
        </w:rPr>
        <w:t xml:space="preserve">Тази подкрепа ще подпомогне засегнатото население, ще допринесе за бързото възстановяване на нормалните условия на живот в засегнатите региони и ще смекчи прякото социално и икономическо въздействие, причинено от настоящата криза с COVID-19. </w:t>
      </w:r>
    </w:p>
    <w:p>
      <w:pPr>
        <w:pStyle w:val="ManualHeading2"/>
        <w:rPr>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rStyle w:val="Marker0"/>
          <w:noProof/>
          <w:color w:val="auto"/>
        </w:rPr>
        <w:t xml:space="preserve">Предложението е съобразено с принципа на пропорционалност. То не излиза извън рамките на необходимото, за да се постигнат целите на инструмента. </w:t>
      </w:r>
    </w:p>
    <w:p>
      <w:pPr>
        <w:pStyle w:val="ManualHeading2"/>
        <w:rPr>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Този акт е под формата на регламент, тъй като с него се създава нов специфичен и временен инструмент, който би могъл да бъде използван от всяка държава членка и трябва да бъде задължителен в своята цялост и да се прилага пряко във всички държави членки. В миналото в контекста на финансовата криза беше използван регламент на Съвета за създаване на финансова помощ за държавите членки съгласно член 122, параграф 2 от ДФЕС, за да се установят процедури и практики за подготовка и оценка на исканията на съответните държави членки и за бързото и ефективно прилагане на такава финансова помощ. Той гарантира, че последващите решения за изпълнение на Съвета за предоставяне на финансова помощ на държавите членки се изпълняват съгласно подходяща и последователна рамка. Регламент, приложим за всички държави членки, е също най-подходящият правен инструмент за организиране на гаранционната схема в подкрепа на отпускането на заеми по инструмента SURE с оглед на факта, че тя се основава на доброволни участия от всички държави членки.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Тъй като предложението трябваше да се изготви спешно, за да може да се приеме своевременно от Съвета, нямаше възможност за провеждане на консултация със заинтересованите страни.</w:t>
      </w:r>
    </w:p>
    <w:p>
      <w:pPr>
        <w:pStyle w:val="ManualHeading2"/>
        <w:rPr>
          <w:noProof/>
          <w:u w:color="000000"/>
          <w:bdr w:val="nil"/>
        </w:rPr>
      </w:pPr>
      <w:r>
        <w:rPr>
          <w:noProof/>
          <w:u w:color="000000"/>
          <w:bdr w:val="nil"/>
        </w:rPr>
        <w:lastRenderedPageBreak/>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Поради спешния характер на предложението не беше направена оценка на въздействието.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Комисията следва да може да сключва договори за заеми на финансовите пазари с цел отпускане на заем на държавата членка, искаща финансова помощ по инструмента SURE. </w:t>
      </w:r>
    </w:p>
    <w:p>
      <w:pPr>
        <w:rPr>
          <w:noProof/>
        </w:rPr>
      </w:pPr>
      <w:r>
        <w:rPr>
          <w:noProof/>
        </w:rPr>
        <w:t>SURE ще приеме формата на схема за заеми до 100 милиарда евро, основана на система от гаранции от държавите членки. Тази система ще позволи на Съюза да:</w:t>
      </w:r>
    </w:p>
    <w:p>
      <w:pPr>
        <w:pStyle w:val="Point0"/>
        <w:rPr>
          <w:noProof/>
        </w:rPr>
      </w:pPr>
      <w:r>
        <w:t>(1)</w:t>
      </w:r>
      <w:r>
        <w:tab/>
      </w:r>
      <w:r>
        <w:rPr>
          <w:noProof/>
        </w:rPr>
        <w:t>увеличи обема на заемите, които могат да бъдат предоставяни от инструмента SURE на държавите членки, които искат финансова помощ по инструмента;</w:t>
      </w:r>
    </w:p>
    <w:p>
      <w:pPr>
        <w:pStyle w:val="Point0"/>
        <w:rPr>
          <w:noProof/>
        </w:rPr>
      </w:pPr>
      <w:r>
        <w:t>(2)</w:t>
      </w:r>
      <w:r>
        <w:tab/>
      </w:r>
      <w:r>
        <w:rPr>
          <w:noProof/>
        </w:rPr>
        <w:t>гарантира, че условният пасив на Съюза, произтичащ от инструмента, е съвместим с бюджетните ограничения на Съюза.</w:t>
      </w:r>
    </w:p>
    <w:p>
      <w:pPr>
        <w:spacing w:before="0" w:after="160" w:line="259" w:lineRule="auto"/>
        <w:ind w:left="720"/>
        <w:contextualSpacing/>
        <w:rPr>
          <w:noProof/>
        </w:rPr>
      </w:pPr>
    </w:p>
    <w:p>
      <w:pPr>
        <w:rPr>
          <w:noProof/>
        </w:rPr>
      </w:pPr>
      <w:r>
        <w:rPr>
          <w:noProof/>
        </w:rPr>
        <w:t xml:space="preserve">С цел подходът да обслужи предвидената цел, държавите членки трябва да предоставят на Съюза надеждни, неотменими и изискуеми гаранции в зависимост от съответния си дял от общия брутен национален доход на Съюза. Системата от гаранции ще предотврати необходимостта от предварителни парични вноски (внесен капитал) от държавите членки, като същевременно ще осигури необходимото кредитно подобрение, за да се гарантира висок кредитен рейтинг и да се защитят ресурсите на Съюза. </w:t>
      </w:r>
    </w:p>
    <w:p>
      <w:pPr>
        <w:rPr>
          <w:noProof/>
        </w:rPr>
      </w:pPr>
      <w:r>
        <w:rPr>
          <w:noProof/>
        </w:rPr>
        <w:t>В допълнение към провизията на гаранции от държавите членки, в рамката са вградени и други предпазни мерки, за да се гарантира финансовата стабилност на схемата:</w:t>
      </w:r>
    </w:p>
    <w:p>
      <w:pPr>
        <w:pStyle w:val="Bullet1"/>
        <w:rPr>
          <w:noProof/>
        </w:rPr>
      </w:pPr>
      <w:r>
        <w:rPr>
          <w:noProof/>
        </w:rPr>
        <w:t>стриктен и консервативен подход към финансовото управление;</w:t>
      </w:r>
    </w:p>
    <w:p>
      <w:pPr>
        <w:pStyle w:val="Bullet1"/>
        <w:rPr>
          <w:noProof/>
        </w:rPr>
      </w:pPr>
      <w:r>
        <w:rPr>
          <w:noProof/>
        </w:rPr>
        <w:t>изграждане на портфейл от заеми с цел ограничаване на риска от концентрация, годишната експозиция и прекомерната експозиция на отделни държави членки, като същевременно се осигурят достатъчни ресурси за най-нуждаещите се държави членки; както и</w:t>
      </w:r>
    </w:p>
    <w:p>
      <w:pPr>
        <w:pStyle w:val="Bullet1"/>
        <w:rPr>
          <w:noProof/>
        </w:rPr>
      </w:pPr>
      <w:r>
        <w:rPr>
          <w:noProof/>
        </w:rPr>
        <w:t>възможности за подновяване на дълг.</w:t>
      </w:r>
    </w:p>
    <w:p>
      <w:pPr>
        <w:pStyle w:val="ManualHeading1"/>
        <w:rPr>
          <w:noProof/>
        </w:rPr>
      </w:pPr>
      <w:r>
        <w:rPr>
          <w:noProof/>
        </w:rPr>
        <w:t>5.</w:t>
      </w:r>
      <w:r>
        <w:rPr>
          <w:noProof/>
        </w:rPr>
        <w:tab/>
        <w:t>ДРУГИ ЕЛЕМЕНТИ</w:t>
      </w:r>
    </w:p>
    <w:p>
      <w:pPr>
        <w:pStyle w:val="ManualHeading2"/>
        <w:rPr>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rPr>
      </w:pPr>
      <w:r>
        <w:rPr>
          <w:rStyle w:val="Marker0"/>
          <w:noProof/>
          <w:color w:val="auto"/>
        </w:rPr>
        <w:t>В член 1 от</w:t>
      </w:r>
      <w:r>
        <w:rPr>
          <w:noProof/>
        </w:rPr>
        <w:t xml:space="preserve"> предложения регламент на Съвета се предвижда създаването на европейски инструмент за временна подкрепа за смекчаване на рисковете от безработица при извънредно положение след пандемията от COVID-19 (SURE). Този инструмент ще бъде ad hoc и временен предвид правното му основание. Той ще предоставя финансова помощ по член 220 от Финансовия регламент в подкрепа на държавите членки, изправени пред тежко икономическо смущение, причинено от извънредното положение, до което доведе пандемията от COVID-19.</w:t>
      </w:r>
    </w:p>
    <w:p>
      <w:pPr>
        <w:rPr>
          <w:noProof/>
        </w:rPr>
      </w:pPr>
      <w:r>
        <w:rPr>
          <w:noProof/>
        </w:rPr>
        <w:t xml:space="preserve">В член 2 от предложения регламент се подчертава допълващият характер на инструмента SURE. Той следва да допълва усилията, предприети от държавите членки на национално равнище, и да покрива част от рязкото и внезапно нарастване на публичните им разходи в резултат от усилията им за справяне с преките отрицателни </w:t>
      </w:r>
      <w:r>
        <w:rPr>
          <w:noProof/>
        </w:rPr>
        <w:lastRenderedPageBreak/>
        <w:t xml:space="preserve">последици от кризата с COVID-19. Използването на инструмента SURE не възпрепятства прилагането на други подходящи инструменти на ЕС, които третират специфични аспекти на сериозните заплахи за общественото здраве и инструменти за финансова подкрепа, като например ФСЕС. </w:t>
      </w:r>
    </w:p>
    <w:p>
      <w:pPr>
        <w:pBdr>
          <w:top w:val="nil"/>
          <w:left w:val="nil"/>
          <w:bottom w:val="nil"/>
          <w:right w:val="nil"/>
          <w:between w:val="nil"/>
          <w:bar w:val="nil"/>
        </w:pBdr>
        <w:spacing w:before="0" w:after="240"/>
        <w:rPr>
          <w:rStyle w:val="Marker0"/>
          <w:noProof/>
          <w:color w:val="auto"/>
        </w:rPr>
      </w:pPr>
      <w:r>
        <w:rPr>
          <w:noProof/>
        </w:rPr>
        <w:t xml:space="preserve">В член 3 от предложения регламент се определят условията за </w:t>
      </w:r>
      <w:r>
        <w:rPr>
          <w:rStyle w:val="Marker0"/>
          <w:noProof/>
          <w:color w:val="auto"/>
        </w:rPr>
        <w:t>задействане на инструмента</w:t>
      </w:r>
      <w:r>
        <w:rPr>
          <w:noProof/>
        </w:rPr>
        <w:t>.</w:t>
      </w:r>
      <w:r>
        <w:rPr>
          <w:rStyle w:val="Marker0"/>
          <w:noProof/>
          <w:color w:val="auto"/>
        </w:rPr>
        <w:t xml:space="preserve"> Държавите членки могат да поискат финансова помощ, когато техните действителни и евентуално планирани публични разходи внезапно и рязко са се увеличили</w:t>
      </w:r>
      <w:r>
        <w:rPr>
          <w:noProof/>
        </w:rPr>
        <w:t xml:space="preserve"> в областта на заетостта </w:t>
      </w:r>
      <w:r>
        <w:rPr>
          <w:rStyle w:val="Marker0"/>
          <w:noProof/>
          <w:color w:val="auto"/>
        </w:rPr>
        <w:t>поради национални мерки в отговор на пандемията от COVID-19. Подкрепата по линия на инструмента SURE следва по-специално да облекчи увеличената финансова тежест за държавите членки във връзка с схемите за работа с намалено работно време и други подобни мерки, които спомагат за защитата на работните места и по този начин защитават служителите и самостоятелно заетите лица срещу рисковете от безработица и загуба на доходи.</w:t>
      </w:r>
    </w:p>
    <w:p>
      <w:pPr>
        <w:rPr>
          <w:rStyle w:val="Marker0"/>
          <w:noProof/>
          <w:color w:val="auto"/>
        </w:rPr>
      </w:pPr>
      <w:r>
        <w:rPr>
          <w:rStyle w:val="Marker0"/>
          <w:noProof/>
          <w:color w:val="auto"/>
        </w:rPr>
        <w:t>В член 4 от предложения регламент се определя, на първо място, че финансовата помощ по предложения инструмент SURE ще бъде</w:t>
      </w:r>
      <w:r>
        <w:rPr>
          <w:noProof/>
        </w:rPr>
        <w:t xml:space="preserve"> под формата на заем, предоставен на съответната държава членка. На второ място, в него се предвижда </w:t>
      </w:r>
      <w:r>
        <w:rPr>
          <w:rStyle w:val="Marker0"/>
          <w:noProof/>
          <w:color w:val="auto"/>
        </w:rPr>
        <w:t xml:space="preserve">оправомощаването на Комисията да сключва договори за заеми на финансовите пазари с цел отпускане на заем на съответната държава членка. </w:t>
      </w:r>
    </w:p>
    <w:p>
      <w:pPr>
        <w:rPr>
          <w:rStyle w:val="Marker0"/>
          <w:noProof/>
          <w:color w:val="auto"/>
        </w:rPr>
      </w:pPr>
      <w:r>
        <w:rPr>
          <w:rStyle w:val="Marker0"/>
          <w:noProof/>
          <w:color w:val="auto"/>
        </w:rPr>
        <w:t xml:space="preserve">В член 5 от предложения регламент се определя максималният размер на финансовата помощ от Съюза, която може да бъде предоставена по инструмента SURE. Става дума за размер до 100 милиарда евро. </w:t>
      </w:r>
    </w:p>
    <w:p>
      <w:pPr>
        <w:rPr>
          <w:rStyle w:val="Marker0"/>
          <w:noProof/>
          <w:color w:val="auto"/>
        </w:rPr>
      </w:pPr>
      <w:r>
        <w:rPr>
          <w:rStyle w:val="Marker0"/>
          <w:noProof/>
          <w:color w:val="auto"/>
        </w:rPr>
        <w:t>С член 6 от предложения регламент се установява процедурата за предоставяне на своевременна финансова помощ на държавите членки. По искане на държава членка Комисията се консултира със съответната държава членка, за да провери степента на увеличение на публичните разходи</w:t>
      </w:r>
      <w:r>
        <w:rPr>
          <w:noProof/>
        </w:rPr>
        <w:t>, което е пряко свързано със създаването или удължаването на схеми за работа с намалено работно време и други подобни мерки особено за самостоятелно заети лица</w:t>
      </w:r>
      <w:r>
        <w:rPr>
          <w:rStyle w:val="Marker0"/>
          <w:noProof/>
          <w:color w:val="auto"/>
        </w:rPr>
        <w:t>. Тази консултация помага също така на Комисията да оцени правилно условията на заема. Следва да се определят елементи, като размера, максималния среден срок до падежа, ценообразуването, срока на разполагаемост на помощта и техническите условия за изпълнение.</w:t>
      </w:r>
    </w:p>
    <w:p>
      <w:pPr>
        <w:pBdr>
          <w:top w:val="nil"/>
          <w:left w:val="nil"/>
          <w:bottom w:val="nil"/>
          <w:right w:val="nil"/>
          <w:between w:val="nil"/>
          <w:bar w:val="nil"/>
        </w:pBdr>
        <w:spacing w:before="0" w:after="240"/>
        <w:rPr>
          <w:rStyle w:val="Marker0"/>
          <w:noProof/>
          <w:color w:val="auto"/>
        </w:rPr>
      </w:pPr>
      <w:r>
        <w:rPr>
          <w:rStyle w:val="Marker0"/>
          <w:noProof/>
          <w:color w:val="auto"/>
        </w:rPr>
        <w:t xml:space="preserve">В членове 7—10 от предложения регламент се съдържат процедурните правила за превеждане на средствата и изпълнението на помощта под формата на заеми по инструмента SURE. По-конкретно те се отнасят до правилата за превеждане на средствата, операциите по получаване и отпускане на заеми, правилата за предпазливост, приложими към портфейла от заеми съгласно инструмента и администрирането на заемите. </w:t>
      </w:r>
    </w:p>
    <w:p>
      <w:pPr>
        <w:pBdr>
          <w:top w:val="nil"/>
          <w:left w:val="nil"/>
          <w:bottom w:val="nil"/>
          <w:right w:val="nil"/>
          <w:between w:val="nil"/>
          <w:bar w:val="nil"/>
        </w:pBdr>
        <w:spacing w:before="0" w:after="240"/>
        <w:rPr>
          <w:noProof/>
        </w:rPr>
      </w:pPr>
      <w:r>
        <w:rPr>
          <w:noProof/>
        </w:rPr>
        <w:t>Член 11 от предложения Регламент се отнася до механизма за финансиране на Инструмента. Отпускането на заеми на държавите членки по линия на Инструмента ще бъде подкрепено от система от гаранции от държавите членки, учредявани доброволно в полза на Съюза. Тази система ще даде възможност на Съюза да повиши обема на финансовата помощ чрез заеми, които може да се предоставят на държавите членки по линия на Инструмента SURE. Гаранциите, учредени в полза на Съюза, трябва да бъдат неотменими, безусловни и при поискване и да бъдат предвидени в споразумение между Комисията и държавите членки. Тези финансови участия ще представляват външни целеви приходи.</w:t>
      </w:r>
    </w:p>
    <w:p>
      <w:pPr>
        <w:pBdr>
          <w:top w:val="nil"/>
          <w:left w:val="nil"/>
          <w:bottom w:val="nil"/>
          <w:right w:val="nil"/>
          <w:between w:val="nil"/>
          <w:bar w:val="nil"/>
        </w:pBdr>
        <w:spacing w:before="0" w:after="240"/>
        <w:rPr>
          <w:noProof/>
        </w:rPr>
      </w:pPr>
      <w:r>
        <w:rPr>
          <w:noProof/>
        </w:rPr>
        <w:lastRenderedPageBreak/>
        <w:t xml:space="preserve">С член 12 от предложения Регламент се установява правило за разполагаемостта на Инструмента. Финансовата помощ по линия на Инструмента SURE ще бъде разполагаема едва от момента, в който всички държави членки са учредили гаранциите си в полза на Съюза </w:t>
      </w:r>
    </w:p>
    <w:p>
      <w:pPr>
        <w:pBdr>
          <w:top w:val="nil"/>
          <w:left w:val="nil"/>
          <w:bottom w:val="nil"/>
          <w:right w:val="nil"/>
          <w:between w:val="nil"/>
          <w:bar w:val="nil"/>
        </w:pBdr>
        <w:spacing w:before="0" w:after="240"/>
        <w:rPr>
          <w:noProof/>
        </w:rPr>
      </w:pPr>
      <w:r>
        <w:rPr>
          <w:noProof/>
        </w:rPr>
        <w:t xml:space="preserve">В членове 13 и 14 от предложения регламент се установяват правила за проверките, одитите и докладването. </w:t>
      </w:r>
    </w:p>
    <w:p>
      <w:pPr>
        <w:pBdr>
          <w:top w:val="nil"/>
          <w:left w:val="nil"/>
          <w:bottom w:val="nil"/>
          <w:right w:val="nil"/>
          <w:between w:val="nil"/>
          <w:bar w:val="nil"/>
        </w:pBdr>
        <w:spacing w:before="0" w:after="240"/>
        <w:rPr>
          <w:noProof/>
          <w:highlight w:val="yellow"/>
        </w:rPr>
      </w:pPr>
      <w:r>
        <w:rPr>
          <w:noProof/>
        </w:rPr>
        <w:t>Накрая, в член 15 от предложения регламент се предвижда изрично, че Инструментът няма да се прилага по отношение на Обединеното кралство. Причината е, че по силата на член 143, параграф 1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2"/>
      </w:r>
      <w:r>
        <w:rPr>
          <w:noProof/>
        </w:rPr>
        <w:t xml:space="preserve"> отговорността на Обединеното кралство за неговия дял от условните финансови задължения на Съюза се ограничава до онези условни задължения, които произтичат от финансови операции, предприети от Съюза преди датата на оттегляне на Обединеното кралство от Съюза. Всяко условно задължение на Съюза, произтичащо от финансова помощ по настоящия регламент, ще бъде възникнало след датата на оттегляне на Обединеното кралство от Съюза. Затова Обединеното кралство следва да не участва във финансовата помощ по настоящия регламент. </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създаване на Европейски инструмент за временна подкрепа с цел смекчаване на рисковете от безработица при извънредно положение (SURE) вследствие на избухването на зараза с COVID-19</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По силата на член 122, параграф 1 от Договора за функционирането на Европейския съюз (ДФЕС) Съветът може да вземе решение – по предложение на Комисията и в дух на солидарност между държавите членки – за приемане на мерки в отговор на социално-икономическото положение вследствие на избухването на зараза с COVID-19. </w:t>
      </w:r>
    </w:p>
    <w:p>
      <w:pPr>
        <w:pStyle w:val="ManualConsidrant"/>
        <w:rPr>
          <w:noProof/>
        </w:rPr>
      </w:pPr>
      <w:r>
        <w:t>(2)</w:t>
      </w:r>
      <w:r>
        <w:tab/>
      </w:r>
      <w:r>
        <w:rPr>
          <w:noProof/>
        </w:rPr>
        <w:t>В член 122, параграф 2 от ДФЕС се предвижда възможност Съветът да предоставя финансова помощ от Съюза на държава членка, която изпитва затруднения или е сериозно застрашена от големи затруднения, причинени от извънредни обстоятелства извън нейния контрол.</w:t>
      </w:r>
    </w:p>
    <w:p>
      <w:pPr>
        <w:pStyle w:val="ManualConsidrant"/>
        <w:rPr>
          <w:noProof/>
        </w:rPr>
      </w:pPr>
      <w:r>
        <w:t>(3)</w:t>
      </w:r>
      <w:r>
        <w:tab/>
      </w:r>
      <w:r>
        <w:rPr>
          <w:noProof/>
        </w:rPr>
        <w:t>Коронавирусът 2, свързан с тежък остър респираторен синдром (SARS-CoV-2), който причинява коронавирусната болест, наречена от Световната здравна организация (СЗО) COVID-19, е нов щам коронавирус, който преди не е бил откриван у хората. Световното разпространение на тази болест се развива бързо и СЗО вече обяви наличието на пандемия. От избухването на заразата в Съюза до 30 март 2020 г. в държавите членки бяха отчетени 334 396 случая на зараза и 22 209 смъртни случая.</w:t>
      </w:r>
    </w:p>
    <w:p>
      <w:pPr>
        <w:pStyle w:val="ManualConsidrant"/>
        <w:rPr>
          <w:noProof/>
        </w:rPr>
      </w:pPr>
      <w:r>
        <w:t>(4)</w:t>
      </w:r>
      <w:r>
        <w:tab/>
      </w:r>
      <w:r>
        <w:rPr>
          <w:noProof/>
        </w:rPr>
        <w:t>Държавите членки въведоха извънредни мерки, за да ограничат разпространението на заразата с COVID-19 и въздействието ѝ. Вероятността разпространението на COVID-19 в Съюза да продължи се смята за висока. Освен въздействието върху здравето на населението, включително големия брой смъртни случаи, заразата с COVID-19 оказва тежко вредно въздействие върху икономическите системи на държавите членки, причинява смущения в обществото и води до увеличение на публичните разходи във все повече държави членки.</w:t>
      </w:r>
    </w:p>
    <w:p>
      <w:pPr>
        <w:pStyle w:val="ManualConsidrant"/>
        <w:rPr>
          <w:noProof/>
        </w:rPr>
      </w:pPr>
      <w:r>
        <w:t>(5)</w:t>
      </w:r>
      <w:r>
        <w:tab/>
      </w:r>
      <w:r>
        <w:rPr>
          <w:noProof/>
        </w:rPr>
        <w:t xml:space="preserve">Това извънредно положение, което е извън контрола на държавите членки и което е обездвижило голяма част от работната им сила, доведе до внезапно и съществено увеличение на публичните разходи на държавите членки във връзка с въвеждането на схеми за работа с намалено работно време за служителите и подобни мерки, в частност за самостоятелно заетите лица. Необходимо е да се </w:t>
      </w:r>
      <w:r>
        <w:rPr>
          <w:noProof/>
        </w:rPr>
        <w:lastRenderedPageBreak/>
        <w:t>осигури възможност за държавите членки да се справят с това внезапно и съществено увеличение на публичните разходи, докато заразата с COVID-19 и въздействието ѝ върху работната сила не бъдат овладени.</w:t>
      </w:r>
    </w:p>
    <w:p>
      <w:pPr>
        <w:pStyle w:val="ManualConsidrant"/>
        <w:rPr>
          <w:noProof/>
        </w:rPr>
      </w:pPr>
      <w:r>
        <w:t>(6)</w:t>
      </w:r>
      <w:r>
        <w:tab/>
      </w:r>
      <w:r>
        <w:rPr>
          <w:noProof/>
        </w:rPr>
        <w:t>Със създаването на Европейски инструмент за временна подкрепа за смекчаване на рисковете при извънредно положение (наричан по-нататък „Инструментът SURE“), вследствие на избухването на зараза с COVID-19 следва да се даде възможност на Съюза да вземе мерки в отговор на кризата на трудовия пазар съгласувано, бързо и ефективно и в дух на солидарност сред държавите членки, като по този начин облекчи въздействието върху заетостта за гражданите и най-засегнатите икономически отрасли, смекчавайки преките ефекти от това извънредно положение върху публичните разходи на държавите членки.</w:t>
      </w:r>
    </w:p>
    <w:p>
      <w:pPr>
        <w:pStyle w:val="ManualConsidrant"/>
        <w:rPr>
          <w:noProof/>
        </w:rPr>
      </w:pPr>
      <w:r>
        <w:t>(7)</w:t>
      </w:r>
      <w:r>
        <w:tab/>
      </w:r>
      <w:r>
        <w:rPr>
          <w:noProof/>
        </w:rPr>
        <w:t>По силата на член 220 от Регламент (ЕС, Евратом) 2018/1046 на Европейския парламент и на Съвета</w:t>
      </w:r>
      <w:r>
        <w:rPr>
          <w:rStyle w:val="FootnoteReference"/>
          <w:noProof/>
        </w:rPr>
        <w:footnoteReference w:id="3"/>
      </w:r>
      <w:r>
        <w:rPr>
          <w:noProof/>
        </w:rPr>
        <w:t xml:space="preserve"> финансовата помощ от Съюза за държавите членки може да бъде под формата на заеми.</w:t>
      </w:r>
      <w:r>
        <w:rPr>
          <w:noProof/>
          <w:shd w:val="clear" w:color="auto" w:fill="FFFFFF"/>
        </w:rPr>
        <w:t xml:space="preserve"> </w:t>
      </w:r>
      <w:r>
        <w:rPr>
          <w:noProof/>
        </w:rPr>
        <w:t>Тези заеми следва да бъдат отпускани на държавите членки, когато заразата с COVID-19 е довела до внезапно и съществено увеличение на действителните и евентуалните планирани публични разходи поради националните мерки, приети от 1 февруари 2020 г. нататък. Тази дата осигурява еднакво отношение към всички държави членки и обезпечава покритие на увеличението на техните действителни и евентуални планирани разходи във връзка с ефектите върху трудовите пазари на държавите членки, независимо кога е избухнала заразата с COVID-19 във всяка отделна държава членка. Националните мерки, приети от тази дата нататък, следва да бъдат пряко свързани със създаването, удължаването на срока или разширяването на обхвата на схеми за работа с намалено работно време и на подобни мерки, в т.ч. за самостоятелно заетите лица. Схемите за работа с намалено работно време са публични програми, които дават възможност при определени обстоятелства търговските дружества, изпитващи икономически затруднения, временно да намалят работното време на своите служители, на които се предоставя публична подкрепа за доходите за неотработените часове. Подобни схеми за заместване на доходите съществуват и за самостоятелно заетите лица. Държавата членка, която иска финансова помощ, следва да представи доказателства за внезапното и съществено увеличение на действителните и евентуалните планирани разходи за схеми за работа с намалено работно време или подобни мерки.</w:t>
      </w:r>
    </w:p>
    <w:p>
      <w:pPr>
        <w:pStyle w:val="ManualConsidrant"/>
        <w:rPr>
          <w:noProof/>
        </w:rPr>
      </w:pPr>
      <w:r>
        <w:t>(8)</w:t>
      </w:r>
      <w:r>
        <w:tab/>
      </w:r>
      <w:r>
        <w:rPr>
          <w:noProof/>
        </w:rPr>
        <w:t>За да може на засегнатите държави членки да се предоставят достатъчно финансови средства, така щото да се справят с въздействието на заразата с COVID-19 на трудовия си пазар, дейностите на Съюза по получаване и отпускане на заеми по линия на Инструмента SURE следва да бъдат достатъчно мащабни. Затова издаваните от Съюза заеми следва да бъдат финансирани със средства, набирани на международните капиталови пазари.</w:t>
      </w:r>
    </w:p>
    <w:p>
      <w:pPr>
        <w:pStyle w:val="ManualConsidrant"/>
        <w:rPr>
          <w:noProof/>
        </w:rPr>
      </w:pPr>
      <w:r>
        <w:t>(9)</w:t>
      </w:r>
      <w:r>
        <w:tab/>
      </w:r>
      <w:r>
        <w:rPr>
          <w:noProof/>
        </w:rPr>
        <w:t xml:space="preserve">Заразата с COVID-19 оказва тежко вредно въздействие върху икономическите системи на всяка държава членка. Затова е необходимо колективно финансово участие от държавите членки под формата на гаранции за заемите от бюджета на Съюза. Тези гаранции са нужни, за да може Съюзът да предоставя заеми с </w:t>
      </w:r>
      <w:r>
        <w:rPr>
          <w:noProof/>
        </w:rPr>
        <w:lastRenderedPageBreak/>
        <w:t>достатъчни размери на държавите членки, чиито трудови пазари са изложени на най-силен натиск. За да се направи така, щото условното задължение, което произтича от тези заеми, предоставяни от Съюза по линия на Инструмента SURE, да съответства на приложимата многогодишна финансова рамка и таваните за собствените ресурси, учредяваните от държавите членки гаранции следва да бъдат неотменими, безусловни и при поискване, а стабилността на системата следва да бъде подсилвана от допълнителни предпазни мерки.</w:t>
      </w:r>
    </w:p>
    <w:p>
      <w:pPr>
        <w:pStyle w:val="ManualConsidrant"/>
        <w:rPr>
          <w:noProof/>
        </w:rPr>
      </w:pPr>
      <w:r>
        <w:t>(10)</w:t>
      </w:r>
      <w:r>
        <w:tab/>
      </w:r>
      <w:r>
        <w:rPr>
          <w:noProof/>
        </w:rPr>
        <w:t>Допълнителните предпазни мерки за подсилване на стабилността на системата следва да се състоят от консервативно финансово управление, максимална годишна изложеност и достатъчна диверсификация на портфейла от заеми.</w:t>
      </w:r>
    </w:p>
    <w:p>
      <w:pPr>
        <w:pStyle w:val="ManualConsidrant"/>
        <w:rPr>
          <w:noProof/>
        </w:rPr>
      </w:pPr>
      <w:r>
        <w:t>(11)</w:t>
      </w:r>
      <w:r>
        <w:tab/>
      </w:r>
      <w:r>
        <w:rPr>
          <w:noProof/>
        </w:rPr>
        <w:t xml:space="preserve">Заемите, предоставени по линия на този инструмент, представляват финансова помощ по смисъла на член 220 от Регламент (ЕС, Евратом) 2018/1046. Съгласно член 282, параграф 3, буква ж) от Регламент (ЕС, Евратом) 2018/1046 член 220 от него ще се прилага за заемите, предоставени по линия на този инструмент, от началната дата на прилагане на многогодишната финансова рамка за периода след 2020 г. Все пак е целесъобразно изискванията по член 220, параграф 5 от Регламент (ЕС, Евратом) 2018/1046 да се прилагат за операциите по получаване и отпускане на заеми още от влизането на настоящия регламент в сила. </w:t>
      </w:r>
    </w:p>
    <w:p>
      <w:pPr>
        <w:pStyle w:val="ManualConsidrant"/>
        <w:rPr>
          <w:noProof/>
        </w:rPr>
      </w:pPr>
      <w:r>
        <w:t>(12)</w:t>
      </w:r>
      <w:r>
        <w:tab/>
      </w:r>
      <w:r>
        <w:rPr>
          <w:noProof/>
        </w:rPr>
        <w:t>За да се осигури съответствие на условното задължение, което произтича от заемите, предоставяни от Съюза по линия на този инструмент, с приложимата многогодишна финансова рамка и таваните за собствените ресурси, трябва да се установят правила за предпазливост, в т.ч. възможност за подновяване на заемите, договорени от името на Съюза.</w:t>
      </w:r>
    </w:p>
    <w:p>
      <w:pPr>
        <w:pStyle w:val="ManualConsidrant"/>
        <w:rPr>
          <w:noProof/>
        </w:rPr>
      </w:pPr>
      <w:r>
        <w:t>(13)</w:t>
      </w:r>
      <w:r>
        <w:tab/>
      </w:r>
      <w:r>
        <w:rPr>
          <w:noProof/>
        </w:rPr>
        <w:t>Като се имат предвид особените финансови последици на решенията за предоставяне на финансова помощ от Съюза по реда на настоящия регламент, за приемането им е необходимо упражняване на изпълнителни правомощия, които следва да бъдат поверени на Съвета.</w:t>
      </w:r>
    </w:p>
    <w:p>
      <w:pPr>
        <w:pStyle w:val="ManualConsidrant"/>
        <w:rPr>
          <w:noProof/>
        </w:rPr>
      </w:pPr>
      <w:r>
        <w:t>(14)</w:t>
      </w:r>
      <w:r>
        <w:tab/>
      </w:r>
      <w:r>
        <w:rPr>
          <w:noProof/>
        </w:rPr>
        <w:t>По силата на член 143, параграф 1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4"/>
      </w:r>
      <w:r>
        <w:rPr>
          <w:noProof/>
        </w:rPr>
        <w:t xml:space="preserve"> отговорността на Обединеното кралство за неговия дял от условните финансови задължения на Съюза се ограничава до онези условни задължения, които произтичат от финансови операции, предприети от Съюза преди датата на оттегляне на Обединеното кралство от Съюза. Всяко условно задължение на Съюза, произтичащо от финансова помощ по настоящия регламент, ще бъде възникнало след датата на оттегляне на Обединеното кралство от Съюза. Затова Обединеното кралство следва да не участва във финансовата помощ по настоящия регламент.</w:t>
      </w:r>
    </w:p>
    <w:p>
      <w:pPr>
        <w:pStyle w:val="ManualConsidrant"/>
        <w:rPr>
          <w:noProof/>
        </w:rPr>
      </w:pPr>
      <w:r>
        <w:t>(15)</w:t>
      </w:r>
      <w:r>
        <w:tab/>
      </w:r>
      <w:r>
        <w:rPr>
          <w:noProof/>
        </w:rPr>
        <w:t>Тъй като предвиденият инструмент е временен и е свързан със заразата с COVID-19, Комисията следва на всеки шест месеца да преценява дали извънредните обстоятелства, причиняващи тежките икономически смущения в държавите членки, продължават да бъдат налице.</w:t>
      </w:r>
    </w:p>
    <w:p>
      <w:pPr>
        <w:pStyle w:val="ManualConsidrant"/>
        <w:rPr>
          <w:noProof/>
        </w:rPr>
      </w:pPr>
      <w:r>
        <w:t>(16)</w:t>
      </w:r>
      <w:r>
        <w:tab/>
      </w:r>
      <w:r>
        <w:rPr>
          <w:noProof/>
        </w:rPr>
        <w:t xml:space="preserve">Предвид на въздействието на заразата с COVID-19 и необходимостта от спешни мерки в отговор на последствията от нея, настоящият регламент следва да влезе в сила в деня на публикуването му в </w:t>
      </w:r>
      <w:r>
        <w:rPr>
          <w:i/>
          <w:iCs/>
          <w:noProof/>
        </w:rPr>
        <w:t>Официален вестник на Европейския съюз</w:t>
      </w:r>
      <w:r>
        <w:rPr>
          <w:noProof/>
        </w:rPr>
        <w:t>.</w:t>
      </w:r>
    </w:p>
    <w:p>
      <w:pPr>
        <w:pStyle w:val="Formuledadoption"/>
        <w:rPr>
          <w:noProof/>
        </w:rPr>
      </w:pPr>
      <w:r>
        <w:rPr>
          <w:noProof/>
        </w:rPr>
        <w:lastRenderedPageBreak/>
        <w:t>ПРИЕ НАСТОЯЩИЯ РЕГЛАМЕНТ:</w:t>
      </w:r>
    </w:p>
    <w:p>
      <w:pPr>
        <w:pStyle w:val="Titrearticle"/>
        <w:rPr>
          <w:noProof/>
        </w:rPr>
      </w:pPr>
      <w:r>
        <w:rPr>
          <w:noProof/>
        </w:rPr>
        <w:t>Член 1</w:t>
      </w:r>
    </w:p>
    <w:p>
      <w:pPr>
        <w:jc w:val="center"/>
        <w:rPr>
          <w:b/>
          <w:noProof/>
          <w:szCs w:val="24"/>
        </w:rPr>
      </w:pPr>
      <w:r>
        <w:rPr>
          <w:b/>
          <w:noProof/>
        </w:rPr>
        <w:t>Създаване на Европейски инструмент за временна подкрепа за смекчаване на рисковете от безработица при извънредно положение</w:t>
      </w:r>
    </w:p>
    <w:p>
      <w:pPr>
        <w:tabs>
          <w:tab w:val="left" w:pos="567"/>
        </w:tabs>
        <w:spacing w:line="276" w:lineRule="auto"/>
        <w:rPr>
          <w:noProof/>
          <w:szCs w:val="24"/>
        </w:rPr>
      </w:pPr>
      <w:r>
        <w:rPr>
          <w:noProof/>
        </w:rPr>
        <w:t>1. Създава се Европейски инструмент за временна подкрепа за смекчаване на рисковете от безработица при извънредно положение (SURE), наричан по-нататък „Инструментът“, чието предназначение е справяне с въздействието на заразата с COVID-19 и социално-икономическите ѝ последици.</w:t>
      </w:r>
    </w:p>
    <w:p>
      <w:pPr>
        <w:spacing w:line="276" w:lineRule="auto"/>
        <w:rPr>
          <w:noProof/>
          <w:szCs w:val="24"/>
        </w:rPr>
      </w:pPr>
      <w:r>
        <w:rPr>
          <w:noProof/>
        </w:rPr>
        <w:t xml:space="preserve">2. С настоящия регламент се установяват условията и редът, позволяващи на Съюза да предоставя финансова помощ на всяка държава членка, която изпитва или е сериозно заплашена от тежко икономическо смущение, причинено от заразата с COVID-19, за финансирането на схеми за работа с намалено работно време или подобни мерки, предназначени за защита на служителите и самостоятелно заетите лица и съответно за намаляване на последиците от безработицата и загубата на доходи. </w:t>
      </w:r>
    </w:p>
    <w:p>
      <w:pPr>
        <w:pStyle w:val="Titrearticle"/>
        <w:rPr>
          <w:noProof/>
        </w:rPr>
      </w:pPr>
      <w:r>
        <w:rPr>
          <w:noProof/>
        </w:rPr>
        <w:t>Член 2</w:t>
      </w:r>
    </w:p>
    <w:p>
      <w:pPr>
        <w:tabs>
          <w:tab w:val="left" w:pos="567"/>
        </w:tabs>
        <w:jc w:val="center"/>
        <w:rPr>
          <w:b/>
          <w:noProof/>
          <w:szCs w:val="24"/>
        </w:rPr>
      </w:pPr>
      <w:r>
        <w:rPr>
          <w:b/>
          <w:noProof/>
        </w:rPr>
        <w:t>Допълнителен характер на Инструмента</w:t>
      </w:r>
    </w:p>
    <w:p>
      <w:pPr>
        <w:spacing w:line="276" w:lineRule="auto"/>
        <w:rPr>
          <w:noProof/>
          <w:szCs w:val="24"/>
        </w:rPr>
      </w:pPr>
      <w:r>
        <w:rPr>
          <w:noProof/>
        </w:rPr>
        <w:t xml:space="preserve">Инструментът допълва националните мерки, взети от засегнатите държави членки, чрез предоставяне на финансова помощ, която да им помогне да се справят с внезапното и съществено увеличение на действителните и евентуалните планирани публични разходи, предвидени за смекчаване на преките икономически и отрицателни социални ефекти от извънредното положение, до което доведе заразата с COVID-19. </w:t>
      </w:r>
    </w:p>
    <w:p>
      <w:pPr>
        <w:pStyle w:val="Titrearticle"/>
        <w:rPr>
          <w:noProof/>
        </w:rPr>
      </w:pPr>
      <w:r>
        <w:rPr>
          <w:noProof/>
        </w:rPr>
        <w:t>Член 3</w:t>
      </w:r>
    </w:p>
    <w:p>
      <w:pPr>
        <w:jc w:val="center"/>
        <w:rPr>
          <w:b/>
          <w:noProof/>
          <w:szCs w:val="24"/>
        </w:rPr>
      </w:pPr>
      <w:r>
        <w:rPr>
          <w:b/>
          <w:noProof/>
        </w:rPr>
        <w:t>Условия за използване на Инструмента</w:t>
      </w:r>
    </w:p>
    <w:p>
      <w:pPr>
        <w:tabs>
          <w:tab w:val="left" w:pos="567"/>
        </w:tabs>
        <w:spacing w:line="276" w:lineRule="auto"/>
        <w:rPr>
          <w:noProof/>
          <w:szCs w:val="24"/>
        </w:rPr>
      </w:pPr>
      <w:r>
        <w:rPr>
          <w:noProof/>
        </w:rPr>
        <w:t>1.</w:t>
      </w:r>
      <w:r>
        <w:rPr>
          <w:noProof/>
        </w:rPr>
        <w:tab/>
        <w:t xml:space="preserve">Всяка държава членка може да поиска финансова помощ от Съюза, когато нейните действителни и евентуални планирани публични разходи са се увеличили внезапно и съществено от 1 февруари 2020 г. нататък поради приемането на национални мерки, пряко свързани със схеми за работа с намалено работно време и подобни мерки за справяне с икономическите и социалните ефекти от извънредното положение, до което доведе заразата с COVID-19. </w:t>
      </w:r>
    </w:p>
    <w:p>
      <w:pPr>
        <w:spacing w:line="276" w:lineRule="auto"/>
        <w:rPr>
          <w:noProof/>
          <w:szCs w:val="24"/>
        </w:rPr>
      </w:pPr>
      <w:r>
        <w:rPr>
          <w:noProof/>
        </w:rPr>
        <w:t xml:space="preserve">2. Ползващите се държави членки използват финансовата помощ от Съюза по линия на Инструмента в подкрепа на националните схеми за подпомагане на работата с намалено работно време или подобни мерки. </w:t>
      </w:r>
    </w:p>
    <w:p>
      <w:pPr>
        <w:pStyle w:val="Titrearticle"/>
        <w:rPr>
          <w:noProof/>
        </w:rPr>
      </w:pPr>
      <w:r>
        <w:rPr>
          <w:noProof/>
        </w:rPr>
        <w:t>Член 4</w:t>
      </w:r>
    </w:p>
    <w:p>
      <w:pPr>
        <w:jc w:val="center"/>
        <w:rPr>
          <w:b/>
          <w:noProof/>
          <w:szCs w:val="24"/>
        </w:rPr>
      </w:pPr>
      <w:r>
        <w:rPr>
          <w:b/>
          <w:noProof/>
        </w:rPr>
        <w:t>Форма на финансовата помощ</w:t>
      </w:r>
    </w:p>
    <w:p>
      <w:pPr>
        <w:pStyle w:val="Normal1"/>
        <w:tabs>
          <w:tab w:val="left" w:pos="567"/>
        </w:tabs>
        <w:spacing w:before="120" w:beforeAutospacing="0" w:after="0" w:afterAutospacing="0" w:line="276" w:lineRule="auto"/>
        <w:jc w:val="both"/>
        <w:rPr>
          <w:noProof/>
        </w:rPr>
      </w:pPr>
      <w:r>
        <w:rPr>
          <w:noProof/>
        </w:rPr>
        <w:t xml:space="preserve">Финансовата помощ по член 3 се отпуска под формата на заем, предоставян на съответната държава членка. За тази цел и в съответствие с решение за изпълнение на Съвета, прието по реда на член 6, параграф 1, Комисията се оправомощава да набира </w:t>
      </w:r>
      <w:r>
        <w:rPr>
          <w:noProof/>
        </w:rPr>
        <w:lastRenderedPageBreak/>
        <w:t>заемни средства на капиталовите пазари или от финансови институции от името на Съюза в най-уместното време, за да оптимизира разходите за финансиране и да опазва репутацията си като издател на пазарите, представляващ Съюза.</w:t>
      </w:r>
    </w:p>
    <w:p>
      <w:pPr>
        <w:pStyle w:val="Titrearticle"/>
        <w:rPr>
          <w:noProof/>
        </w:rPr>
      </w:pPr>
      <w:r>
        <w:rPr>
          <w:noProof/>
        </w:rPr>
        <w:t>Член 5</w:t>
      </w:r>
    </w:p>
    <w:p>
      <w:pPr>
        <w:spacing w:before="60"/>
        <w:jc w:val="center"/>
        <w:rPr>
          <w:rFonts w:eastAsia="Times New Roman"/>
          <w:b/>
          <w:bCs/>
          <w:noProof/>
          <w:szCs w:val="24"/>
        </w:rPr>
      </w:pPr>
      <w:r>
        <w:rPr>
          <w:b/>
          <w:bCs/>
          <w:noProof/>
        </w:rPr>
        <w:t>Максимален размер на финансовата помощ</w:t>
      </w:r>
    </w:p>
    <w:p>
      <w:pPr>
        <w:rPr>
          <w:noProof/>
        </w:rPr>
      </w:pPr>
      <w:r>
        <w:rPr>
          <w:noProof/>
        </w:rPr>
        <w:t>Максималният размер на финансовата помощ по член 3 не превишава 100 000 000 000 EUR за всички държави членки.</w:t>
      </w:r>
    </w:p>
    <w:p>
      <w:pPr>
        <w:pStyle w:val="Titrearticle"/>
        <w:rPr>
          <w:noProof/>
        </w:rPr>
      </w:pPr>
      <w:r>
        <w:rPr>
          <w:noProof/>
        </w:rPr>
        <w:t>Член 6</w:t>
      </w:r>
    </w:p>
    <w:p>
      <w:pPr>
        <w:spacing w:before="60"/>
        <w:jc w:val="center"/>
        <w:rPr>
          <w:rFonts w:eastAsia="Times New Roman"/>
          <w:b/>
          <w:bCs/>
          <w:noProof/>
          <w:szCs w:val="24"/>
        </w:rPr>
      </w:pPr>
      <w:r>
        <w:rPr>
          <w:b/>
          <w:bCs/>
          <w:noProof/>
        </w:rPr>
        <w:t>Ред за подаване на искане за финансова помощ</w:t>
      </w:r>
    </w:p>
    <w:p>
      <w:pPr>
        <w:pStyle w:val="ManualNumPar1"/>
        <w:rPr>
          <w:noProof/>
        </w:rPr>
      </w:pPr>
      <w:r>
        <w:t>1.</w:t>
      </w:r>
      <w:r>
        <w:tab/>
      </w:r>
      <w:r>
        <w:rPr>
          <w:noProof/>
        </w:rPr>
        <w:t>Финансовата помощ по член 3 се предоставя по силата на решение, прието от Съвета чрез акт за изпълнение по предложение на Комисията.</w:t>
      </w:r>
    </w:p>
    <w:p>
      <w:pPr>
        <w:pStyle w:val="ManualNumPar1"/>
        <w:rPr>
          <w:rFonts w:eastAsia="Times New Roman"/>
          <w:noProof/>
          <w:szCs w:val="24"/>
        </w:rPr>
      </w:pPr>
      <w:r>
        <w:t>2.</w:t>
      </w:r>
      <w:r>
        <w:tab/>
      </w:r>
      <w:r>
        <w:rPr>
          <w:noProof/>
        </w:rPr>
        <w:t xml:space="preserve">Преди да представи на Съвета предложение, Комисията се консултира със съответната държава членка без неоправдано забавяне, за да провери дали е налице внезапно и съществено увеличение на действителните и евентуалните планирани публични разходи, пряко свързани със схемите за работа с намалено работно време и подобни мерки в искащата подкрепа държава членка, имащи отношение към извънредното положение, до което доведе заразата с COVID-19. За тази цел съответната държава членка представя на Комисията подходящи доказателства. Освен това Комисията проверява дали са спазени правилата за предпазливост по член 9. </w:t>
      </w:r>
    </w:p>
    <w:p>
      <w:pPr>
        <w:pStyle w:val="ManualNumPar1"/>
        <w:rPr>
          <w:noProof/>
        </w:rPr>
      </w:pPr>
      <w:r>
        <w:t>3.</w:t>
      </w:r>
      <w:r>
        <w:tab/>
      </w:r>
      <w:r>
        <w:rPr>
          <w:noProof/>
        </w:rPr>
        <w:t>Решението за предоставяне на финансовата помощ по член 3 съдържа:</w:t>
      </w:r>
    </w:p>
    <w:p>
      <w:pPr>
        <w:pStyle w:val="Point1"/>
        <w:rPr>
          <w:noProof/>
        </w:rPr>
      </w:pPr>
      <w:r>
        <w:rPr>
          <w:noProof/>
        </w:rPr>
        <w:t>а)</w:t>
      </w:r>
      <w:r>
        <w:rPr>
          <w:noProof/>
        </w:rPr>
        <w:tab/>
        <w:t>размера на заема, максималния среден срок до падежа, формулата за определяне на цената, максималния брой на траншовете, срока на разполагаемост и другите подробни правила, които са необходими във връзка с предоставянето на финансовата помощ;</w:t>
      </w:r>
    </w:p>
    <w:p>
      <w:pPr>
        <w:pStyle w:val="Point1"/>
        <w:rPr>
          <w:noProof/>
        </w:rPr>
      </w:pPr>
      <w:r>
        <w:rPr>
          <w:noProof/>
        </w:rPr>
        <w:t>б)</w:t>
      </w:r>
      <w:r>
        <w:rPr>
          <w:noProof/>
        </w:rPr>
        <w:tab/>
        <w:t>оценка на спазването на условията по член 3 от страна на държавата членка;</w:t>
      </w:r>
    </w:p>
    <w:p>
      <w:pPr>
        <w:pStyle w:val="Point1"/>
        <w:rPr>
          <w:noProof/>
        </w:rPr>
      </w:pPr>
      <w:r>
        <w:rPr>
          <w:noProof/>
        </w:rPr>
        <w:t>в)</w:t>
      </w:r>
      <w:r>
        <w:rPr>
          <w:noProof/>
        </w:rPr>
        <w:tab/>
        <w:t>описание на националната схема или националните схеми за работа с намалено работно време или подобни мерки, които може да бъдат финансирани.</w:t>
      </w:r>
    </w:p>
    <w:p>
      <w:pPr>
        <w:pStyle w:val="Titrearticle"/>
        <w:rPr>
          <w:noProof/>
        </w:rPr>
      </w:pPr>
      <w:r>
        <w:rPr>
          <w:noProof/>
        </w:rPr>
        <w:t>Член 7</w:t>
      </w:r>
      <w:r>
        <w:rPr>
          <w:noProof/>
        </w:rPr>
        <w:br/>
      </w:r>
      <w:r>
        <w:rPr>
          <w:b/>
          <w:noProof/>
        </w:rPr>
        <w:t>Превеждане на средствата по заема</w:t>
      </w:r>
    </w:p>
    <w:p>
      <w:pPr>
        <w:rPr>
          <w:noProof/>
        </w:rPr>
      </w:pPr>
      <w:r>
        <w:rPr>
          <w:noProof/>
        </w:rPr>
        <w:t>Средствата по заема по член 6, параграф 3 се превеждат на траншове.</w:t>
      </w:r>
    </w:p>
    <w:p>
      <w:pPr>
        <w:pStyle w:val="Titrearticle"/>
        <w:rPr>
          <w:rFonts w:eastAsia="Times New Roman"/>
          <w:i w:val="0"/>
          <w:noProof/>
          <w:szCs w:val="24"/>
        </w:rPr>
      </w:pPr>
      <w:r>
        <w:rPr>
          <w:noProof/>
        </w:rPr>
        <w:t>Член 8</w:t>
      </w:r>
      <w:r>
        <w:rPr>
          <w:noProof/>
        </w:rPr>
        <w:br/>
      </w:r>
      <w:r>
        <w:rPr>
          <w:b/>
          <w:bCs/>
          <w:noProof/>
        </w:rPr>
        <w:t>Операции по получаване и отпускане на заеми</w:t>
      </w:r>
    </w:p>
    <w:p>
      <w:pPr>
        <w:pStyle w:val="ManualNumPar1"/>
        <w:rPr>
          <w:noProof/>
        </w:rPr>
      </w:pPr>
      <w:r>
        <w:t>1.</w:t>
      </w:r>
      <w:r>
        <w:tab/>
      </w:r>
      <w:r>
        <w:rPr>
          <w:noProof/>
        </w:rPr>
        <w:t>Операциите по получаване и отпускане на заеми по член 4 се извършват в евро.</w:t>
      </w:r>
    </w:p>
    <w:p>
      <w:pPr>
        <w:pStyle w:val="ManualNumPar1"/>
        <w:rPr>
          <w:noProof/>
        </w:rPr>
      </w:pPr>
      <w:r>
        <w:t>2.</w:t>
      </w:r>
      <w:r>
        <w:tab/>
      </w:r>
      <w:r>
        <w:rPr>
          <w:noProof/>
        </w:rPr>
        <w:t xml:space="preserve">Характеристиките на заема по член 6, параграф 3, буква а) се определят в споразумение за заем между ползващата се държава членка и Комисията. Това споразумение трябва да съдържа разпоредбите по член 220, параграф 5 от Регламент (ЕС, Евратом) 2018/1046. </w:t>
      </w:r>
    </w:p>
    <w:p>
      <w:pPr>
        <w:pStyle w:val="ManualNumPar1"/>
        <w:rPr>
          <w:noProof/>
        </w:rPr>
      </w:pPr>
      <w:r>
        <w:lastRenderedPageBreak/>
        <w:t>3.</w:t>
      </w:r>
      <w:r>
        <w:tab/>
      </w:r>
      <w:r>
        <w:rPr>
          <w:noProof/>
        </w:rPr>
        <w:t>По искане на ползващата се държава членка и когато обстоятелствата позволяват договаряне на по-изгоден лихвен процент по заема, Комисията може да рефинансира изцяло или част от първоначално заетите средства или да преструктурира съответните финансови условия.</w:t>
      </w:r>
    </w:p>
    <w:p>
      <w:pPr>
        <w:pStyle w:val="ManualNumPar1"/>
        <w:rPr>
          <w:noProof/>
        </w:rPr>
      </w:pPr>
      <w:r>
        <w:t>4.</w:t>
      </w:r>
      <w:r>
        <w:tab/>
      </w:r>
      <w:r>
        <w:rPr>
          <w:noProof/>
        </w:rPr>
        <w:t>Икономическият и финансов комитет трябва да бъде осведомяван за рефинансирането или преструктурирането по параграф 3.</w:t>
      </w:r>
    </w:p>
    <w:p>
      <w:pPr>
        <w:pStyle w:val="Titrearticle"/>
        <w:rPr>
          <w:rFonts w:eastAsia="Times New Roman"/>
          <w:noProof/>
          <w:szCs w:val="24"/>
        </w:rPr>
      </w:pPr>
      <w:r>
        <w:rPr>
          <w:noProof/>
        </w:rPr>
        <w:t>Член 9</w:t>
      </w:r>
      <w:r>
        <w:rPr>
          <w:noProof/>
        </w:rPr>
        <w:br/>
      </w:r>
      <w:r>
        <w:rPr>
          <w:b/>
          <w:noProof/>
        </w:rPr>
        <w:t>Правила за предпазливост, приложими за портфейла от заеми</w:t>
      </w:r>
    </w:p>
    <w:p>
      <w:pPr>
        <w:pStyle w:val="ManualNumPar1"/>
        <w:rPr>
          <w:noProof/>
        </w:rPr>
      </w:pPr>
      <w:r>
        <w:t>1.</w:t>
      </w:r>
      <w:r>
        <w:tab/>
      </w:r>
      <w:r>
        <w:rPr>
          <w:noProof/>
        </w:rPr>
        <w:t xml:space="preserve">Делът на заемите, които се предоставят на трите държави членки, имащи най-големия дял от предоставените заеми, не превишава 60 % от размера по член 5. </w:t>
      </w:r>
    </w:p>
    <w:p>
      <w:pPr>
        <w:pStyle w:val="ManualNumPar1"/>
        <w:rPr>
          <w:noProof/>
        </w:rPr>
      </w:pPr>
      <w:r>
        <w:t>2.</w:t>
      </w:r>
      <w:r>
        <w:tab/>
      </w:r>
      <w:r>
        <w:rPr>
          <w:noProof/>
        </w:rPr>
        <w:t xml:space="preserve">Размерът на задълженията на Съюза за дадена година не превишават 10 % от размера по член 5. </w:t>
      </w:r>
    </w:p>
    <w:p>
      <w:pPr>
        <w:pStyle w:val="ManualNumPar1"/>
        <w:rPr>
          <w:noProof/>
        </w:rPr>
      </w:pPr>
      <w:r>
        <w:t>3.</w:t>
      </w:r>
      <w:r>
        <w:tab/>
      </w:r>
      <w:r>
        <w:rPr>
          <w:noProof/>
        </w:rPr>
        <w:t>Когато държава членка не направи погашение, Комисията може да поднови съответния заем, договорен от името на Съюза.</w:t>
      </w:r>
    </w:p>
    <w:p>
      <w:pPr>
        <w:pStyle w:val="Titrearticle"/>
        <w:rPr>
          <w:b/>
          <w:bCs/>
          <w:noProof/>
        </w:rPr>
      </w:pPr>
      <w:r>
        <w:rPr>
          <w:noProof/>
        </w:rPr>
        <w:t>Член 10</w:t>
      </w:r>
      <w:r>
        <w:rPr>
          <w:noProof/>
        </w:rPr>
        <w:br/>
      </w:r>
      <w:r>
        <w:rPr>
          <w:b/>
          <w:bCs/>
          <w:noProof/>
        </w:rPr>
        <w:t>Управление на заемите</w:t>
      </w:r>
    </w:p>
    <w:p>
      <w:pPr>
        <w:pStyle w:val="ManualNumPar1"/>
        <w:rPr>
          <w:noProof/>
        </w:rPr>
      </w:pPr>
      <w:r>
        <w:t>1.</w:t>
      </w:r>
      <w:r>
        <w:tab/>
      </w:r>
      <w:r>
        <w:rPr>
          <w:noProof/>
        </w:rPr>
        <w:t>Комисията установява необходимите разпоредби за управлението на заемите с Европейската централна банка (ЕЦБ).</w:t>
      </w:r>
    </w:p>
    <w:p>
      <w:pPr>
        <w:pStyle w:val="ManualNumPar1"/>
        <w:rPr>
          <w:noProof/>
        </w:rPr>
      </w:pPr>
      <w:r>
        <w:t>2.</w:t>
      </w:r>
      <w:r>
        <w:tab/>
      </w:r>
      <w:r>
        <w:rPr>
          <w:noProof/>
        </w:rPr>
        <w:t>Ползващата се държава членка открива специална сметка в своята национална централна банка за управление на получената финансова помощ.</w:t>
      </w:r>
      <w:r>
        <w:rPr>
          <w:rFonts w:ascii="&amp;quot" w:hAnsi="&amp;quot"/>
          <w:noProof/>
        </w:rPr>
        <w:t xml:space="preserve"> </w:t>
      </w:r>
      <w:r>
        <w:rPr>
          <w:noProof/>
        </w:rPr>
        <w:t>Освен това тя превежда дължимите главница и лихва по заема по сметката на Съюза в ЕЦБ двадесет работни дни по TARGET2 преди съответния падеж.</w:t>
      </w:r>
    </w:p>
    <w:p>
      <w:pPr>
        <w:pStyle w:val="Titrearticle"/>
        <w:rPr>
          <w:b/>
          <w:noProof/>
        </w:rPr>
      </w:pPr>
      <w:r>
        <w:rPr>
          <w:noProof/>
        </w:rPr>
        <w:t>Член 11</w:t>
      </w:r>
      <w:r>
        <w:rPr>
          <w:noProof/>
        </w:rPr>
        <w:br/>
      </w:r>
      <w:r>
        <w:rPr>
          <w:b/>
          <w:noProof/>
        </w:rPr>
        <w:t>Участия на държавите членки под формата на гаранции</w:t>
      </w:r>
    </w:p>
    <w:p>
      <w:pPr>
        <w:pStyle w:val="ManualNumPar1"/>
        <w:rPr>
          <w:noProof/>
        </w:rPr>
      </w:pPr>
      <w:r>
        <w:t>1.</w:t>
      </w:r>
      <w:r>
        <w:tab/>
      </w:r>
      <w:r>
        <w:rPr>
          <w:noProof/>
        </w:rPr>
        <w:t>Държавите членки могат да осигурят финансови участия за Инструмента, като учредят насрещни гаранции за риска, поет от Съюза.</w:t>
      </w:r>
    </w:p>
    <w:p>
      <w:pPr>
        <w:pStyle w:val="ManualNumPar1"/>
        <w:rPr>
          <w:noProof/>
        </w:rPr>
      </w:pPr>
      <w:r>
        <w:t>2.</w:t>
      </w:r>
      <w:r>
        <w:tab/>
      </w:r>
      <w:r>
        <w:rPr>
          <w:noProof/>
        </w:rPr>
        <w:t>Финансовите участия на държавите членки се осигуряват под формата на неотменими и безусловни гаранции при поискване.</w:t>
      </w:r>
    </w:p>
    <w:p>
      <w:pPr>
        <w:ind w:left="851"/>
        <w:rPr>
          <w:noProof/>
        </w:rPr>
      </w:pPr>
      <w:r>
        <w:rPr>
          <w:noProof/>
        </w:rPr>
        <w:t>Комисията сключва с всяка държава членка, осигуряваща финансово участие, споразумение за неотменимите и безусловни гаранции при поискване. В споразумението се установяват условията за плащане.</w:t>
      </w:r>
    </w:p>
    <w:p>
      <w:pPr>
        <w:pStyle w:val="ManualNumPar1"/>
        <w:rPr>
          <w:noProof/>
        </w:rPr>
      </w:pPr>
      <w:r>
        <w:t>3.</w:t>
      </w:r>
      <w:r>
        <w:tab/>
      </w:r>
      <w:r>
        <w:rPr>
          <w:noProof/>
        </w:rPr>
        <w:t xml:space="preserve">Исканията за плащане по гаранциите, учредени от държавите членки, се отправят въз основа на принципа „при равни условия“. Когато държава членка не изпълни навреме искане за плащане, Комисията има право да отправи допълнителни искания за плащане по гаранциите, учредени от другите държави членки, въз основа на принципа „при равни условия“, до общия размер на финансовите участия. Средствата за допълнителните финансови участия на държавите членки им се възстановяват от събраните суми. </w:t>
      </w:r>
    </w:p>
    <w:p>
      <w:pPr>
        <w:pStyle w:val="ManualNumPar1"/>
        <w:rPr>
          <w:noProof/>
        </w:rPr>
      </w:pPr>
      <w:r>
        <w:t>4.</w:t>
      </w:r>
      <w:r>
        <w:tab/>
      </w:r>
      <w:r>
        <w:rPr>
          <w:noProof/>
        </w:rPr>
        <w:t>Финансовите участия по параграф 1 представляват външни целеви приходи за Инструмента по смисъла на член 21, параграф 5 от Регламент (ЕС, Евратом) 2018/1046.</w:t>
      </w:r>
    </w:p>
    <w:p>
      <w:pPr>
        <w:pStyle w:val="Titrearticle"/>
        <w:rPr>
          <w:b/>
          <w:noProof/>
        </w:rPr>
      </w:pPr>
      <w:r>
        <w:rPr>
          <w:noProof/>
        </w:rPr>
        <w:lastRenderedPageBreak/>
        <w:t>Член 12</w:t>
      </w:r>
      <w:r>
        <w:rPr>
          <w:noProof/>
        </w:rPr>
        <w:br/>
      </w:r>
      <w:r>
        <w:rPr>
          <w:b/>
          <w:noProof/>
        </w:rPr>
        <w:t>Разполагаемост на Инструмента</w:t>
      </w:r>
    </w:p>
    <w:p>
      <w:pPr>
        <w:pStyle w:val="ManualNumPar1"/>
        <w:rPr>
          <w:noProof/>
        </w:rPr>
      </w:pPr>
      <w:r>
        <w:t>1.</w:t>
      </w:r>
      <w:r>
        <w:tab/>
      </w:r>
      <w:r>
        <w:rPr>
          <w:noProof/>
        </w:rPr>
        <w:t>Финансовата помощ по член 3 става разполагаема само след като всички държави членки са осигурили финансово участие за Инструмента по член 11, параграф 1 в размер, представляващ най-малко 25 на сто от размера по член 5, при условие че относителните дялове на финансовите участия на всяка държава членка от общия размер на финансовите участия на държавите членки съответстват на относителните дялове на държавите членки от общия размер на брутния национален доход на Съюза, както е определен според колона 1 в таблица 3 от част „A. Въведение и финансиране на общия бюджет“ от приходната част на бюджета за 2020 г. съгласно общия бюджет на Европейския съюз за финансовата 2020 година, приет на 27 ноември 2019 г.</w:t>
      </w:r>
      <w:r>
        <w:rPr>
          <w:rStyle w:val="FootnoteReference"/>
          <w:noProof/>
        </w:rPr>
        <w:footnoteReference w:id="5"/>
      </w:r>
      <w:r>
        <w:rPr>
          <w:noProof/>
        </w:rPr>
        <w:t>.</w:t>
      </w:r>
    </w:p>
    <w:p>
      <w:pPr>
        <w:pStyle w:val="ManualNumPar1"/>
        <w:rPr>
          <w:noProof/>
        </w:rPr>
      </w:pPr>
      <w:r>
        <w:t>2.</w:t>
      </w:r>
      <w:r>
        <w:tab/>
      </w:r>
      <w:r>
        <w:rPr>
          <w:noProof/>
        </w:rPr>
        <w:t>Комисията уведомява Съвета, когато Инструментът стане разполагаем.</w:t>
      </w:r>
    </w:p>
    <w:p>
      <w:pPr>
        <w:pStyle w:val="Titrearticle"/>
        <w:rPr>
          <w:b/>
          <w:i w:val="0"/>
          <w:iCs/>
          <w:noProof/>
        </w:rPr>
      </w:pPr>
      <w:r>
        <w:rPr>
          <w:noProof/>
        </w:rPr>
        <w:t>Член 13</w:t>
      </w:r>
      <w:r>
        <w:rPr>
          <w:noProof/>
        </w:rPr>
        <w:br/>
      </w:r>
      <w:r>
        <w:rPr>
          <w:b/>
          <w:iCs/>
          <w:noProof/>
        </w:rPr>
        <w:t>Проверки и одити</w:t>
      </w:r>
    </w:p>
    <w:p>
      <w:pPr>
        <w:spacing w:line="276" w:lineRule="auto"/>
        <w:rPr>
          <w:rFonts w:eastAsia="Times New Roman"/>
          <w:iCs/>
          <w:noProof/>
          <w:szCs w:val="24"/>
        </w:rPr>
      </w:pPr>
      <w:r>
        <w:rPr>
          <w:noProof/>
        </w:rPr>
        <w:t>В споразумението по член 8, параграф 1 се съдържат необходимите разпоредби за проверките и одитите съгласно изискванията по член 220, параграф 5 от Регламент (ЕС, Евратом) 2018/1046.</w:t>
      </w:r>
    </w:p>
    <w:p>
      <w:pPr>
        <w:pStyle w:val="Titrearticle"/>
        <w:rPr>
          <w:b/>
          <w:bCs/>
          <w:noProof/>
        </w:rPr>
      </w:pPr>
      <w:r>
        <w:rPr>
          <w:noProof/>
        </w:rPr>
        <w:t>Член 14</w:t>
      </w:r>
      <w:r>
        <w:rPr>
          <w:noProof/>
        </w:rPr>
        <w:br/>
      </w:r>
      <w:r>
        <w:rPr>
          <w:b/>
          <w:bCs/>
          <w:noProof/>
        </w:rPr>
        <w:t>Докладване</w:t>
      </w:r>
    </w:p>
    <w:p>
      <w:pPr>
        <w:rPr>
          <w:noProof/>
        </w:rPr>
      </w:pPr>
      <w:r>
        <w:rPr>
          <w:noProof/>
        </w:rPr>
        <w:t>Шест месеца след влизането в сила на настоящия регламент и шест месеца след това, в контекста на член 250 от Регламент (ЕС, Евратом) 1046/2018, Комисията изпраща на Европейския парламент, на Икономическия и финансов комитет, на Комитета по заетостта и на Съвета доклад за прилагането на настоящия регламент и за продължаването на извънредните обстоятелства, обосноваващи приемането на настоящия регламент.</w:t>
      </w:r>
    </w:p>
    <w:p>
      <w:pPr>
        <w:pStyle w:val="Titrearticle"/>
        <w:rPr>
          <w:noProof/>
        </w:rPr>
      </w:pPr>
      <w:r>
        <w:rPr>
          <w:noProof/>
        </w:rPr>
        <w:t>Член 15</w:t>
      </w:r>
      <w:r>
        <w:rPr>
          <w:noProof/>
        </w:rPr>
        <w:br/>
      </w:r>
      <w:r>
        <w:rPr>
          <w:b/>
          <w:noProof/>
        </w:rPr>
        <w:t>Приложимост</w:t>
      </w:r>
    </w:p>
    <w:p>
      <w:pPr>
        <w:tabs>
          <w:tab w:val="left" w:pos="567"/>
        </w:tabs>
        <w:spacing w:line="276" w:lineRule="auto"/>
        <w:rPr>
          <w:rFonts w:eastAsia="Times New Roman"/>
          <w:noProof/>
        </w:rPr>
      </w:pPr>
      <w:r>
        <w:rPr>
          <w:noProof/>
        </w:rPr>
        <w:t>Настоящият регламент не се прилага спрямо Обединеното кралство и в него. Позоваванията на държавите членки в настоящия регламент не се разбират като включващи Обединеното кралство.</w:t>
      </w:r>
    </w:p>
    <w:p>
      <w:pPr>
        <w:pStyle w:val="Titrearticle"/>
        <w:spacing w:line="276" w:lineRule="auto"/>
        <w:rPr>
          <w:b/>
          <w:noProof/>
        </w:rPr>
      </w:pPr>
      <w:r>
        <w:rPr>
          <w:noProof/>
        </w:rPr>
        <w:t>Член 16</w:t>
      </w:r>
      <w:r>
        <w:rPr>
          <w:noProof/>
        </w:rPr>
        <w:br/>
      </w:r>
      <w:r>
        <w:rPr>
          <w:b/>
          <w:noProof/>
        </w:rPr>
        <w:t>Влизане в сила</w:t>
      </w:r>
    </w:p>
    <w:p>
      <w:pPr>
        <w:spacing w:line="276" w:lineRule="auto"/>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keepNext/>
        <w:keepLines/>
        <w:spacing w:line="276" w:lineRule="auto"/>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6"/>
        </w:rPr>
        <w:t>[…]</w:t>
      </w:r>
      <w:r>
        <w:t xml:space="preserve"> година.</w:t>
      </w:r>
    </w:p>
    <w:p>
      <w:pPr>
        <w:pStyle w:val="Institutionquisigne"/>
        <w:rPr>
          <w:noProof/>
        </w:rPr>
      </w:pPr>
      <w:r>
        <w:rPr>
          <w:noProof/>
        </w:rPr>
        <w:tab/>
        <w:t>За Съвета</w:t>
      </w:r>
    </w:p>
    <w:p>
      <w:pPr>
        <w:pStyle w:val="Personnequisigne"/>
        <w:spacing w:line="276" w:lineRule="auto"/>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 в структурата на УД/БД</w:t>
      </w:r>
    </w:p>
    <w:p>
      <w:pPr>
        <w:pStyle w:val="ManualHeading2"/>
        <w:rPr>
          <w:b w:val="0"/>
          <w:noProof/>
        </w:rPr>
      </w:pPr>
      <w:r>
        <w:rPr>
          <w:b w:val="0"/>
          <w:noProof/>
        </w:rPr>
        <w:tab/>
        <w:t>1.3.</w:t>
      </w:r>
      <w:r>
        <w:rPr>
          <w:b w:val="0"/>
          <w:noProof/>
        </w:rPr>
        <w:tab/>
        <w:t xml:space="preserve">Естество на предложението/инициативата </w:t>
      </w:r>
    </w:p>
    <w:p>
      <w:pPr>
        <w:pStyle w:val="ManualHeading2"/>
        <w:rPr>
          <w:b w:val="0"/>
          <w:noProof/>
        </w:rPr>
      </w:pPr>
      <w:r>
        <w:rPr>
          <w:b w:val="0"/>
          <w:noProof/>
        </w:rPr>
        <w:tab/>
        <w:t>1.4.</w:t>
      </w:r>
      <w:r>
        <w:rPr>
          <w:b w:val="0"/>
          <w:noProof/>
        </w:rPr>
        <w:tab/>
        <w:t xml:space="preserve">Цели </w:t>
      </w:r>
    </w:p>
    <w:p>
      <w:pPr>
        <w:pStyle w:val="ManualHeading2"/>
        <w:rPr>
          <w:b w:val="0"/>
          <w:noProof/>
        </w:rPr>
      </w:pPr>
      <w:r>
        <w:rPr>
          <w:b w:val="0"/>
          <w:noProof/>
        </w:rPr>
        <w:tab/>
        <w:t>1.5.</w:t>
      </w:r>
      <w:r>
        <w:rPr>
          <w:b w:val="0"/>
          <w:noProof/>
        </w:rPr>
        <w:tab/>
        <w:t xml:space="preserve">Мотиви за предложението/инициативата </w:t>
      </w:r>
    </w:p>
    <w:p>
      <w:pPr>
        <w:pStyle w:val="ManualHeading2"/>
        <w:rPr>
          <w:b w:val="0"/>
          <w:noProof/>
        </w:rPr>
      </w:pPr>
      <w:r>
        <w:rPr>
          <w:b w:val="0"/>
          <w:noProof/>
        </w:rPr>
        <w:tab/>
        <w:t>1.6.</w:t>
      </w:r>
      <w:r>
        <w:rPr>
          <w:b w:val="0"/>
          <w:noProof/>
        </w:rPr>
        <w:tab/>
        <w:t xml:space="preserve">Срок на действие и финансово отражение </w:t>
      </w:r>
    </w:p>
    <w:p>
      <w:pPr>
        <w:pStyle w:val="ManualHeading2"/>
        <w:rPr>
          <w:b w:val="0"/>
          <w:noProof/>
        </w:rPr>
      </w:pPr>
      <w:r>
        <w:rPr>
          <w:b w:val="0"/>
          <w:noProof/>
        </w:rPr>
        <w:tab/>
        <w:t>1.7.</w:t>
      </w:r>
      <w:r>
        <w:rPr>
          <w:b w:val="0"/>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мониторинг и докладване </w:t>
      </w:r>
    </w:p>
    <w:p>
      <w:pPr>
        <w:pStyle w:val="ManualHeading2"/>
        <w:rPr>
          <w:b w:val="0"/>
          <w:noProof/>
        </w:rPr>
      </w:pPr>
      <w:r>
        <w:rPr>
          <w:b w:val="0"/>
          <w:noProof/>
        </w:rPr>
        <w:tab/>
        <w:t>2.2.</w:t>
      </w:r>
      <w:r>
        <w:rPr>
          <w:b w:val="0"/>
          <w:noProof/>
        </w:rPr>
        <w:tab/>
        <w:t xml:space="preserve">Система за управление и контрол </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текущата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Съвета за създаване на Европейски инструмент за временна подкрепа с цел смекчаване на рисковете от безработица при извънредно положение (SURE) вследствие на избухналата зараза с COVID-19.</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pPr>
        <w:pStyle w:val="ManualHeading2"/>
        <w:rPr>
          <w:noProof/>
        </w:rPr>
      </w:pPr>
      <w:r>
        <w:t>1.3.</w:t>
      </w:r>
      <w:r>
        <w:tab/>
      </w:r>
      <w:r>
        <w:rPr>
          <w:noProof/>
        </w:rPr>
        <w:t xml:space="preserve">Естество на предложението/инициативата </w:t>
      </w:r>
    </w:p>
    <w:p>
      <w:pPr>
        <w:pStyle w:val="Text1"/>
        <w:rPr>
          <w:b/>
          <w:noProof/>
          <w:sz w:val="22"/>
        </w:rPr>
      </w:pPr>
      <w:r>
        <w:rPr>
          <w:b/>
          <w:noProof/>
          <w:sz w:val="22"/>
        </w:rPr>
        <w:t>X</w:t>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noProof/>
        </w:rPr>
      </w:pPr>
      <w:r>
        <w:t>1.4.</w:t>
      </w:r>
      <w:r>
        <w:tab/>
      </w:r>
      <w:r>
        <w:rPr>
          <w:noProof/>
        </w:rPr>
        <w:t>Цели</w:t>
      </w:r>
    </w:p>
    <w:p>
      <w:pPr>
        <w:pStyle w:val="ManualHeading3"/>
        <w:rPr>
          <w:noProof/>
        </w:rPr>
      </w:pPr>
      <w:r>
        <w:t>1.4.1.</w:t>
      </w:r>
      <w:r>
        <w:tab/>
      </w:r>
      <w:r>
        <w:rPr>
          <w:noProof/>
        </w:rPr>
        <w:t xml:space="preserve">Многогодишна(и) стратегическа(и) цел(и) на Комисията, към която(ито) е насочено(а)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се прилага.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Предложеният регламент е спешна мярка, предложена от Комисията на Съвета, с цел да се предостави финансова помощ от Съюза на държавите членки в дух на солидарност, за да им се помогне да защитават заетостта чрез подкрепа за схеми за заетост на непълно работно време за наети лица и подобни мерки за самостоятелно заетите лица вследствие на избухналата зараза с COVID-19.</w:t>
      </w:r>
    </w:p>
    <w:p>
      <w:pPr>
        <w:pStyle w:val="ManualHeading3"/>
        <w:rPr>
          <w:noProof/>
        </w:rPr>
      </w:pPr>
      <w:r>
        <w:t>1.4.2.</w:t>
      </w:r>
      <w:r>
        <w:tab/>
      </w:r>
      <w:r>
        <w:rPr>
          <w:noProof/>
        </w:rPr>
        <w:t xml:space="preserve">Конкретна(и) цел(и) и съответна(и)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pPr>
        <w:pStyle w:val="ManualHeading3"/>
        <w:rPr>
          <w:noProof/>
        </w:rPr>
      </w:pPr>
      <w:r>
        <w:rPr>
          <w:noProof/>
        </w:rPr>
        <w:br w:type="page"/>
      </w:r>
      <w:r>
        <w:t>1.4.3.</w:t>
      </w:r>
      <w:r>
        <w:tab/>
      </w:r>
      <w:r>
        <w:rPr>
          <w:noProof/>
        </w:rPr>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iCs/>
          <w:noProof/>
        </w:rPr>
      </w:pPr>
      <w:r>
        <w:rPr>
          <w:noProof/>
        </w:rPr>
        <w:t>Целта на предложения инструмент SURE е да се определят правилата, които да позволят на Съюза да предоставя финансова помощ на държава членка, която изпитва сериозни икономически затруднения, предизвикани от кризата с COVID-19, или е сериозно застрашена от такива затруднения, за да бъде финансирана заетост на непълно работно време или подобни мерки, предназначени да защитят наетите лица и самостоятелно заетите лица, като по този начин бъдат намалени последиците от безработицата.</w:t>
      </w:r>
    </w:p>
    <w:p>
      <w:pPr>
        <w:pStyle w:val="Text1"/>
        <w:pBdr>
          <w:top w:val="single" w:sz="4" w:space="1" w:color="auto"/>
          <w:left w:val="single" w:sz="4" w:space="4" w:color="auto"/>
          <w:bottom w:val="single" w:sz="4" w:space="1" w:color="auto"/>
          <w:right w:val="single" w:sz="4" w:space="4" w:color="auto"/>
        </w:pBdr>
        <w:rPr>
          <w:iCs/>
          <w:noProof/>
        </w:rPr>
      </w:pPr>
      <w:r>
        <w:rPr>
          <w:noProof/>
        </w:rPr>
        <w:t>По-конкретно, инструментът SURE ще действа като втора защитна линия, като подкрепя схемите за заетост на непълно работно време и други подобни мерки, за да помогне на държавите членки да защитават работните места, а по този начин наетите лица и самостоятелно заетите лица срещу риска от безработица. Условията, определящи кога една държава членка може да се възползва от подкрепата по този инструмент, следва да бъдат установени чрез позоваване на внезапното значително увеличение на действителните и също на възможните планирани публични разходи, причинено от избухналата зараза с COVID-19, и следва да бъдат свързани пряко със създаването или разширяването на схеми за заетост на непълно работно време и други подобни мерки, предприети в отговор на епидемията.</w:t>
      </w:r>
    </w:p>
    <w:p>
      <w:pPr>
        <w:pStyle w:val="ManualHeading3"/>
        <w:rPr>
          <w:noProof/>
        </w:rPr>
      </w:pPr>
      <w:r>
        <w:t>1.4.4.</w:t>
      </w:r>
      <w:r>
        <w:tab/>
      </w:r>
      <w:r>
        <w:rPr>
          <w:noProof/>
        </w:rPr>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pPr>
        <w:pStyle w:val="ManualHeading2"/>
        <w:rPr>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Предложеният инструмент SURE се основава на член 122, параграфи 1 и 2 от ДФЕС.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В това правно основание се предвижда, че: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Съюзът може да предприеме подходящи мерки, за да реагира на конкретна икономическа ситуация в дух на солидарност между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Финансова помощ от Съюза може да бъде предоставена, когато държава членка е изправена пред трудности или застрашена от трудности, причинени от извънредно обстоятелство извън нейния контрол, но при определени условия.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Понастоящем държавите членки са изправени пред сериозни икономически затруднения, причинени от избухналата зараза с COVID-19, която има силно отрицателни социално-икономическо последици в държавите членки. </w:t>
      </w:r>
    </w:p>
    <w:p>
      <w:pPr>
        <w:pStyle w:val="ManualHeading3"/>
        <w:rPr>
          <w:noProof/>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за цел да предложи финансова подкрепа в дух на европейска солидарност с онези държави членки, които са тежко засегнати. Тази финансова подкрепа подпомага временно увеличаването на публичните разходи на държавите членки чрез линии за отпускане на заеми за създаване или удължаване на схеми за заетост на непълно работно време и други подобни мерки. Тя служи като втора защитна линия за държавите членки, на които се налага да увеличат публичните разходи за запазване на заетостта на наетите лица и на самостоятелно заетите лица. Тази подкрепа от ЕС помага на населението на засегнатите държави членки, допринася за бързото възстановяване на нормалните условия на живот в засегнатите региони и смекчава прякото социално и икономическо въздействие, предизвикано от конкретната криза с COVID-19.</w:t>
      </w:r>
    </w:p>
    <w:p>
      <w:pPr>
        <w:pStyle w:val="ManualHeading3"/>
        <w:rPr>
          <w:noProof/>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Когато преди десет години Съюзът беше изправен пред сериозна финансова криза, правното основание, предвидено в член 122 от Договора за функционирането на Европейския съюз (ДФЕС), доказа своята добавена стойност при мобилизирането в краткосрочен план на финансова помощ от Съюза за държавите членки, изправена пред трудности, причинени от извънредно събитие извън техния контрол. Въз основа на това правно основание Съюзът прие Регламент (ЕС) № 407/2010 на Съвета от 11 май 2010 г. за създаване на Европейски механизъм за финансово стабилизиране (ЕМФС). С този инструмент бе предоставена финансова помощ от Съюза на Португалия, Ирландия и мостово финансиране за Гърция посредством обвързани заеми (back-to-back). Правното основание и способите обаче не са ограничени само до събития, свързани с финансовата криза, а обхващат всяко извънредно обстоятелство, което излиза извън контрола на държавите членки, и следователно това правно основание би могло да се използва и в тази конкретна кризисна ситуация, причинена от избухналата зараза с COVID-19. </w:t>
      </w:r>
    </w:p>
    <w:p>
      <w:pPr>
        <w:pStyle w:val="ManualHeading3"/>
        <w:rPr>
          <w:noProof/>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Предложеният инструмент SURE допълва „Инвестиционнта инициатива в отговор на коронавируса“, предложеното разширяване на обхвата на фонд „Солидарност“ на Европейския съюз и други инструменти, които подпомагат заетостта като Европейския социален фонд и Invest EU.</w:t>
      </w:r>
    </w:p>
    <w:p>
      <w:pPr>
        <w:pStyle w:val="ManualHeading2"/>
        <w:rPr>
          <w:noProof/>
        </w:rPr>
      </w:pPr>
      <w:r>
        <w:rPr>
          <w:noProof/>
        </w:rPr>
        <w:br w:type="page"/>
      </w:r>
      <w:r>
        <w:t>1.6.</w:t>
      </w:r>
      <w:r>
        <w:tab/>
      </w:r>
      <w:r>
        <w:rPr>
          <w:noProof/>
        </w:rPr>
        <w:t xml:space="preserve">Срок на действие и финансово отражение </w:t>
      </w:r>
    </w:p>
    <w:p>
      <w:pPr>
        <w:pStyle w:val="Text1"/>
        <w:rPr>
          <w:noProof/>
        </w:rPr>
      </w:pPr>
      <w:r>
        <w:rPr>
          <w:b/>
          <w:noProof/>
        </w:rPr>
        <w:t>X</w:t>
      </w:r>
      <w:r>
        <w:rPr>
          <w:b/>
          <w:i/>
          <w:noProof/>
        </w:rPr>
        <w:t xml:space="preserve"> </w:t>
      </w:r>
      <w:r>
        <w:rPr>
          <w:noProof/>
        </w:rPr>
        <w:tab/>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noProof/>
        </w:rPr>
      </w:pPr>
      <w:r>
        <w:t>1.7.</w:t>
      </w:r>
      <w:r>
        <w:tab/>
      </w:r>
      <w:r>
        <w:rPr>
          <w:noProof/>
        </w:rPr>
        <w:t>Планирани методи на управление</w:t>
      </w:r>
      <w:r>
        <w:rPr>
          <w:rStyle w:val="FootnoteReference"/>
          <w:noProof/>
        </w:rPr>
        <w:footnoteReference w:id="8"/>
      </w:r>
      <w:r>
        <w:rPr>
          <w:rStyle w:val="FootnoteReference"/>
          <w:noProof/>
        </w:rPr>
        <w:t xml:space="preserve"> </w:t>
      </w:r>
    </w:p>
    <w:p>
      <w:pPr>
        <w:pStyle w:val="Text1"/>
        <w:rPr>
          <w:noProof/>
        </w:rPr>
      </w:pPr>
      <w:r>
        <w:rPr>
          <w:b/>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ab/>
        <w:t>ЕИБ и Европейския инвестиционен фонд;</w:t>
      </w:r>
    </w:p>
    <w:p>
      <w:pPr>
        <w:pStyle w:val="ListDash2"/>
        <w:rPr>
          <w:noProof/>
        </w:rPr>
      </w:pPr>
      <w:r>
        <w:rPr>
          <w:noProof/>
        </w:rPr>
        <w:sym w:font="Wingdings" w:char="F0A8"/>
      </w:r>
      <w:r>
        <w:rPr>
          <w:noProof/>
        </w:rPr>
        <w:tab/>
        <w:t>органите, посочени в членове 208 и 209 от Регламент (ЕС, Евратом) 1046/2018;</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 xml:space="preserve">Предложеният регламент се основава на член 122 от ДФЕС. Следователно той може да има само временен характер. При сегашните извънредни обстоятелства обаче, възникнали от избухналата зараза с COVID-19, е невъзможно да се посочи колко време ще трае тази ситуация и нейното икономическо въздействие върху работещите в държавите членки. </w:t>
      </w:r>
    </w:p>
    <w:p>
      <w:pPr>
        <w:pBdr>
          <w:top w:val="single" w:sz="4" w:space="1" w:color="auto"/>
          <w:left w:val="single" w:sz="4" w:space="4" w:color="auto"/>
          <w:bottom w:val="single" w:sz="4" w:space="1" w:color="auto"/>
          <w:right w:val="single" w:sz="4" w:space="4" w:color="auto"/>
        </w:pBdr>
        <w:rPr>
          <w:noProof/>
          <w:color w:val="0000F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 предложения регламент се предвижда клауза за докладване (член 14). Една година след влизането в сила на настоящия регламент и, когато това е целесъобразно — ежегодно след това, Комисията следва да предостави на Икономическия и финансов комитет, на Комитета по заетостта и на Съвета доклад за използването на финансовата помощ и за продължаването на извънредните обстоятелства, обосноваващи приемането и прилагането на настоящия регламент.</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С предложения регламент се определят пруденциални правила за управление на рисковете, свързани с кредитния портфейл (член 6 и 9).</w:t>
      </w:r>
    </w:p>
    <w:p>
      <w:pPr>
        <w:pStyle w:val="ManualHeading3"/>
        <w:rPr>
          <w:bCs/>
          <w:noProof/>
          <w:szCs w:val="24"/>
        </w:rPr>
      </w:pPr>
      <w:r>
        <w:t>2.2.2.</w:t>
      </w:r>
      <w:r>
        <w:tab/>
      </w:r>
      <w:r>
        <w:rPr>
          <w:noProof/>
        </w:rPr>
        <w:t>Информация за структурата на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предотвратяване и защита.</w:t>
      </w:r>
    </w:p>
    <w:p>
      <w:pPr>
        <w:pStyle w:val="Text1"/>
        <w:pBdr>
          <w:top w:val="single" w:sz="4" w:space="1" w:color="auto"/>
          <w:left w:val="single" w:sz="4" w:space="4" w:color="auto"/>
          <w:bottom w:val="single" w:sz="4" w:space="1" w:color="auto"/>
          <w:right w:val="single" w:sz="4" w:space="4" w:color="auto"/>
        </w:pBdr>
        <w:ind w:left="0"/>
        <w:rPr>
          <w:rFonts w:eastAsia="Times New Roman"/>
          <w:iCs/>
          <w:noProof/>
          <w:szCs w:val="24"/>
        </w:rPr>
      </w:pPr>
      <w:r>
        <w:rPr>
          <w:noProof/>
        </w:rPr>
        <w:t>В предложения регламент се определят правилата за контрол и одит (член 13). Комисията гарантира, че необходимите разпоредби относно проверките и одитите са предвидени в споразумението, сключено с държавата членка бенефициер, за целите на изпълнението на финансовата помощ от Съюза, предоставена по инструмента SURE. Прилагат се разпоредбите на член 220 от Финансовия регламент.</w:t>
      </w:r>
    </w:p>
    <w:p>
      <w:pPr>
        <w:pStyle w:val="Text1"/>
        <w:pBdr>
          <w:top w:val="single" w:sz="4" w:space="1" w:color="auto"/>
          <w:left w:val="single" w:sz="4" w:space="4" w:color="auto"/>
          <w:bottom w:val="single" w:sz="4" w:space="1" w:color="auto"/>
          <w:right w:val="single" w:sz="4" w:space="4" w:color="auto"/>
        </w:pBdr>
        <w:ind w:left="0"/>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rPr>
          <w:jc w:val="center"/>
        </w:trP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разход</w:t>
            </w:r>
          </w:p>
        </w:tc>
        <w:tc>
          <w:tcPr>
            <w:tcW w:w="4440" w:type="dxa"/>
            <w:gridSpan w:val="4"/>
            <w:vAlign w:val="center"/>
          </w:tcPr>
          <w:p>
            <w:pPr>
              <w:spacing w:before="60" w:after="60"/>
              <w:jc w:val="center"/>
              <w:rPr>
                <w:noProof/>
                <w:sz w:val="22"/>
              </w:rPr>
            </w:pPr>
            <w:r>
              <w:rPr>
                <w:noProof/>
                <w:sz w:val="20"/>
              </w:rPr>
              <w:t xml:space="preserve">Финансов принос </w:t>
            </w:r>
          </w:p>
        </w:tc>
      </w:tr>
      <w:tr>
        <w:trPr>
          <w:jc w:val="center"/>
        </w:trP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rStyle w:val="Marker12"/>
                <w:noProof/>
              </w:rPr>
              <w:t>[…]</w:t>
            </w:r>
            <w:r>
              <w:rPr>
                <w:noProof/>
                <w:sz w:val="20"/>
              </w:rPr>
              <w:t>[Функция………………………...……………]</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9"/>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w:t>
            </w:r>
            <w:r>
              <w:rPr>
                <w:noProof/>
                <w:sz w:val="16"/>
                <w:szCs w:val="16"/>
              </w:rPr>
              <w:t>Регламент (ЕС, Евратом) 1046/2018</w:t>
            </w:r>
            <w:r>
              <w:rPr>
                <w:noProof/>
                <w:sz w:val="16"/>
              </w:rPr>
              <w:t>.</w:t>
            </w:r>
            <w:r>
              <w:rPr>
                <w:noProof/>
                <w:sz w:val="16"/>
                <w:szCs w:val="16"/>
              </w:rPr>
              <w:t xml:space="preserve"> </w:t>
            </w:r>
          </w:p>
        </w:tc>
      </w:tr>
      <w:tr>
        <w:trPr>
          <w:jc w:val="center"/>
        </w:trPr>
        <w:tc>
          <w:tcPr>
            <w:tcW w:w="1080" w:type="dxa"/>
            <w:vAlign w:val="center"/>
          </w:tcPr>
          <w:p>
            <w:pPr>
              <w:jc w:val="center"/>
              <w:rPr>
                <w:noProof/>
                <w:color w:val="0000FF"/>
                <w:sz w:val="22"/>
              </w:rPr>
            </w:pPr>
          </w:p>
        </w:tc>
        <w:tc>
          <w:tcPr>
            <w:tcW w:w="3960" w:type="dxa"/>
            <w:vAlign w:val="center"/>
          </w:tcPr>
          <w:p>
            <w:pPr>
              <w:spacing w:before="60"/>
              <w:rPr>
                <w:noProof/>
                <w:sz w:val="22"/>
              </w:rPr>
            </w:pPr>
            <w:r>
              <w:rPr>
                <w:rStyle w:val="Marker12"/>
                <w:noProof/>
              </w:rPr>
              <w:t>[…]</w:t>
            </w:r>
            <w:r>
              <w:rPr>
                <w:noProof/>
                <w:sz w:val="22"/>
              </w:rPr>
              <w:t>[XX.ГГ.ГГ.ГГ]</w:t>
            </w:r>
          </w:p>
          <w:p>
            <w:pPr>
              <w:spacing w:after="60"/>
              <w:rPr>
                <w:noProof/>
                <w:sz w:val="22"/>
              </w:rPr>
            </w:pPr>
          </w:p>
        </w:tc>
        <w:tc>
          <w:tcPr>
            <w:tcW w:w="1080" w:type="dxa"/>
            <w:vAlign w:val="center"/>
          </w:tcPr>
          <w:p>
            <w:pPr>
              <w:jc w:val="center"/>
              <w:rPr>
                <w:noProof/>
                <w:color w:val="0000FF"/>
                <w:sz w:val="22"/>
              </w:rPr>
            </w:pPr>
            <w:r>
              <w:rPr>
                <w:noProof/>
                <w:sz w:val="22"/>
              </w:rPr>
              <w:t>Многогод./едногод.</w:t>
            </w:r>
          </w:p>
        </w:tc>
        <w:tc>
          <w:tcPr>
            <w:tcW w:w="956" w:type="dxa"/>
            <w:vAlign w:val="center"/>
          </w:tcPr>
          <w:p>
            <w:pPr>
              <w:jc w:val="center"/>
              <w:rPr>
                <w:noProof/>
                <w:sz w:val="22"/>
              </w:rPr>
            </w:pPr>
            <w:r>
              <w:rPr>
                <w:noProof/>
                <w:sz w:val="22"/>
              </w:rPr>
              <w:t>ДА/НЕ</w:t>
            </w:r>
          </w:p>
        </w:tc>
        <w:tc>
          <w:tcPr>
            <w:tcW w:w="1080" w:type="dxa"/>
            <w:vAlign w:val="center"/>
          </w:tcPr>
          <w:p>
            <w:pPr>
              <w:jc w:val="center"/>
              <w:rPr>
                <w:noProof/>
                <w:sz w:val="22"/>
              </w:rPr>
            </w:pPr>
            <w:r>
              <w:rPr>
                <w:noProof/>
                <w:sz w:val="22"/>
              </w:rPr>
              <w:t>ДА/НЕ</w:t>
            </w:r>
          </w:p>
        </w:tc>
        <w:tc>
          <w:tcPr>
            <w:tcW w:w="956" w:type="dxa"/>
            <w:vAlign w:val="center"/>
          </w:tcPr>
          <w:p>
            <w:pPr>
              <w:jc w:val="center"/>
              <w:rPr>
                <w:noProof/>
                <w:sz w:val="22"/>
              </w:rPr>
            </w:pPr>
            <w:r>
              <w:rPr>
                <w:noProof/>
                <w:sz w:val="22"/>
              </w:rPr>
              <w:t>ДА/НЕ</w:t>
            </w:r>
          </w:p>
        </w:tc>
        <w:tc>
          <w:tcPr>
            <w:tcW w:w="1448" w:type="dxa"/>
            <w:vAlign w:val="center"/>
          </w:tcPr>
          <w:p>
            <w:pPr>
              <w:jc w:val="center"/>
              <w:rPr>
                <w:noProof/>
                <w:sz w:val="22"/>
              </w:rPr>
            </w:pPr>
            <w:r>
              <w:rPr>
                <w:noProof/>
                <w:sz w:val="22"/>
              </w:rPr>
              <w:t>ДА/НЕ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rPr>
          <w:jc w:val="center"/>
        </w:trP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Type of</w:t>
            </w:r>
            <w:r>
              <w:rPr>
                <w:noProof/>
                <w:sz w:val="22"/>
              </w:rPr>
              <w:br/>
            </w:r>
            <w:r>
              <w:rPr>
                <w:noProof/>
                <w:sz w:val="18"/>
              </w:rPr>
              <w:t>разход</w:t>
            </w:r>
          </w:p>
        </w:tc>
        <w:tc>
          <w:tcPr>
            <w:tcW w:w="4440" w:type="dxa"/>
            <w:gridSpan w:val="4"/>
            <w:vAlign w:val="center"/>
          </w:tcPr>
          <w:p>
            <w:pPr>
              <w:spacing w:before="60" w:after="60"/>
              <w:jc w:val="center"/>
              <w:rPr>
                <w:noProof/>
                <w:sz w:val="22"/>
              </w:rPr>
            </w:pPr>
            <w:r>
              <w:rPr>
                <w:noProof/>
                <w:sz w:val="20"/>
              </w:rPr>
              <w:t xml:space="preserve">Финансов принос </w:t>
            </w:r>
          </w:p>
        </w:tc>
      </w:tr>
      <w:tr>
        <w:trPr>
          <w:jc w:val="center"/>
        </w:trP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rStyle w:val="Marker12"/>
                <w:noProof/>
              </w:rPr>
              <w:t>[…]</w:t>
            </w:r>
            <w:r>
              <w:rPr>
                <w:noProof/>
                <w:sz w:val="20"/>
              </w:rPr>
              <w:t>[Функция………………………………………]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w:t>
            </w:r>
            <w:r>
              <w:rPr>
                <w:noProof/>
                <w:sz w:val="16"/>
                <w:szCs w:val="16"/>
              </w:rPr>
              <w:t>Регламент (ЕС, Евратом) 1046/2018</w:t>
            </w:r>
            <w:r>
              <w:rPr>
                <w:noProof/>
                <w:sz w:val="16"/>
              </w:rPr>
              <w:t xml:space="preserve">. </w:t>
            </w:r>
          </w:p>
        </w:tc>
      </w:tr>
      <w:tr>
        <w:trPr>
          <w:jc w:val="center"/>
        </w:trPr>
        <w:tc>
          <w:tcPr>
            <w:tcW w:w="1080" w:type="dxa"/>
            <w:vAlign w:val="center"/>
          </w:tcPr>
          <w:p>
            <w:pPr>
              <w:jc w:val="center"/>
              <w:rPr>
                <w:noProof/>
                <w:color w:val="0000FF"/>
                <w:sz w:val="22"/>
              </w:rPr>
            </w:pPr>
          </w:p>
        </w:tc>
        <w:tc>
          <w:tcPr>
            <w:tcW w:w="3960" w:type="dxa"/>
            <w:vAlign w:val="center"/>
          </w:tcPr>
          <w:p>
            <w:pPr>
              <w:spacing w:before="60"/>
              <w:rPr>
                <w:noProof/>
                <w:sz w:val="22"/>
              </w:rPr>
            </w:pPr>
            <w:r>
              <w:rPr>
                <w:rStyle w:val="Marker12"/>
                <w:noProof/>
              </w:rPr>
              <w:t>[…]</w:t>
            </w:r>
            <w:r>
              <w:rPr>
                <w:noProof/>
                <w:sz w:val="22"/>
              </w:rPr>
              <w:t>[XX.ГГ.ГГ.ГГ]</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Очаквано отражение върху разходите </w:t>
      </w:r>
    </w:p>
    <w:p>
      <w:pPr>
        <w:pStyle w:val="Text1"/>
        <w:rPr>
          <w:noProof/>
        </w:rPr>
      </w:pPr>
      <w:r>
        <w:rPr>
          <w:noProof/>
          <w:highlight w:val="lightGray"/>
        </w:rPr>
        <w:t>[Тази част следва да бъде попълнена, като се използва</w:t>
      </w:r>
      <w:r>
        <w:rPr>
          <w:noProof/>
        </w:rPr>
        <w:t xml:space="preserve"> </w:t>
      </w:r>
      <w:hyperlink r:id="rId17" w:history="1">
        <w:r>
          <w:rPr>
            <w:rStyle w:val="Hyperlink"/>
            <w:b/>
            <w:noProof/>
            <w:highlight w:val="lightGray"/>
          </w:rPr>
          <w:t>таблицата за бюджетни данни от административно естество</w:t>
        </w:r>
      </w:hyperlink>
      <w:r>
        <w:rPr>
          <w:noProof/>
        </w:rPr>
        <w:t xml:space="preserve"> </w:t>
      </w:r>
      <w:r>
        <w:rPr>
          <w:noProof/>
          <w:highlight w:val="lightGray"/>
        </w:rPr>
        <w:t>(вторият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rStyle w:val="Marker21"/>
                <w:noProof/>
                <w:sz w:val="22"/>
              </w:rPr>
              <w:t>В съответствие с член 2, параграф 3 от предложението за</w:t>
            </w:r>
            <w:r>
              <w:rPr>
                <w:noProof/>
                <w:sz w:val="22"/>
              </w:rPr>
              <w:t xml:space="preserve"> </w:t>
            </w:r>
            <w:r>
              <w:rPr>
                <w:noProof/>
                <w:color w:val="444444"/>
                <w:sz w:val="22"/>
              </w:rPr>
              <w:t>РЕГЛАМЕНТ НА СЪВЕТА за определяне на многогодишната финансова рамка за годините 2021—2027</w:t>
            </w:r>
            <w:r>
              <w:rPr>
                <w:rStyle w:val="FootnoteReference"/>
                <w:noProof/>
                <w:color w:val="444444"/>
                <w:sz w:val="22"/>
              </w:rPr>
              <w:footnoteReference w:id="12"/>
            </w:r>
            <w:r>
              <w:rPr>
                <w:noProof/>
                <w:color w:val="444444"/>
                <w:sz w:val="22"/>
              </w:rPr>
              <w:t xml:space="preserve">, </w:t>
            </w:r>
            <w:r>
              <w:rPr>
                <w:noProof/>
                <w:color w:val="444444"/>
                <w:sz w:val="22"/>
                <w:shd w:val="clear" w:color="auto" w:fill="FFFFFF"/>
              </w:rPr>
              <w:t>необходимите суми се мобилизират над таваните, определени в МФР</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ГД: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14"/>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&lt;…….&gt;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ФУНКЦИЯ &lt;….&gt;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ОБЩО ГД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oбщо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15"/>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noProof/>
        </w:rPr>
      </w:pPr>
      <w:r>
        <w:t>3.2.2.</w:t>
      </w:r>
      <w:r>
        <w:tab/>
      </w:r>
      <w:r>
        <w:rPr>
          <w:noProof/>
        </w:rPr>
        <w:t xml:space="preserve">Очаквано отражение върху бюджетните кредити за оперативни разходи </w:t>
      </w:r>
    </w:p>
    <w:p>
      <w:pPr>
        <w:pStyle w:val="ListDash1"/>
        <w:rPr>
          <w:noProof/>
        </w:rPr>
      </w:pPr>
      <w:r>
        <w:rPr>
          <w:b/>
          <w:noProof/>
        </w:rPr>
        <w:t>X</w:t>
      </w:r>
      <w:r>
        <w:rPr>
          <w:noProof/>
        </w:rPr>
        <w:sym w:font="Wingdings" w:char="F0A8"/>
      </w:r>
      <w:r>
        <w:rPr>
          <w:noProof/>
        </w:rPr>
        <w:tab/>
        <w:t xml:space="preserve">Предложението/инициативата не води до използване на бюджетни кредити за оперативни разходи </w:t>
      </w:r>
    </w:p>
    <w:p>
      <w:pPr>
        <w:pStyle w:val="ListDash1"/>
        <w:rPr>
          <w:noProof/>
          <w:spacing w:val="-4"/>
        </w:rPr>
      </w:pPr>
      <w:r>
        <w:rPr>
          <w:noProof/>
          <w:spacing w:val="-4"/>
        </w:rPr>
        <w:sym w:font="Wingdings" w:char="F0A8"/>
      </w:r>
      <w:r>
        <w:rPr>
          <w:noProof/>
          <w:spacing w:val="-4"/>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spacing w:line="200" w:lineRule="exact"/>
              <w:ind w:right="-29"/>
              <w:jc w:val="center"/>
              <w:rPr>
                <w:b/>
                <w:noProof/>
                <w:sz w:val="18"/>
                <w:szCs w:val="18"/>
              </w:rPr>
            </w:pPr>
            <w:r>
              <w:rPr>
                <w:b/>
                <w:noProof/>
                <w:sz w:val="18"/>
              </w:rPr>
              <w:t xml:space="preserve">Да се посочат целите и резултатите </w:t>
            </w:r>
          </w:p>
          <w:p>
            <w:pPr>
              <w:spacing w:line="200" w:lineRule="exact"/>
              <w:ind w:right="-29"/>
              <w:jc w:val="center"/>
              <w:rPr>
                <w:b/>
                <w:noProof/>
                <w:sz w:val="18"/>
                <w:szCs w:val="18"/>
              </w:rPr>
            </w:pPr>
          </w:p>
          <w:p>
            <w:pPr>
              <w:spacing w:line="200" w:lineRule="exact"/>
              <w:ind w:right="-29"/>
              <w:jc w:val="center"/>
              <w:rPr>
                <w:noProof/>
                <w:sz w:val="18"/>
                <w:szCs w:val="18"/>
              </w:rPr>
            </w:pPr>
            <w:r>
              <w:rPr>
                <w:noProof/>
                <w:sz w:val="18"/>
              </w:rPr>
              <w:sym w:font="Wingdings" w:char="F0F2"/>
            </w:r>
          </w:p>
        </w:tc>
        <w:tc>
          <w:tcPr>
            <w:tcW w:w="720" w:type="dxa"/>
            <w:vAlign w:val="center"/>
          </w:tcPr>
          <w:p>
            <w:pPr>
              <w:spacing w:line="200" w:lineRule="exact"/>
              <w:ind w:right="-29"/>
              <w:jc w:val="center"/>
              <w:rPr>
                <w:noProof/>
                <w:sz w:val="18"/>
                <w:szCs w:val="18"/>
              </w:rPr>
            </w:pPr>
          </w:p>
        </w:tc>
        <w:tc>
          <w:tcPr>
            <w:tcW w:w="701" w:type="dxa"/>
            <w:vAlign w:val="center"/>
          </w:tcPr>
          <w:p>
            <w:pPr>
              <w:spacing w:line="200" w:lineRule="exact"/>
              <w:ind w:right="-29"/>
              <w:jc w:val="center"/>
              <w:rPr>
                <w:noProof/>
                <w:sz w:val="18"/>
                <w:szCs w:val="18"/>
              </w:rPr>
            </w:pPr>
          </w:p>
        </w:tc>
        <w:tc>
          <w:tcPr>
            <w:tcW w:w="1224" w:type="dxa"/>
            <w:gridSpan w:val="2"/>
            <w:tcBorders>
              <w:left w:val="nil"/>
            </w:tcBorders>
            <w:vAlign w:val="center"/>
          </w:tcPr>
          <w:p>
            <w:pPr>
              <w:spacing w:line="200" w:lineRule="exact"/>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spacing w:line="200" w:lineRule="exact"/>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spacing w:line="200" w:lineRule="exact"/>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spacing w:line="200" w:lineRule="exact"/>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spacing w:line="200" w:lineRule="exact"/>
              <w:jc w:val="center"/>
              <w:rPr>
                <w:noProof/>
                <w:sz w:val="18"/>
                <w:szCs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spacing w:line="200" w:lineRule="exact"/>
              <w:ind w:right="-29"/>
              <w:jc w:val="center"/>
              <w:rPr>
                <w:noProof/>
                <w:sz w:val="18"/>
                <w:szCs w:val="18"/>
              </w:rPr>
            </w:pPr>
            <w:r>
              <w:rPr>
                <w:b/>
                <w:noProof/>
                <w:sz w:val="18"/>
              </w:rPr>
              <w:t>ОБЩО</w:t>
            </w:r>
          </w:p>
        </w:tc>
      </w:tr>
      <w:tr>
        <w:trPr>
          <w:jc w:val="center"/>
        </w:trPr>
        <w:tc>
          <w:tcPr>
            <w:tcW w:w="1423" w:type="dxa"/>
            <w:vMerge/>
            <w:vAlign w:val="center"/>
          </w:tcPr>
          <w:p>
            <w:pPr>
              <w:spacing w:line="200" w:lineRule="exact"/>
              <w:ind w:right="-29"/>
              <w:jc w:val="center"/>
              <w:rPr>
                <w:noProof/>
                <w:sz w:val="18"/>
                <w:szCs w:val="18"/>
              </w:rPr>
            </w:pPr>
          </w:p>
        </w:tc>
        <w:tc>
          <w:tcPr>
            <w:tcW w:w="12185" w:type="dxa"/>
            <w:gridSpan w:val="19"/>
            <w:vAlign w:val="center"/>
          </w:tcPr>
          <w:p>
            <w:pPr>
              <w:spacing w:before="60" w:after="60" w:line="200" w:lineRule="exact"/>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spacing w:line="200" w:lineRule="exact"/>
              <w:rPr>
                <w:noProof/>
                <w:sz w:val="18"/>
                <w:szCs w:val="18"/>
              </w:rPr>
            </w:pPr>
          </w:p>
        </w:tc>
        <w:tc>
          <w:tcPr>
            <w:tcW w:w="720" w:type="dxa"/>
            <w:vAlign w:val="center"/>
          </w:tcPr>
          <w:p>
            <w:pPr>
              <w:spacing w:line="200" w:lineRule="exact"/>
              <w:jc w:val="center"/>
              <w:rPr>
                <w:noProof/>
                <w:sz w:val="18"/>
                <w:szCs w:val="18"/>
              </w:rPr>
            </w:pPr>
            <w:r>
              <w:rPr>
                <w:noProof/>
                <w:sz w:val="18"/>
              </w:rPr>
              <w:t>Вид</w:t>
            </w:r>
            <w:r>
              <w:rPr>
                <w:rStyle w:val="FootnoteReference"/>
                <w:noProof/>
                <w:sz w:val="18"/>
              </w:rPr>
              <w:footnoteReference w:id="16"/>
            </w:r>
          </w:p>
          <w:p>
            <w:pPr>
              <w:spacing w:before="0" w:after="0" w:line="200" w:lineRule="exact"/>
              <w:jc w:val="center"/>
              <w:rPr>
                <w:noProof/>
                <w:sz w:val="18"/>
                <w:szCs w:val="18"/>
              </w:rPr>
            </w:pPr>
          </w:p>
        </w:tc>
        <w:tc>
          <w:tcPr>
            <w:tcW w:w="701" w:type="dxa"/>
            <w:vAlign w:val="center"/>
          </w:tcPr>
          <w:p>
            <w:pPr>
              <w:spacing w:line="200" w:lineRule="exact"/>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spacing w:line="200" w:lineRule="exac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spacing w:line="200" w:lineRule="exact"/>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spacing w:line="200" w:lineRule="exact"/>
              <w:jc w:val="center"/>
              <w:rPr>
                <w:noProof/>
                <w:sz w:val="18"/>
                <w:szCs w:val="18"/>
              </w:rPr>
            </w:pPr>
            <w:r>
              <w:rPr>
                <w:noProof/>
                <w:sz w:val="18"/>
              </w:rPr>
              <w:t>Общо разходи</w:t>
            </w:r>
          </w:p>
        </w:tc>
      </w:tr>
      <w:tr>
        <w:trPr>
          <w:jc w:val="center"/>
        </w:trPr>
        <w:tc>
          <w:tcPr>
            <w:tcW w:w="2844" w:type="dxa"/>
            <w:gridSpan w:val="3"/>
            <w:vAlign w:val="center"/>
          </w:tcPr>
          <w:p>
            <w:pPr>
              <w:spacing w:before="60" w:after="60" w:line="200" w:lineRule="exact"/>
              <w:ind w:right="-29"/>
              <w:jc w:val="center"/>
              <w:rPr>
                <w:noProof/>
                <w:sz w:val="18"/>
                <w:szCs w:val="18"/>
              </w:rPr>
            </w:pPr>
            <w:r>
              <w:rPr>
                <w:noProof/>
                <w:sz w:val="18"/>
              </w:rPr>
              <w:t>КОНКРЕТНА ЦЕЛ №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900" w:type="dxa"/>
            <w:tcBorders>
              <w:top w:val="nil"/>
              <w:left w:val="nil"/>
              <w:bottom w:val="nil"/>
              <w:right w:val="nil"/>
            </w:tcBorders>
          </w:tcPr>
          <w:p>
            <w:pPr>
              <w:spacing w:before="60" w:after="60" w:line="200" w:lineRule="exact"/>
              <w:ind w:right="-29"/>
              <w:jc w:val="center"/>
              <w:rPr>
                <w:noProof/>
                <w:sz w:val="18"/>
                <w:szCs w:val="18"/>
              </w:rPr>
            </w:pPr>
          </w:p>
        </w:tc>
        <w:tc>
          <w:tcPr>
            <w:tcW w:w="720" w:type="dxa"/>
            <w:gridSpan w:val="2"/>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648" w:type="dxa"/>
            <w:tcBorders>
              <w:top w:val="nil"/>
              <w:left w:val="nil"/>
              <w:bottom w:val="nil"/>
              <w:right w:val="nil"/>
            </w:tcBorders>
          </w:tcPr>
          <w:p>
            <w:pPr>
              <w:spacing w:before="60" w:after="60" w:line="200" w:lineRule="exact"/>
              <w:ind w:right="-29"/>
              <w:jc w:val="center"/>
              <w:rPr>
                <w:noProof/>
                <w:sz w:val="18"/>
                <w:szCs w:val="18"/>
              </w:rPr>
            </w:pPr>
          </w:p>
        </w:tc>
        <w:tc>
          <w:tcPr>
            <w:tcW w:w="432"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900" w:type="dxa"/>
            <w:tcBorders>
              <w:top w:val="nil"/>
              <w:left w:val="nil"/>
              <w:bottom w:val="nil"/>
              <w:right w:val="nil"/>
            </w:tcBorders>
          </w:tcPr>
          <w:p>
            <w:pPr>
              <w:spacing w:before="60" w:after="60" w:line="200" w:lineRule="exact"/>
              <w:ind w:right="-29"/>
              <w:jc w:val="center"/>
              <w:rPr>
                <w:noProof/>
                <w:sz w:val="18"/>
                <w:szCs w:val="18"/>
              </w:rPr>
            </w:pPr>
          </w:p>
        </w:tc>
      </w:tr>
      <w:tr>
        <w:trPr>
          <w:trHeight w:hRule="exact" w:val="369"/>
          <w:jc w:val="center"/>
        </w:trPr>
        <w:tc>
          <w:tcPr>
            <w:tcW w:w="1423" w:type="dxa"/>
          </w:tcPr>
          <w:p>
            <w:pPr>
              <w:spacing w:line="200" w:lineRule="exact"/>
              <w:ind w:right="-29"/>
              <w:jc w:val="center"/>
              <w:rPr>
                <w:noProof/>
                <w:sz w:val="18"/>
                <w:szCs w:val="18"/>
              </w:rPr>
            </w:pPr>
            <w:r>
              <w:rPr>
                <w:noProof/>
                <w:sz w:val="18"/>
              </w:rPr>
              <w:t>- Резултат</w:t>
            </w:r>
          </w:p>
        </w:tc>
        <w:tc>
          <w:tcPr>
            <w:tcW w:w="720" w:type="dxa"/>
          </w:tcPr>
          <w:p>
            <w:pPr>
              <w:spacing w:line="200" w:lineRule="exact"/>
              <w:ind w:right="-29"/>
              <w:jc w:val="center"/>
              <w:rPr>
                <w:noProof/>
                <w:sz w:val="18"/>
                <w:szCs w:val="18"/>
              </w:rPr>
            </w:pPr>
          </w:p>
        </w:tc>
        <w:tc>
          <w:tcPr>
            <w:tcW w:w="701" w:type="dxa"/>
          </w:tcPr>
          <w:p>
            <w:pPr>
              <w:spacing w:line="200" w:lineRule="exact"/>
              <w:ind w:right="-29"/>
              <w:jc w:val="center"/>
              <w:rPr>
                <w:noProof/>
                <w:sz w:val="18"/>
                <w:szCs w:val="18"/>
              </w:rPr>
            </w:pPr>
          </w:p>
        </w:tc>
        <w:tc>
          <w:tcPr>
            <w:tcW w:w="504"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72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900" w:type="dxa"/>
            <w:tcBorders>
              <w:right w:val="dashSmallGap" w:sz="4" w:space="0" w:color="auto"/>
            </w:tcBorders>
          </w:tcPr>
          <w:p>
            <w:pPr>
              <w:spacing w:line="200" w:lineRule="exact"/>
              <w:ind w:right="-29"/>
              <w:jc w:val="center"/>
              <w:rPr>
                <w:noProof/>
                <w:sz w:val="18"/>
                <w:szCs w:val="18"/>
              </w:rPr>
            </w:pPr>
          </w:p>
        </w:tc>
        <w:tc>
          <w:tcPr>
            <w:tcW w:w="720" w:type="dxa"/>
            <w:gridSpan w:val="2"/>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648" w:type="dxa"/>
            <w:tcBorders>
              <w:left w:val="dashSmallGap" w:sz="4" w:space="0" w:color="auto"/>
            </w:tcBorders>
          </w:tcPr>
          <w:p>
            <w:pPr>
              <w:spacing w:line="200" w:lineRule="exact"/>
              <w:ind w:right="-29"/>
              <w:jc w:val="center"/>
              <w:rPr>
                <w:noProof/>
                <w:sz w:val="18"/>
                <w:szCs w:val="18"/>
              </w:rPr>
            </w:pPr>
          </w:p>
        </w:tc>
        <w:tc>
          <w:tcPr>
            <w:tcW w:w="432"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r>
      <w:tr>
        <w:trPr>
          <w:trHeight w:hRule="exact" w:val="369"/>
          <w:jc w:val="center"/>
        </w:trPr>
        <w:tc>
          <w:tcPr>
            <w:tcW w:w="1423" w:type="dxa"/>
          </w:tcPr>
          <w:p>
            <w:pPr>
              <w:spacing w:line="200" w:lineRule="exact"/>
              <w:ind w:right="-29"/>
              <w:jc w:val="center"/>
              <w:rPr>
                <w:noProof/>
                <w:sz w:val="18"/>
                <w:szCs w:val="18"/>
              </w:rPr>
            </w:pPr>
            <w:r>
              <w:rPr>
                <w:noProof/>
                <w:sz w:val="18"/>
              </w:rPr>
              <w:t>- Резултат</w:t>
            </w:r>
          </w:p>
        </w:tc>
        <w:tc>
          <w:tcPr>
            <w:tcW w:w="720" w:type="dxa"/>
          </w:tcPr>
          <w:p>
            <w:pPr>
              <w:spacing w:line="200" w:lineRule="exact"/>
              <w:ind w:right="-29"/>
              <w:jc w:val="center"/>
              <w:rPr>
                <w:noProof/>
                <w:sz w:val="18"/>
                <w:szCs w:val="18"/>
              </w:rPr>
            </w:pPr>
          </w:p>
        </w:tc>
        <w:tc>
          <w:tcPr>
            <w:tcW w:w="701" w:type="dxa"/>
          </w:tcPr>
          <w:p>
            <w:pPr>
              <w:spacing w:line="200" w:lineRule="exact"/>
              <w:ind w:right="-29"/>
              <w:jc w:val="center"/>
              <w:rPr>
                <w:noProof/>
                <w:sz w:val="18"/>
                <w:szCs w:val="18"/>
              </w:rPr>
            </w:pPr>
          </w:p>
        </w:tc>
        <w:tc>
          <w:tcPr>
            <w:tcW w:w="504"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72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900" w:type="dxa"/>
            <w:tcBorders>
              <w:right w:val="dashSmallGap" w:sz="4" w:space="0" w:color="auto"/>
            </w:tcBorders>
          </w:tcPr>
          <w:p>
            <w:pPr>
              <w:spacing w:line="200" w:lineRule="exact"/>
              <w:ind w:right="-29"/>
              <w:jc w:val="center"/>
              <w:rPr>
                <w:noProof/>
                <w:sz w:val="18"/>
                <w:szCs w:val="18"/>
              </w:rPr>
            </w:pPr>
          </w:p>
        </w:tc>
        <w:tc>
          <w:tcPr>
            <w:tcW w:w="720" w:type="dxa"/>
            <w:gridSpan w:val="2"/>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648" w:type="dxa"/>
            <w:tcBorders>
              <w:left w:val="dashSmallGap" w:sz="4" w:space="0" w:color="auto"/>
            </w:tcBorders>
          </w:tcPr>
          <w:p>
            <w:pPr>
              <w:spacing w:line="200" w:lineRule="exact"/>
              <w:ind w:right="-29"/>
              <w:jc w:val="center"/>
              <w:rPr>
                <w:noProof/>
                <w:sz w:val="18"/>
                <w:szCs w:val="18"/>
              </w:rPr>
            </w:pPr>
          </w:p>
        </w:tc>
        <w:tc>
          <w:tcPr>
            <w:tcW w:w="432"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540" w:type="dxa"/>
            <w:tcBorders>
              <w:right w:val="dashSmallGap" w:sz="4" w:space="0" w:color="auto"/>
            </w:tcBorders>
          </w:tcPr>
          <w:p>
            <w:pPr>
              <w:spacing w:line="200" w:lineRule="exact"/>
              <w:ind w:right="-29"/>
              <w:jc w:val="center"/>
              <w:rPr>
                <w:noProof/>
                <w:sz w:val="18"/>
                <w:szCs w:val="18"/>
              </w:rPr>
            </w:pPr>
          </w:p>
        </w:tc>
        <w:tc>
          <w:tcPr>
            <w:tcW w:w="720" w:type="dxa"/>
            <w:tcBorders>
              <w:left w:val="dashSmallGap" w:sz="4" w:space="0" w:color="auto"/>
            </w:tcBorders>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r>
      <w:tr>
        <w:trPr>
          <w:trHeight w:hRule="exact" w:val="369"/>
          <w:jc w:val="center"/>
        </w:trPr>
        <w:tc>
          <w:tcPr>
            <w:tcW w:w="1423" w:type="dxa"/>
          </w:tcPr>
          <w:p>
            <w:pPr>
              <w:spacing w:line="200" w:lineRule="exact"/>
              <w:ind w:right="-29"/>
              <w:jc w:val="center"/>
              <w:rPr>
                <w:noProof/>
                <w:sz w:val="18"/>
                <w:szCs w:val="18"/>
              </w:rPr>
            </w:pPr>
            <w:r>
              <w:rPr>
                <w:noProof/>
                <w:sz w:val="18"/>
              </w:rPr>
              <w:t>- Резултат</w:t>
            </w:r>
          </w:p>
        </w:tc>
        <w:tc>
          <w:tcPr>
            <w:tcW w:w="720" w:type="dxa"/>
          </w:tcPr>
          <w:p>
            <w:pPr>
              <w:spacing w:line="200" w:lineRule="exact"/>
              <w:ind w:right="-29"/>
              <w:jc w:val="center"/>
              <w:rPr>
                <w:noProof/>
                <w:sz w:val="18"/>
                <w:szCs w:val="18"/>
              </w:rPr>
            </w:pPr>
          </w:p>
        </w:tc>
        <w:tc>
          <w:tcPr>
            <w:tcW w:w="701" w:type="dxa"/>
          </w:tcPr>
          <w:p>
            <w:pPr>
              <w:spacing w:line="200" w:lineRule="exact"/>
              <w:ind w:right="-29"/>
              <w:jc w:val="center"/>
              <w:rPr>
                <w:noProof/>
                <w:sz w:val="18"/>
                <w:szCs w:val="18"/>
              </w:rPr>
            </w:pPr>
          </w:p>
        </w:tc>
        <w:tc>
          <w:tcPr>
            <w:tcW w:w="504"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c>
          <w:tcPr>
            <w:tcW w:w="720" w:type="dxa"/>
            <w:gridSpan w:val="2"/>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648" w:type="dxa"/>
          </w:tcPr>
          <w:p>
            <w:pPr>
              <w:spacing w:line="200" w:lineRule="exact"/>
              <w:ind w:right="-29"/>
              <w:jc w:val="center"/>
              <w:rPr>
                <w:noProof/>
                <w:sz w:val="18"/>
                <w:szCs w:val="18"/>
              </w:rPr>
            </w:pPr>
          </w:p>
        </w:tc>
        <w:tc>
          <w:tcPr>
            <w:tcW w:w="432"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r>
      <w:tr>
        <w:trPr>
          <w:jc w:val="center"/>
        </w:trPr>
        <w:tc>
          <w:tcPr>
            <w:tcW w:w="2844" w:type="dxa"/>
            <w:gridSpan w:val="3"/>
            <w:tcBorders>
              <w:bottom w:val="single" w:sz="12" w:space="0" w:color="auto"/>
            </w:tcBorders>
            <w:vAlign w:val="center"/>
          </w:tcPr>
          <w:p>
            <w:pPr>
              <w:spacing w:line="200" w:lineRule="exact"/>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900" w:type="dxa"/>
            <w:tcBorders>
              <w:bottom w:val="single" w:sz="12" w:space="0" w:color="auto"/>
            </w:tcBorders>
          </w:tcPr>
          <w:p>
            <w:pPr>
              <w:spacing w:line="200" w:lineRule="exact"/>
              <w:ind w:right="-29"/>
              <w:jc w:val="center"/>
              <w:rPr>
                <w:noProof/>
                <w:sz w:val="18"/>
                <w:szCs w:val="18"/>
              </w:rPr>
            </w:pPr>
          </w:p>
        </w:tc>
        <w:tc>
          <w:tcPr>
            <w:tcW w:w="720" w:type="dxa"/>
            <w:gridSpan w:val="2"/>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648" w:type="dxa"/>
            <w:tcBorders>
              <w:bottom w:val="single" w:sz="12" w:space="0" w:color="auto"/>
            </w:tcBorders>
          </w:tcPr>
          <w:p>
            <w:pPr>
              <w:spacing w:line="200" w:lineRule="exact"/>
              <w:ind w:right="-29"/>
              <w:jc w:val="center"/>
              <w:rPr>
                <w:noProof/>
                <w:sz w:val="18"/>
                <w:szCs w:val="18"/>
              </w:rPr>
            </w:pPr>
          </w:p>
        </w:tc>
        <w:tc>
          <w:tcPr>
            <w:tcW w:w="432"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900" w:type="dxa"/>
            <w:tcBorders>
              <w:bottom w:val="single" w:sz="12" w:space="0" w:color="auto"/>
            </w:tcBorders>
          </w:tcPr>
          <w:p>
            <w:pPr>
              <w:spacing w:line="200" w:lineRule="exact"/>
              <w:ind w:right="-29"/>
              <w:jc w:val="center"/>
              <w:rPr>
                <w:noProof/>
                <w:sz w:val="18"/>
                <w:szCs w:val="18"/>
              </w:rPr>
            </w:pPr>
          </w:p>
        </w:tc>
      </w:tr>
      <w:tr>
        <w:trPr>
          <w:jc w:val="center"/>
        </w:trPr>
        <w:tc>
          <w:tcPr>
            <w:tcW w:w="2844" w:type="dxa"/>
            <w:gridSpan w:val="3"/>
            <w:vAlign w:val="center"/>
          </w:tcPr>
          <w:p>
            <w:pPr>
              <w:spacing w:before="60" w:after="60" w:line="200" w:lineRule="exact"/>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900" w:type="dxa"/>
            <w:tcBorders>
              <w:top w:val="nil"/>
              <w:left w:val="nil"/>
              <w:bottom w:val="nil"/>
              <w:right w:val="nil"/>
            </w:tcBorders>
          </w:tcPr>
          <w:p>
            <w:pPr>
              <w:spacing w:before="60" w:after="60" w:line="200" w:lineRule="exact"/>
              <w:ind w:right="-29"/>
              <w:jc w:val="center"/>
              <w:rPr>
                <w:noProof/>
                <w:sz w:val="18"/>
                <w:szCs w:val="18"/>
              </w:rPr>
            </w:pPr>
          </w:p>
        </w:tc>
        <w:tc>
          <w:tcPr>
            <w:tcW w:w="720" w:type="dxa"/>
            <w:gridSpan w:val="2"/>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648" w:type="dxa"/>
            <w:tcBorders>
              <w:top w:val="nil"/>
              <w:left w:val="nil"/>
              <w:bottom w:val="nil"/>
              <w:right w:val="nil"/>
            </w:tcBorders>
          </w:tcPr>
          <w:p>
            <w:pPr>
              <w:spacing w:before="60" w:after="60" w:line="200" w:lineRule="exact"/>
              <w:ind w:right="-29"/>
              <w:jc w:val="center"/>
              <w:rPr>
                <w:noProof/>
                <w:sz w:val="18"/>
                <w:szCs w:val="18"/>
              </w:rPr>
            </w:pPr>
          </w:p>
        </w:tc>
        <w:tc>
          <w:tcPr>
            <w:tcW w:w="432"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54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720" w:type="dxa"/>
            <w:tcBorders>
              <w:top w:val="nil"/>
              <w:left w:val="nil"/>
              <w:bottom w:val="nil"/>
              <w:right w:val="nil"/>
            </w:tcBorders>
          </w:tcPr>
          <w:p>
            <w:pPr>
              <w:spacing w:before="60" w:after="60" w:line="200" w:lineRule="exact"/>
              <w:ind w:right="-29"/>
              <w:jc w:val="center"/>
              <w:rPr>
                <w:noProof/>
                <w:sz w:val="18"/>
                <w:szCs w:val="18"/>
              </w:rPr>
            </w:pPr>
          </w:p>
        </w:tc>
        <w:tc>
          <w:tcPr>
            <w:tcW w:w="900" w:type="dxa"/>
            <w:tcBorders>
              <w:top w:val="nil"/>
              <w:left w:val="nil"/>
              <w:bottom w:val="nil"/>
              <w:right w:val="nil"/>
            </w:tcBorders>
          </w:tcPr>
          <w:p>
            <w:pPr>
              <w:spacing w:before="60" w:after="60" w:line="200" w:lineRule="exact"/>
              <w:ind w:right="-29"/>
              <w:jc w:val="center"/>
              <w:rPr>
                <w:noProof/>
                <w:sz w:val="18"/>
                <w:szCs w:val="18"/>
              </w:rPr>
            </w:pPr>
          </w:p>
        </w:tc>
      </w:tr>
      <w:tr>
        <w:trPr>
          <w:trHeight w:hRule="exact" w:val="369"/>
          <w:jc w:val="center"/>
        </w:trPr>
        <w:tc>
          <w:tcPr>
            <w:tcW w:w="1423" w:type="dxa"/>
          </w:tcPr>
          <w:p>
            <w:pPr>
              <w:spacing w:line="200" w:lineRule="exact"/>
              <w:ind w:right="-29"/>
              <w:jc w:val="center"/>
              <w:rPr>
                <w:noProof/>
                <w:sz w:val="18"/>
                <w:szCs w:val="18"/>
              </w:rPr>
            </w:pPr>
            <w:r>
              <w:rPr>
                <w:noProof/>
                <w:sz w:val="18"/>
              </w:rPr>
              <w:t>- Резултат</w:t>
            </w:r>
          </w:p>
        </w:tc>
        <w:tc>
          <w:tcPr>
            <w:tcW w:w="720" w:type="dxa"/>
          </w:tcPr>
          <w:p>
            <w:pPr>
              <w:spacing w:line="200" w:lineRule="exact"/>
              <w:ind w:right="-29"/>
              <w:jc w:val="center"/>
              <w:rPr>
                <w:noProof/>
                <w:sz w:val="18"/>
                <w:szCs w:val="18"/>
              </w:rPr>
            </w:pPr>
          </w:p>
        </w:tc>
        <w:tc>
          <w:tcPr>
            <w:tcW w:w="701" w:type="dxa"/>
          </w:tcPr>
          <w:p>
            <w:pPr>
              <w:spacing w:line="200" w:lineRule="exact"/>
              <w:ind w:right="-29"/>
              <w:jc w:val="center"/>
              <w:rPr>
                <w:noProof/>
                <w:sz w:val="18"/>
                <w:szCs w:val="18"/>
              </w:rPr>
            </w:pPr>
          </w:p>
        </w:tc>
        <w:tc>
          <w:tcPr>
            <w:tcW w:w="504"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c>
          <w:tcPr>
            <w:tcW w:w="720" w:type="dxa"/>
            <w:gridSpan w:val="2"/>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648" w:type="dxa"/>
          </w:tcPr>
          <w:p>
            <w:pPr>
              <w:spacing w:line="200" w:lineRule="exact"/>
              <w:ind w:right="-29"/>
              <w:jc w:val="center"/>
              <w:rPr>
                <w:noProof/>
                <w:sz w:val="18"/>
                <w:szCs w:val="18"/>
              </w:rPr>
            </w:pPr>
          </w:p>
        </w:tc>
        <w:tc>
          <w:tcPr>
            <w:tcW w:w="432"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54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720" w:type="dxa"/>
          </w:tcPr>
          <w:p>
            <w:pPr>
              <w:spacing w:line="200" w:lineRule="exact"/>
              <w:ind w:right="-29"/>
              <w:jc w:val="center"/>
              <w:rPr>
                <w:noProof/>
                <w:sz w:val="18"/>
                <w:szCs w:val="18"/>
              </w:rPr>
            </w:pPr>
          </w:p>
        </w:tc>
        <w:tc>
          <w:tcPr>
            <w:tcW w:w="900" w:type="dxa"/>
          </w:tcPr>
          <w:p>
            <w:pPr>
              <w:spacing w:line="200" w:lineRule="exact"/>
              <w:ind w:right="-29"/>
              <w:jc w:val="center"/>
              <w:rPr>
                <w:noProof/>
                <w:sz w:val="18"/>
                <w:szCs w:val="18"/>
              </w:rPr>
            </w:pPr>
          </w:p>
        </w:tc>
      </w:tr>
      <w:tr>
        <w:trPr>
          <w:jc w:val="center"/>
        </w:trPr>
        <w:tc>
          <w:tcPr>
            <w:tcW w:w="2844" w:type="dxa"/>
            <w:gridSpan w:val="3"/>
            <w:tcBorders>
              <w:bottom w:val="single" w:sz="12" w:space="0" w:color="auto"/>
            </w:tcBorders>
            <w:vAlign w:val="center"/>
          </w:tcPr>
          <w:p>
            <w:pPr>
              <w:spacing w:line="200" w:lineRule="exact"/>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951" w:type="dxa"/>
            <w:gridSpan w:val="2"/>
            <w:tcBorders>
              <w:bottom w:val="single" w:sz="12" w:space="0" w:color="auto"/>
            </w:tcBorders>
          </w:tcPr>
          <w:p>
            <w:pPr>
              <w:spacing w:line="200" w:lineRule="exact"/>
              <w:ind w:right="-29"/>
              <w:jc w:val="center"/>
              <w:rPr>
                <w:noProof/>
                <w:sz w:val="18"/>
                <w:szCs w:val="18"/>
              </w:rPr>
            </w:pPr>
          </w:p>
        </w:tc>
        <w:tc>
          <w:tcPr>
            <w:tcW w:w="669" w:type="dxa"/>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648" w:type="dxa"/>
            <w:tcBorders>
              <w:bottom w:val="single" w:sz="12" w:space="0" w:color="auto"/>
            </w:tcBorders>
          </w:tcPr>
          <w:p>
            <w:pPr>
              <w:spacing w:line="200" w:lineRule="exact"/>
              <w:ind w:right="-29"/>
              <w:jc w:val="center"/>
              <w:rPr>
                <w:noProof/>
                <w:sz w:val="18"/>
                <w:szCs w:val="18"/>
              </w:rPr>
            </w:pPr>
          </w:p>
        </w:tc>
        <w:tc>
          <w:tcPr>
            <w:tcW w:w="432"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54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720" w:type="dxa"/>
            <w:tcBorders>
              <w:bottom w:val="single" w:sz="12" w:space="0" w:color="auto"/>
            </w:tcBorders>
          </w:tcPr>
          <w:p>
            <w:pPr>
              <w:spacing w:line="200" w:lineRule="exact"/>
              <w:ind w:right="-29"/>
              <w:jc w:val="center"/>
              <w:rPr>
                <w:noProof/>
                <w:sz w:val="18"/>
                <w:szCs w:val="18"/>
              </w:rPr>
            </w:pPr>
          </w:p>
        </w:tc>
        <w:tc>
          <w:tcPr>
            <w:tcW w:w="900" w:type="dxa"/>
            <w:tcBorders>
              <w:bottom w:val="single" w:sz="12" w:space="0" w:color="auto"/>
            </w:tcBorders>
          </w:tcPr>
          <w:p>
            <w:pPr>
              <w:spacing w:line="200" w:lineRule="exact"/>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spacing w:line="200" w:lineRule="exact"/>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54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90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line="200" w:lineRule="exact"/>
              <w:ind w:right="-29"/>
              <w:jc w:val="center"/>
              <w:rPr>
                <w:noProof/>
                <w:sz w:val="18"/>
                <w:szCs w:val="18"/>
              </w:rPr>
            </w:pPr>
          </w:p>
        </w:tc>
        <w:tc>
          <w:tcPr>
            <w:tcW w:w="54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648"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432"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54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720" w:type="dxa"/>
            <w:tcBorders>
              <w:top w:val="single" w:sz="12" w:space="0" w:color="auto"/>
              <w:bottom w:val="single" w:sz="12" w:space="0" w:color="auto"/>
            </w:tcBorders>
          </w:tcPr>
          <w:p>
            <w:pPr>
              <w:spacing w:before="180" w:after="180" w:line="200" w:lineRule="exact"/>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line="200" w:lineRule="exact"/>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Резюме </w:t>
      </w:r>
    </w:p>
    <w:p>
      <w:pPr>
        <w:pStyle w:val="ListDash1"/>
        <w:rPr>
          <w:noProof/>
        </w:rPr>
      </w:pPr>
      <w:r>
        <w:rPr>
          <w:b/>
          <w:noProof/>
        </w:rPr>
        <w:t>X</w:t>
      </w:r>
      <w:r>
        <w:rPr>
          <w:noProof/>
        </w:rPr>
        <w:t xml:space="preserve"> </w:t>
      </w: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9"/>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извън ФУНКЦИЯ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noProof/>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b/>
          <w:noProof/>
        </w:rPr>
        <w:t>X</w:t>
      </w:r>
      <w:r>
        <w:rPr>
          <w:noProof/>
        </w:rPr>
        <w:t xml:space="preserve"> </w:t>
      </w: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(Пряка изследователска дейност)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2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w:t>
            </w: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и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ГД „БЮДЖЕТ“</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Емитиране на ценни книжа на капиталовите пазари (анализ на пазара, проспекти, регистрация, взаимоотношения с инвеститори), управление на постъпленията, плащания и възстановявания на суми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Съвместимост с текущата многогодишна финансова рамка </w:t>
      </w:r>
    </w:p>
    <w:p>
      <w:pPr>
        <w:pStyle w:val="ListDash1"/>
        <w:rPr>
          <w:noProof/>
        </w:rPr>
      </w:pPr>
      <w:r>
        <w:rPr>
          <w:b/>
          <w:noProof/>
        </w:rPr>
        <w:t>X</w:t>
      </w:r>
      <w:r>
        <w:rPr>
          <w:noProof/>
        </w:rPr>
        <w:t xml:space="preserve"> </w:t>
      </w:r>
      <w:r>
        <w:rPr>
          <w:noProof/>
        </w:rPr>
        <w:sym w:font="Wingdings" w:char="F0A8"/>
      </w:r>
      <w:r>
        <w:rPr>
          <w:noProof/>
        </w:rPr>
        <w:tab/>
        <w:t>Предложението/инициативата е съгласувано с текущата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ManualHeading3"/>
        <w:rPr>
          <w:noProof/>
        </w:rPr>
      </w:pPr>
      <w:r>
        <w:t>3.2.5.</w:t>
      </w:r>
      <w:r>
        <w:tab/>
      </w:r>
      <w:r>
        <w:rPr>
          <w:noProof/>
        </w:rPr>
        <w:t xml:space="preserve">Финансов 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следното съфинансиране, като оценките са дадени по-долу:</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r>
        <w:t>3.3.</w:t>
      </w:r>
      <w:r>
        <w:tab/>
      </w:r>
      <w:r>
        <w:rPr>
          <w:noProof/>
        </w:rPr>
        <w:t xml:space="preserve">Очаквано отражение върху приходите </w:t>
      </w:r>
    </w:p>
    <w:p>
      <w:pPr>
        <w:pStyle w:val="ListDash1"/>
        <w:rPr>
          <w:noProof/>
        </w:rPr>
      </w:pPr>
      <w:r>
        <w:rPr>
          <w:b/>
          <w:noProof/>
        </w:rPr>
        <w:t>X</w:t>
      </w:r>
      <w:r>
        <w:rPr>
          <w:noProof/>
        </w:rPr>
        <w:t xml:space="preserve"> </w:t>
      </w: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C 384 I, 12.11.2019 г., стр. 1.</w:t>
      </w:r>
    </w:p>
  </w:footnote>
  <w:footnote w:id="3">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4">
    <w:p>
      <w:pPr>
        <w:pStyle w:val="FootnoteText"/>
      </w:pPr>
      <w:r>
        <w:rPr>
          <w:rStyle w:val="FootnoteReference"/>
        </w:rPr>
        <w:footnoteRef/>
      </w:r>
      <w:r>
        <w:tab/>
        <w:t>OВ L 29, 31.1.2020 г., стр. 7.</w:t>
      </w:r>
    </w:p>
  </w:footnote>
  <w:footnote w:id="5">
    <w:p>
      <w:pPr>
        <w:pStyle w:val="FootnoteText"/>
      </w:pPr>
      <w:r>
        <w:rPr>
          <w:rStyle w:val="FootnoteReference"/>
        </w:rPr>
        <w:footnoteRef/>
      </w:r>
      <w:r>
        <w:tab/>
        <w:t>Окончателно приемане (ЕС, Евратом) 2020/227 на общия бюджет на Европейския съюз за финансовата 2020 година (ОВ L 57, 27.2.2020 г., стр. 1).</w:t>
      </w:r>
    </w:p>
  </w:footnote>
  <w:footnote w:id="6">
    <w:p>
      <w:pPr>
        <w:pStyle w:val="FootnoteText"/>
        <w:rPr>
          <w:szCs w:val="24"/>
        </w:rPr>
      </w:pPr>
      <w:r>
        <w:rPr>
          <w:rStyle w:val="FootnoteReference"/>
        </w:rPr>
        <w:footnoteRef/>
      </w:r>
      <w:r>
        <w:tab/>
        <w:t>УД: управление по дейности; БД: бюджетиране по дейности.</w:t>
      </w:r>
    </w:p>
  </w:footnote>
  <w:footnote w:id="7">
    <w:p>
      <w:pPr>
        <w:pStyle w:val="FootnoteText"/>
        <w:rPr>
          <w:szCs w:val="24"/>
        </w:rPr>
      </w:pPr>
      <w:r>
        <w:rPr>
          <w:rStyle w:val="FootnoteReference"/>
        </w:rPr>
        <w:footnoteRef/>
      </w:r>
      <w:r>
        <w:tab/>
        <w:t>Съгласно член 54, параграф 2, буква а) или б) от Финансовия регламент.</w:t>
      </w:r>
    </w:p>
  </w:footnote>
  <w:footnote w:id="8">
    <w:p>
      <w:pPr>
        <w:pStyle w:val="FootnoteText"/>
        <w:rPr>
          <w:szCs w:val="24"/>
        </w:rPr>
      </w:pPr>
      <w:r>
        <w:rPr>
          <w:rStyle w:val="FootnoteReference"/>
        </w:rPr>
        <w:footnoteRef/>
      </w:r>
      <w:r>
        <w:tab/>
        <w:t xml:space="preserve">Подробности във връзка с методите на управление и позоваванията на Регламент (ЕС, Евратом) 1046/2018 могат да бъдат намерени на уебсайта BudgWeb: </w:t>
      </w:r>
      <w:hyperlink r:id="rId1" w:history="1">
        <w:r>
          <w:rPr>
            <w:rStyle w:val="Hyperlink"/>
            <w:sz w:val="18"/>
          </w:rPr>
          <w:t>http://www.cc.cec/budg/man/budgmanag/budgmanag_en.html</w:t>
        </w:r>
      </w:hyperlink>
    </w:p>
  </w:footnote>
  <w:footnote w:id="9">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rPr>
          <w:szCs w:val="24"/>
        </w:rPr>
      </w:pPr>
      <w:r>
        <w:rPr>
          <w:rStyle w:val="FootnoteReference"/>
        </w:rPr>
        <w:footnoteRef/>
      </w:r>
      <w:r>
        <w:tab/>
        <w:t>Държави кандидати и, ако е приложимо, държави потенциални кандидати от Западните Балкани.</w:t>
      </w:r>
    </w:p>
  </w:footnote>
  <w:footnote w:id="12">
    <w:p>
      <w:pPr>
        <w:pStyle w:val="FootnoteText"/>
      </w:pPr>
      <w:r>
        <w:rPr>
          <w:rStyle w:val="FootnoteReference"/>
        </w:rPr>
        <w:footnoteRef/>
      </w:r>
      <w:r>
        <w:tab/>
      </w:r>
      <w:r>
        <w:rPr>
          <w:color w:val="444444"/>
        </w:rPr>
        <w:t>COM/2018/322 final - 2018/0132.</w:t>
      </w:r>
    </w:p>
  </w:footnote>
  <w:footnote w:id="13">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5">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6">
    <w:p>
      <w:pPr>
        <w:pStyle w:val="FootnoteText"/>
        <w:rPr>
          <w:szCs w:val="24"/>
        </w:rPr>
      </w:pPr>
      <w:r>
        <w:rPr>
          <w:rStyle w:val="FootnoteReference"/>
        </w:rPr>
        <w:footnoteRef/>
      </w:r>
      <w:r>
        <w:tab/>
      </w:r>
      <w:r>
        <w:rPr>
          <w:spacing w:val="-6"/>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7">
    <w:p>
      <w:pPr>
        <w:pStyle w:val="FootnoteText"/>
        <w:rPr>
          <w:szCs w:val="24"/>
        </w:rPr>
      </w:pPr>
      <w:r>
        <w:rPr>
          <w:rStyle w:val="FootnoteReference"/>
        </w:rPr>
        <w:footnoteRef/>
      </w:r>
      <w:r>
        <w:tab/>
        <w:t xml:space="preserve">Съгласно описанието в точка 1.4.2. „Конкретни цели…“. </w:t>
      </w:r>
    </w:p>
  </w:footnote>
  <w:footnote w:id="18">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r>
      <w:r>
        <w:rPr>
          <w:spacing w:val="-4"/>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r>
        <w:t xml:space="preserve"> </w:t>
      </w:r>
    </w:p>
  </w:footnote>
  <w:footnote w:id="2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24"/>
  </w:num>
  <w:num w:numId="30">
    <w:abstractNumId w:val="6"/>
  </w:num>
  <w:num w:numId="31">
    <w:abstractNumId w:val="12"/>
  </w:num>
  <w:num w:numId="32">
    <w:abstractNumId w:val="4"/>
  </w:num>
  <w:num w:numId="33">
    <w:abstractNumId w:val="23"/>
  </w:num>
  <w:num w:numId="34">
    <w:abstractNumId w:val="3"/>
  </w:num>
  <w:num w:numId="35">
    <w:abstractNumId w:val="13"/>
  </w:num>
  <w:num w:numId="36">
    <w:abstractNumId w:val="19"/>
  </w:num>
  <w:num w:numId="37">
    <w:abstractNumId w:val="20"/>
  </w:num>
  <w:num w:numId="38">
    <w:abstractNumId w:val="5"/>
  </w:num>
  <w:num w:numId="39">
    <w:abstractNumId w:val="17"/>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8:28: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E3FEB42-EEE0-4ABE-9213-96A142AB2496"/>
    <w:docVar w:name="LW_COVERPAGE_TYPE" w:val="1"/>
    <w:docVar w:name="LW_CROSSREFERENCE" w:val="&lt;UNUSED&gt;"/>
    <w:docVar w:name="LW_DocType" w:val="COM"/>
    <w:docVar w:name="LW_EMISSION" w:val="2.4.2020"/>
    <w:docVar w:name="LW_EMISSION_ISODATE" w:val="2020-04-0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7"/>
    <w:docVar w:name="LW_REF.II.NEW.CP_YEAR" w:val="2020"/>
    <w:docVar w:name="LW_REF.INST.NEW" w:val="COM"/>
    <w:docVar w:name="LW_REF.INST.NEW_ADOPTED" w:val="final"/>
    <w:docVar w:name="LW_REF.INST.NEW_TEXT" w:val="(2020)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80? \u1080?\u1085?\u1089?\u1090?\u1088?\u1091?\u1084?\u1077?\u1085?\u1090? \u1079?\u1072? \u1074?\u1088?\u1077?\u1084?\u1077?\u1085?\u1085?\u1072? \u1087?\u1086?\u1076?\u1082?\u1088?\u1077?\u1087?\u1072? \u1089? \u1094?\u1077?\u1083? \u1089?\u1084?\u1077?\u1082?\u1095?\u1072?\u1074?\u1072?\u1085?\u1077? \u1085?\u1072? \u1088?\u1080?\u1089?\u1082?\u1086?\u1074?\u1077?\u1090?\u1077? \u1086?\u1090? \u1073?\u1077?\u1079?\u1088?\u1072?\u1073?\u1086?\u1090?\u1080?\u1094?\u1072? \u1087?\u1088?\u1080? \u1080?\u1079?\u1074?\u1098?\u1085?\u1088?\u1077?\u1076?\u1085?\u1086? \u1087?\u1086?\u1083?\u1086?\u1078?\u1077?\u1085?\u1080?\u1077? (SURE) \u1074?\u1089?\u1083?\u1077?\u1076?\u1089?\u1090?\u1074?\u1080?\u1077? \u1085?\u1072? \u1080?\u1079?\u1073?\u1091?\u1093?\u1074?\u1072?\u1085?\u1077?\u1090?\u1086? \u1085?\u1072? \u1079?\u1072?\u1088?\u1072?\u1079?\u1072? \u1089? COVID-19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0">
    <w:name w:val="Marker"/>
    <w:basedOn w:val="DefaultParagraphFont"/>
    <w:rPr>
      <w:color w:val="0000FF"/>
      <w:shd w:val="clear" w:color="auto" w:fill="auto"/>
    </w:rPr>
  </w:style>
  <w:style w:type="paragraph" w:customStyle="1" w:styleId="Arti">
    <w:name w:val="Arti"/>
    <w:basedOn w:val="Normal"/>
    <w:pPr>
      <w:spacing w:before="360" w:line="276" w:lineRule="auto"/>
      <w:jc w:val="center"/>
    </w:pPr>
    <w:rPr>
      <w:rFonts w:ascii="&amp;quot" w:eastAsia="Times New Roman" w:hAnsi="&amp;quot"/>
      <w:i/>
      <w:szCs w:val="24"/>
      <w:lang w:eastAsia="en-GB"/>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0">
    <w:name w:val="Marker"/>
    <w:basedOn w:val="DefaultParagraphFont"/>
    <w:rPr>
      <w:color w:val="0000FF"/>
      <w:shd w:val="clear" w:color="auto" w:fill="auto"/>
    </w:rPr>
  </w:style>
  <w:style w:type="paragraph" w:customStyle="1" w:styleId="Arti">
    <w:name w:val="Arti"/>
    <w:basedOn w:val="Normal"/>
    <w:pPr>
      <w:spacing w:before="360" w:line="276" w:lineRule="auto"/>
      <w:jc w:val="center"/>
    </w:pPr>
    <w:rPr>
      <w:rFonts w:ascii="&amp;quot" w:eastAsia="Times New Roman" w:hAnsi="&amp;quot"/>
      <w:i/>
      <w:szCs w:val="24"/>
      <w:lang w:eastAsia="en-GB"/>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6047">
      <w:bodyDiv w:val="1"/>
      <w:marLeft w:val="0"/>
      <w:marRight w:val="0"/>
      <w:marTop w:val="0"/>
      <w:marBottom w:val="0"/>
      <w:divBdr>
        <w:top w:val="none" w:sz="0" w:space="0" w:color="auto"/>
        <w:left w:val="none" w:sz="0" w:space="0" w:color="auto"/>
        <w:bottom w:val="none" w:sz="0" w:space="0" w:color="auto"/>
        <w:right w:val="none" w:sz="0" w:space="0" w:color="auto"/>
      </w:divBdr>
    </w:div>
    <w:div w:id="704059617">
      <w:bodyDiv w:val="1"/>
      <w:marLeft w:val="0"/>
      <w:marRight w:val="0"/>
      <w:marTop w:val="0"/>
      <w:marBottom w:val="0"/>
      <w:divBdr>
        <w:top w:val="none" w:sz="0" w:space="0" w:color="auto"/>
        <w:left w:val="none" w:sz="0" w:space="0" w:color="auto"/>
        <w:bottom w:val="none" w:sz="0" w:space="0" w:color="auto"/>
        <w:right w:val="none" w:sz="0" w:space="0" w:color="auto"/>
      </w:divBdr>
    </w:div>
    <w:div w:id="1271933610">
      <w:bodyDiv w:val="1"/>
      <w:marLeft w:val="0"/>
      <w:marRight w:val="0"/>
      <w:marTop w:val="0"/>
      <w:marBottom w:val="0"/>
      <w:divBdr>
        <w:top w:val="none" w:sz="0" w:space="0" w:color="auto"/>
        <w:left w:val="none" w:sz="0" w:space="0" w:color="auto"/>
        <w:bottom w:val="none" w:sz="0" w:space="0" w:color="auto"/>
        <w:right w:val="none" w:sz="0" w:space="0" w:color="auto"/>
      </w:divBdr>
    </w:div>
    <w:div w:id="1513377378">
      <w:bodyDiv w:val="1"/>
      <w:marLeft w:val="0"/>
      <w:marRight w:val="0"/>
      <w:marTop w:val="0"/>
      <w:marBottom w:val="0"/>
      <w:divBdr>
        <w:top w:val="none" w:sz="0" w:space="0" w:color="auto"/>
        <w:left w:val="none" w:sz="0" w:space="0" w:color="auto"/>
        <w:bottom w:val="none" w:sz="0" w:space="0" w:color="auto"/>
        <w:right w:val="none" w:sz="0" w:space="0" w:color="auto"/>
      </w:divBdr>
    </w:div>
    <w:div w:id="1582526739">
      <w:bodyDiv w:val="1"/>
      <w:marLeft w:val="0"/>
      <w:marRight w:val="0"/>
      <w:marTop w:val="0"/>
      <w:marBottom w:val="0"/>
      <w:divBdr>
        <w:top w:val="none" w:sz="0" w:space="0" w:color="auto"/>
        <w:left w:val="none" w:sz="0" w:space="0" w:color="auto"/>
        <w:bottom w:val="none" w:sz="0" w:space="0" w:color="auto"/>
        <w:right w:val="none" w:sz="0" w:space="0" w:color="auto"/>
      </w:divBdr>
    </w:div>
    <w:div w:id="1837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c.cec/budg/leg/internal/leg-070_internal_en.html"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e27e8ac-3428-4a40-9337-121b768dfac5">Not Started</EC_Collab_Status>
    <_Status xmlns="http://schemas.microsoft.com/sharepoint/v3/fields">Not Started</_Status>
    <EC_Collab_Reference xmlns="3e27e8ac-3428-4a40-9337-121b768dfac5" xsi:nil="true"/>
    <EC_Collab_DocumentLanguage xmlns="3e27e8ac-3428-4a40-9337-121b768dfac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F3D83CCED566C49B71B90178626FA4D" ma:contentTypeVersion="0" ma:contentTypeDescription="Create a new document in this library." ma:contentTypeScope="" ma:versionID="821b8b40ef36c6f79d840c75b7310ed3">
  <xsd:schema xmlns:xsd="http://www.w3.org/2001/XMLSchema" xmlns:xs="http://www.w3.org/2001/XMLSchema" xmlns:p="http://schemas.microsoft.com/office/2006/metadata/properties" xmlns:ns2="http://schemas.microsoft.com/sharepoint/v3/fields" xmlns:ns3="771c353a-d552-435e-82fa-174c6ab1ba1d" targetNamespace="http://schemas.microsoft.com/office/2006/metadata/properties" ma:root="true" ma:fieldsID="4f5e4ce10a5b882ce89ab8ea1c9baba7" ns2:_="" ns3:_="">
    <xsd:import namespace="http://schemas.microsoft.com/sharepoint/v3/fields"/>
    <xsd:import namespace="771c353a-d552-435e-82fa-174c6ab1ba1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71c353a-d552-435e-82fa-174c6ab1ba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220DE394081C3840A7D90161E3788BF3" ma:contentTypeVersion="0" ma:contentTypeDescription="Create a new document in this library." ma:contentTypeScope="" ma:versionID="b8b4761b94c3b7e6694fd45128e1ba4b">
  <xsd:schema xmlns:xsd="http://www.w3.org/2001/XMLSchema" xmlns:xs="http://www.w3.org/2001/XMLSchema" xmlns:p="http://schemas.microsoft.com/office/2006/metadata/properties" xmlns:ns2="http://schemas.microsoft.com/sharepoint/v3/fields" xmlns:ns3="3e27e8ac-3428-4a40-9337-121b768dfac5" targetNamespace="http://schemas.microsoft.com/office/2006/metadata/properties" ma:root="true" ma:fieldsID="6fe28076336ea5d8eeccb829162e6d47" ns2:_="" ns3:_="">
    <xsd:import namespace="http://schemas.microsoft.com/sharepoint/v3/fields"/>
    <xsd:import namespace="3e27e8ac-3428-4a40-9337-121b768dfac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27e8ac-3428-4a40-9337-121b768dfac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128F-AEA2-4719-981A-C5DF4820D8EC}">
  <ds:schemaRefs>
    <ds:schemaRef ds:uri="http://purl.org/dc/elements/1.1/"/>
    <ds:schemaRef ds:uri="http://schemas.microsoft.com/office/2006/metadata/properties"/>
    <ds:schemaRef ds:uri="3e27e8ac-3428-4a40-9337-121b768dfa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6D5EC60-8107-48A2-B93F-1641A3CB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71c353a-d552-435e-82fa-174c6ab1b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A1DEF-FED9-4C82-A08C-4EA67967FDE9}">
  <ds:schemaRefs>
    <ds:schemaRef ds:uri="http://schemas.microsoft.com/sharepoint/v3/contenttype/forms"/>
  </ds:schemaRefs>
</ds:datastoreItem>
</file>

<file path=customXml/itemProps4.xml><?xml version="1.0" encoding="utf-8"?>
<ds:datastoreItem xmlns:ds="http://schemas.openxmlformats.org/officeDocument/2006/customXml" ds:itemID="{9EFB6818-DE41-44D0-BFFC-32974250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27e8ac-3428-4a40-9337-121b768d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A2AB4-216D-49D2-9A5D-2E03617A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34</Pages>
  <Words>8987</Words>
  <Characters>52754</Characters>
  <Application>Microsoft Office Word</Application>
  <DocSecurity>0</DocSecurity>
  <Lines>1953</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2020-04-03T12:27:00Z</dcterms:created>
  <dcterms:modified xsi:type="dcterms:W3CDTF">2020-04-03T16:28:00Z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0x010100258AA79CEB83498886A3A0868112325000220DE394081C3840A7D90161E3788BF3</vt:lpwstr>
  </property>
  <property fmtid="{D5CDD505-2E9C-101B-9397-08002B2CF9AE}" pid="11" name="DQCStatus">
    <vt:lpwstr>Green (DQC version 03)</vt:lpwstr>
  </property>
</Properties>
</file>