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BD91385C-7D59-46AB-A5D6-A3FE9735E69F" style="width:449.8pt;height:352.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annual Assembly of the Lisbon Union of the World Intellectual Property Organization (WIPO),</w:t>
      </w:r>
      <w:r>
        <w:t xml:space="preserve"> </w:t>
      </w:r>
      <w:r>
        <w:rPr>
          <w:rFonts w:eastAsia="Arial Unicode MS"/>
          <w:noProof/>
        </w:rPr>
        <w:t>in particular in connection with the envisaged adoption of a decision on special contributions of the Contracting Parties pursuant to Article 24(2)(v) of the Geneva Act of the Lisbon Agreement on Appellations of Origin and Geographical Indications.</w:t>
      </w:r>
    </w:p>
    <w:p>
      <w:pPr>
        <w:pStyle w:val="ManualHeading1"/>
        <w:rPr>
          <w:noProof/>
        </w:rPr>
      </w:pPr>
      <w:r>
        <w:t>2.</w:t>
      </w:r>
      <w:r>
        <w:tab/>
      </w:r>
      <w:r>
        <w:rPr>
          <w:noProof/>
        </w:rPr>
        <w:t>Context of the proposal</w:t>
      </w:r>
    </w:p>
    <w:p>
      <w:pPr>
        <w:pStyle w:val="ManualHeading2"/>
        <w:rPr>
          <w:noProof/>
        </w:rPr>
      </w:pPr>
      <w:r>
        <w:t>2.1.</w:t>
      </w:r>
      <w:r>
        <w:tab/>
      </w:r>
      <w:r>
        <w:rPr>
          <w:noProof/>
        </w:rPr>
        <w:t>The Geneva Act of the Lisbon Agreement on Appellations of Origin and Geographical Indications</w:t>
      </w:r>
    </w:p>
    <w:p>
      <w:pPr>
        <w:rPr>
          <w:rFonts w:eastAsia="Arial Unicode MS"/>
          <w:noProof/>
        </w:rPr>
      </w:pPr>
      <w:r>
        <w:rPr>
          <w:rFonts w:eastAsia="Arial Unicode MS"/>
          <w:noProof/>
        </w:rPr>
        <w:t>The Geneva Act of the Lisbon Agreement on Appellations of Origin and Geographical Indications of 2015 (‘the Agreement’) aims to offer comprehensive and effective international protection for the names of origin-based quality products. It updates and enhances the existing international registration system protecting names that identify the geographic origin of products: the Lisbon Agreement for the Protection of Appellations of Origin and their International Registration of 1958. The Agreement entered into force on 26 February 2020.</w:t>
      </w:r>
    </w:p>
    <w:p>
      <w:pPr>
        <w:rPr>
          <w:rFonts w:eastAsia="Arial Unicode MS"/>
          <w:noProof/>
        </w:rPr>
      </w:pPr>
      <w:r>
        <w:rPr>
          <w:rFonts w:eastAsia="Arial Unicode MS"/>
          <w:noProof/>
        </w:rPr>
        <w:t>The European Union is a party to the Agreement</w:t>
      </w:r>
      <w:r>
        <w:rPr>
          <w:rStyle w:val="FootnoteReference"/>
          <w:rFonts w:eastAsia="Arial Unicode MS"/>
          <w:noProof/>
        </w:rPr>
        <w:footnoteReference w:id="1"/>
      </w:r>
      <w:r>
        <w:rPr>
          <w:rFonts w:eastAsia="Arial Unicode MS"/>
          <w:noProof/>
        </w:rPr>
        <w:t>.</w:t>
      </w:r>
    </w:p>
    <w:p>
      <w:pPr>
        <w:pStyle w:val="ManualHeading2"/>
        <w:rPr>
          <w:noProof/>
        </w:rPr>
      </w:pPr>
      <w:r>
        <w:t>2.2.</w:t>
      </w:r>
      <w:r>
        <w:tab/>
      </w:r>
      <w:r>
        <w:rPr>
          <w:noProof/>
        </w:rPr>
        <w:t>The Assembly of the Lisbon Union</w:t>
      </w:r>
    </w:p>
    <w:p>
      <w:pPr>
        <w:rPr>
          <w:rFonts w:eastAsia="Arial Unicode MS"/>
          <w:noProof/>
        </w:rPr>
      </w:pPr>
      <w:r>
        <w:rPr>
          <w:rFonts w:eastAsia="Arial Unicode MS"/>
          <w:noProof/>
        </w:rPr>
        <w:t>The Lisbon Union is a Special Union administrated by WIPO. It is composed of the Contracting Parties to the Geneva Act of the Lisbon Agreement on Appellations of Origin and Geographical Indications (the “Geneva Act”) and the States party to the Lisbon Agreement of 1958 for the Protection of Appellations of Origin and their International Registration or to the 1967 Act (the Lisbon Agreement</w:t>
      </w:r>
      <w:r>
        <w:rPr>
          <w:noProof/>
        </w:rPr>
        <w:t xml:space="preserve"> </w:t>
      </w:r>
      <w:r>
        <w:rPr>
          <w:rFonts w:eastAsia="Arial Unicode MS"/>
          <w:noProof/>
        </w:rPr>
        <w:t>as revised at Stockholm on July 14, 1967). The Assembly of the Lisbon Union meets annually in the context of the WIPO General Assembly. Its tasks are set out in Article 22 (2) of the Geneva Act. In particular, it has the following tasks: It deals with all matters concerning the maintenance and development of the Special Union and the implementation of the Geneva Act. It amends the Regulations establishing the details for carrying out the Geneva Act.</w:t>
      </w:r>
      <w:r>
        <w:rPr>
          <w:noProof/>
        </w:rPr>
        <w:t xml:space="preserve"> It </w:t>
      </w:r>
      <w:r>
        <w:rPr>
          <w:rFonts w:eastAsia="Arial Unicode MS"/>
          <w:noProof/>
        </w:rPr>
        <w:t xml:space="preserve">adopts the financial Regulations of the Special Union and amendments of the Articles of the Geneva Act on the Assembly of the Special Union (Article 22), the International Bureau of WIPO (Article 23), and on Finances (Article 24) as well as on the amendment procedure for these Articles (Article 27). Regarding finances more specifically, it </w:t>
      </w:r>
      <w:r>
        <w:rPr>
          <w:noProof/>
          <w:szCs w:val="24"/>
        </w:rPr>
        <w:t>may decide on whether and to which extent receipts from the sources of income of the Special Union do not suffice to cover the expenses, entailing the obligation of Contracting Parties to pay special contributions pursuant to Article 24 (2) (v) of the Geneva Act.</w:t>
      </w:r>
      <w:r>
        <w:rPr>
          <w:rFonts w:eastAsia="Arial Unicode MS"/>
          <w:noProof/>
        </w:rPr>
        <w:t xml:space="preserve"> The present Commission proposal only concerns decisions </w:t>
      </w:r>
      <w:r>
        <w:rPr>
          <w:noProof/>
          <w:szCs w:val="24"/>
        </w:rPr>
        <w:t xml:space="preserve">pursuant to Article 24 (2) (v) of the Geneva Act. The </w:t>
      </w:r>
      <w:r>
        <w:rPr>
          <w:rFonts w:eastAsia="Arial Unicode MS"/>
          <w:noProof/>
        </w:rPr>
        <w:t>Assembly shall endeavour to take its decisions by consensus. Where a decision cannot be arrived at by consensus, the matter at issue shall be decided by voting.  In such a case, each Contracting Party that is a State shall have one vote and shall vote only in its own name; and</w:t>
      </w:r>
      <w:r>
        <w:rPr>
          <w:noProof/>
        </w:rPr>
        <w:t xml:space="preserve"> </w:t>
      </w:r>
      <w:r>
        <w:rPr>
          <w:rFonts w:eastAsia="Arial Unicode MS"/>
          <w:noProof/>
        </w:rPr>
        <w:t>any Contracting Party that is an intergovernmental organization may vote, in place of its member States, with a number of votes equal to the number of its member States which are party to this Act. Article 4 paragraph 2 of Council Decision (EU) 2019/1754 of 7 October 2019 on the accession of the European Union to the Geneva Act stipulates that</w:t>
      </w:r>
      <w:r>
        <w:rPr>
          <w:noProof/>
        </w:rPr>
        <w:t xml:space="preserve"> t</w:t>
      </w:r>
      <w:r>
        <w:rPr>
          <w:rFonts w:eastAsia="Arial Unicode MS"/>
          <w:noProof/>
        </w:rPr>
        <w:t xml:space="preserve">he </w:t>
      </w:r>
      <w:r>
        <w:rPr>
          <w:rFonts w:eastAsia="Arial Unicode MS"/>
          <w:noProof/>
        </w:rPr>
        <w:lastRenderedPageBreak/>
        <w:t xml:space="preserve">Union shall vote in the Assembly of the Special Union and the Member States which have ratified or acceded to the Geneva Act shall not exercise their right to vote. </w:t>
      </w:r>
    </w:p>
    <w:p>
      <w:pPr>
        <w:pStyle w:val="ManualHeading2"/>
        <w:rPr>
          <w:noProof/>
        </w:rPr>
      </w:pPr>
      <w:r>
        <w:t>2.3.</w:t>
      </w:r>
      <w:r>
        <w:tab/>
      </w:r>
      <w:r>
        <w:rPr>
          <w:noProof/>
        </w:rPr>
        <w:t xml:space="preserve">The envisaged act of the Assembly of the Lisbon Union </w:t>
      </w:r>
      <w:r>
        <w:t xml:space="preserve"> </w:t>
      </w:r>
    </w:p>
    <w:p>
      <w:pPr>
        <w:rPr>
          <w:rFonts w:eastAsia="Arial Unicode MS"/>
          <w:noProof/>
        </w:rPr>
      </w:pPr>
      <w:r>
        <w:rPr>
          <w:rFonts w:eastAsia="Arial Unicode MS"/>
          <w:noProof/>
        </w:rPr>
        <w:t>During its annual</w:t>
      </w:r>
      <w:r>
        <w:t xml:space="preserve"> </w:t>
      </w:r>
      <w:r>
        <w:rPr>
          <w:rFonts w:eastAsia="Arial Unicode MS"/>
          <w:noProof/>
        </w:rPr>
        <w:t xml:space="preserve">meetings in the framework of the WIPO General Assembly, the Assembly of the Lisbon Union may adopt decisions regarding the extent </w:t>
      </w:r>
      <w:r>
        <w:rPr>
          <w:noProof/>
          <w:szCs w:val="24"/>
        </w:rPr>
        <w:t>to which receipts from the sources of income of the Special Union do not suffice to cover the expenses, entailing the obligation of Contracting Parties to pay special contributions pursuant to Article 24 (2) (v) of the Geneva Act</w:t>
      </w:r>
      <w:r>
        <w:t xml:space="preserve"> </w:t>
      </w:r>
      <w:r>
        <w:rPr>
          <w:rFonts w:eastAsia="Arial Unicode MS"/>
          <w:noProof/>
        </w:rPr>
        <w:t>(‘the envisaged act’).</w:t>
      </w:r>
    </w:p>
    <w:p>
      <w:pPr>
        <w:rPr>
          <w:rFonts w:eastAsia="Arial Unicode MS"/>
          <w:noProof/>
        </w:rPr>
      </w:pPr>
      <w:r>
        <w:rPr>
          <w:rFonts w:eastAsia="Arial Unicode MS"/>
          <w:noProof/>
        </w:rPr>
        <w:t>The purpose of the envisaged act is to constitute a basis for the payment of special contributions by the Contracting Parties of the Geneva Act to be able to cover the expenses of the Special Union.</w:t>
      </w:r>
    </w:p>
    <w:p>
      <w:pPr>
        <w:rPr>
          <w:rFonts w:eastAsia="Arial Unicode MS"/>
          <w:noProof/>
        </w:rPr>
      </w:pPr>
      <w:r>
        <w:rPr>
          <w:rFonts w:eastAsia="Arial Unicode MS"/>
          <w:noProof/>
        </w:rPr>
        <w:t>The envisaged act will become binding on the parties in accordance with Article 24 (2) (v) of the Agreement, which provides:</w:t>
      </w:r>
      <w:r>
        <w:t xml:space="preserve"> </w:t>
      </w:r>
      <w:r>
        <w:rPr>
          <w:rFonts w:eastAsia="Arial Unicode MS"/>
          <w:noProof/>
        </w:rPr>
        <w:t>‘(2) [Sources of Financing of the Budget] The income of the Special Union shall be derived from the following sources:[...]</w:t>
      </w:r>
      <w:r>
        <w:rPr>
          <w:noProof/>
        </w:rPr>
        <w:t xml:space="preserve"> </w:t>
      </w:r>
      <w:r>
        <w:rPr>
          <w:rFonts w:eastAsia="Arial Unicode MS"/>
          <w:noProof/>
        </w:rPr>
        <w:t>(v) special contributions of the Contracting Parties or any alternative source derived from the Contracting Parties or beneficiaries, or both, if and to the extent to which receipts from the sources indicated in items (i) to (iv) do not suffice to cover the expenses, as decided by the Assembly.’</w:t>
      </w:r>
      <w:r>
        <w:t xml:space="preserve">. </w:t>
      </w:r>
    </w:p>
    <w:p>
      <w:pPr>
        <w:pStyle w:val="ManualHeading1"/>
        <w:rPr>
          <w:noProof/>
        </w:rPr>
      </w:pPr>
      <w:r>
        <w:t>3.</w:t>
      </w:r>
      <w:r>
        <w:tab/>
      </w:r>
      <w:r>
        <w:rPr>
          <w:noProof/>
        </w:rPr>
        <w:t>Position to be taken on the Union's behalf</w:t>
      </w:r>
    </w:p>
    <w:p>
      <w:pPr>
        <w:rPr>
          <w:noProof/>
        </w:rPr>
      </w:pPr>
      <w:r>
        <w:rPr>
          <w:noProof/>
        </w:rPr>
        <w:t>The proposed position is to join a potential consensus on a decision of the Assembly of the Lisbon Union regarding the extent to which receipts from the sources of income indicated in items (i) to (iv) of Article 24 (2) of the Geneva Act do not suffice to cover the expenses. In that case, the income of the Lisbon Union shall be derived to that extent by special contributions of the Contracting Parties or any alternative source derived from the Contracting Parties or beneficiaries, or both.</w:t>
      </w:r>
    </w:p>
    <w:p>
      <w:pPr>
        <w:rPr>
          <w:noProof/>
          <w:szCs w:val="24"/>
        </w:rPr>
      </w:pPr>
      <w:r>
        <w:rPr>
          <w:noProof/>
          <w:szCs w:val="24"/>
        </w:rPr>
        <w:t>The proposed Council decision would enable the EU, within the means available for that purpose from the annual budget of the Union, to join the consensus regarding a decision by the Assembly pursuant to Article 24 (2) (v) of the Geneva Act.</w:t>
      </w:r>
    </w:p>
    <w:p>
      <w:pPr>
        <w:rPr>
          <w:noProof/>
        </w:rPr>
      </w:pPr>
      <w:r>
        <w:rPr>
          <w:noProof/>
          <w:szCs w:val="24"/>
        </w:rPr>
        <w:t>The EU budget for 2020 provides for 1 million € under budget line 05.06.01 as EU contribution to the functioning of the Lisbon Union in WIPO (the World Intellectual property Organisation) on the basis of the Geneva Act of the Lisbon Agreement on Appellations of Origin and Geographical Indications. The EU should be able to join a consensus on a decision of the Assembly of the Lisbon Union pursuant to Article 24 (2) (v) of the Geneva Act. Such a decision is needed for the Union to be able to make the payment in accordance with the basic act providing the legal basis for the implementation of the expenditure entered in the budget</w:t>
      </w:r>
      <w:r>
        <w:rPr>
          <w:rStyle w:val="FootnoteReference"/>
          <w:noProof/>
          <w:szCs w:val="24"/>
        </w:rPr>
        <w:footnoteReference w:id="2"/>
      </w:r>
      <w:r>
        <w:rPr>
          <w:noProof/>
          <w:szCs w:val="24"/>
        </w:rPr>
        <w:t xml:space="preserve">. This basic act provides as follows:  </w:t>
      </w:r>
      <w:r>
        <w:rPr>
          <w:noProof/>
        </w:rPr>
        <w:t>“</w:t>
      </w:r>
      <w:r>
        <w:rPr>
          <w:noProof/>
          <w:szCs w:val="24"/>
        </w:rPr>
        <w:t>If the income from the Special Union is derived in accordance with point (v) of Article 24(2) of the Geneva Act, the Union may make a special contribution within the means available for that purpose from the annual budget of the Union.”</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The Assembly of the Lisbon Union is a body set up by an agreement, namely the Geneva Act</w:t>
      </w:r>
      <w:r>
        <w:t>.</w:t>
      </w:r>
    </w:p>
    <w:p>
      <w:pPr>
        <w:rPr>
          <w:noProof/>
        </w:rPr>
      </w:pPr>
      <w:r>
        <w:rPr>
          <w:noProof/>
        </w:rPr>
        <w:t xml:space="preserve">The act that the Assembly of the Lisbon Union is called upon to adopt constitutes an act having legal effects. The envisaged act will be binding under international law in accordance with Article 24 (2) (v) of the Geneva Act.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r>
        <w:rPr>
          <w:noProof/>
        </w:rPr>
        <w:t>The main objective and content of the envisaged act relate to the common commercial policy</w:t>
      </w:r>
      <w:r>
        <w:t>.</w:t>
      </w:r>
    </w:p>
    <w:p>
      <w:pPr>
        <w:rPr>
          <w:i/>
          <w:noProof/>
        </w:rPr>
      </w:pPr>
      <w:r>
        <w:rPr>
          <w:noProof/>
        </w:rPr>
        <w:t>Therefore, the substantive legal basis of the proposed decision is Article 207 TFUE</w:t>
      </w:r>
      <w:r>
        <w:t>.</w:t>
      </w:r>
    </w:p>
    <w:p>
      <w:pPr>
        <w:pStyle w:val="ManualHeading2"/>
        <w:rPr>
          <w:noProof/>
        </w:rPr>
      </w:pPr>
      <w:r>
        <w:t>4.3.</w:t>
      </w:r>
      <w:r>
        <w:tab/>
      </w:r>
      <w:r>
        <w:rPr>
          <w:noProof/>
        </w:rPr>
        <w:t>Conclusion</w:t>
      </w:r>
    </w:p>
    <w:p>
      <w:pPr>
        <w:rPr>
          <w:noProof/>
        </w:rPr>
      </w:pPr>
      <w:r>
        <w:rPr>
          <w:noProof/>
        </w:rPr>
        <w:t>The legal basis of the proposed decision should be Article 207 TFUE</w:t>
      </w:r>
      <w:r>
        <w:t>,</w:t>
      </w:r>
      <w:r>
        <w:rPr>
          <w:noProof/>
        </w:rPr>
        <w:t xml:space="preserve">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2020/0052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Assembly of the Lisbon Union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Union acceded to the Geneva Act of the Lisbon Agreement on Appellations of Origin and Geographical Indications (‘the Agreement’) by Council Decision (EU) 2019/1754 of 7 October 2019</w:t>
      </w:r>
      <w:r>
        <w:rPr>
          <w:rStyle w:val="FootnoteReference"/>
          <w:noProof/>
        </w:rPr>
        <w:footnoteReference w:id="4"/>
      </w:r>
      <w:r>
        <w:rPr>
          <w:noProof/>
        </w:rPr>
        <w:t xml:space="preserve">. The Agreement entered into force on 26 February 2020. </w:t>
      </w:r>
    </w:p>
    <w:p>
      <w:pPr>
        <w:pStyle w:val="ManualConsidrant"/>
        <w:rPr>
          <w:noProof/>
        </w:rPr>
      </w:pPr>
      <w:r>
        <w:t>(2)</w:t>
      </w:r>
      <w:r>
        <w:tab/>
      </w:r>
      <w:r>
        <w:rPr>
          <w:noProof/>
        </w:rPr>
        <w:t xml:space="preserve">Pursuant to Article 22 (2) (a) (i) of the Agreement, the Assembly of the Lisbon Union may adopt decisions </w:t>
      </w:r>
      <w:r>
        <w:rPr>
          <w:rFonts w:eastAsia="Arial Unicode MS"/>
          <w:noProof/>
        </w:rPr>
        <w:t xml:space="preserve">concerning the maintenance and development of the Special Union and the implementation of the Agreement. </w:t>
      </w:r>
    </w:p>
    <w:p>
      <w:pPr>
        <w:pStyle w:val="ManualConsidrant"/>
        <w:rPr>
          <w:noProof/>
        </w:rPr>
      </w:pPr>
      <w:r>
        <w:t>(3)</w:t>
      </w:r>
      <w:r>
        <w:tab/>
      </w:r>
      <w:r>
        <w:rPr>
          <w:noProof/>
        </w:rPr>
        <w:t>The Assembly of the Lisbon Union</w:t>
      </w:r>
      <w:r>
        <w:t>,</w:t>
      </w:r>
      <w:r>
        <w:rPr>
          <w:noProof/>
        </w:rPr>
        <w:t xml:space="preserve"> in its annual meeting during the WIPO General Assembly on 21-29 September 2020, may adopt a decision </w:t>
      </w:r>
      <w:r>
        <w:rPr>
          <w:i/>
          <w:noProof/>
        </w:rPr>
        <w:t xml:space="preserve"> </w:t>
      </w:r>
      <w:r>
        <w:rPr>
          <w:noProof/>
        </w:rPr>
        <w:t xml:space="preserve">on </w:t>
      </w:r>
      <w:r>
        <w:rPr>
          <w:noProof/>
          <w:szCs w:val="24"/>
        </w:rPr>
        <w:t>whether and to which extent receipts from the sources of income of the Special Union do not suffice to cover the expenses, entailing the obligation of Contracting Parties to pay special contributions pursuant to Article 24 (2) (v) of the Agreement.</w:t>
      </w:r>
    </w:p>
    <w:p>
      <w:pPr>
        <w:pStyle w:val="ManualConsidrant"/>
        <w:rPr>
          <w:noProof/>
        </w:rPr>
      </w:pPr>
      <w:r>
        <w:t>(4)</w:t>
      </w:r>
      <w:r>
        <w:tab/>
      </w:r>
      <w:r>
        <w:rPr>
          <w:noProof/>
        </w:rPr>
        <w:t>It is appropriate to establish the position to be taken on the Union's behalf in the Assembly of the Lisbon Union in that meeting</w:t>
      </w:r>
      <w:r>
        <w:t>,</w:t>
      </w:r>
      <w:r>
        <w:rPr>
          <w:noProof/>
        </w:rPr>
        <w:t xml:space="preserve"> as the decision will be binding on the Union.</w:t>
      </w:r>
    </w:p>
    <w:p>
      <w:pPr>
        <w:pStyle w:val="ManualConsidrant"/>
        <w:rPr>
          <w:noProof/>
        </w:rPr>
      </w:pPr>
      <w:r>
        <w:t>(5)</w:t>
      </w:r>
      <w:r>
        <w:tab/>
      </w:r>
      <w:r>
        <w:rPr>
          <w:noProof/>
        </w:rPr>
        <w:t>The Union should be able to join a consensus on a decision of the Assembly of the Lisbon Union pursuant to Article 24 (2) (v) of the Agreement within the budgetary resources available. Such a decision is needed for the Union to be able to make the payment in accordance with Article 14 of Regulation (EU) 2019/1753 of the European Parliament and of the Council</w:t>
      </w:r>
      <w:r>
        <w:rPr>
          <w:rStyle w:val="FootnoteReference"/>
          <w:noProof/>
          <w:szCs w:val="24"/>
        </w:rPr>
        <w:footnoteReference w:id="5"/>
      </w:r>
      <w:r>
        <w:rPr>
          <w:noProof/>
        </w:rPr>
        <w:t xml:space="preserve">. </w:t>
      </w:r>
      <w:r>
        <w:t xml:space="preserve">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position to be taken on the Union's behalf in the meeting of the Assembly of the Lisbon Union during the WIPO General Assembly on 21-29 September 2020 as regards a special </w:t>
      </w:r>
      <w:r>
        <w:rPr>
          <w:noProof/>
        </w:rPr>
        <w:lastRenderedPageBreak/>
        <w:t>contribution pursuant to Article 24 (2) (v) of the Geneva Act of the Lisbon Agreement on Appellations of Origin and Geographical Indications shall be the following:</w:t>
      </w:r>
    </w:p>
    <w:p>
      <w:pPr>
        <w:rPr>
          <w:noProof/>
          <w:lang w:val="cs-CZ"/>
        </w:rPr>
      </w:pPr>
      <w:r>
        <w:rPr>
          <w:noProof/>
        </w:rPr>
        <w:t>The Union may join a consensus regarding a decision as to which extent receipts from the sources of income of the Special Union do not suffice to cover the expenses, entailing the obligation of Contracting Parties to pay special contributions pursuant to Article 24 (2) (v) of the Geneva Act. The maximum Union  special contribution for 2020 shall not exceed the appropriations provided for in the general budget.</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spacing w:before="0" w:after="200" w:line="276" w:lineRule="auto"/>
        <w:jc w:val="left"/>
        <w:rPr>
          <w:i/>
          <w:noProof/>
        </w:rPr>
      </w:pPr>
      <w:r>
        <w:rPr>
          <w:noProof/>
        </w:rPr>
        <w:br w:type="page"/>
      </w:r>
    </w:p>
    <w:p>
      <w:pPr>
        <w:pStyle w:val="Fichefinanciretitre"/>
        <w:rPr>
          <w:noProof/>
        </w:rPr>
      </w:pPr>
      <w:r>
        <w:rPr>
          <w:noProof/>
        </w:rPr>
        <w:lastRenderedPageBreak/>
        <w:t>FINANCIAL STATEMENT</w:t>
      </w:r>
    </w:p>
    <w:p>
      <w:pPr>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567"/>
        <w:gridCol w:w="3884"/>
        <w:gridCol w:w="1417"/>
        <w:gridCol w:w="425"/>
        <w:gridCol w:w="1134"/>
        <w:gridCol w:w="567"/>
        <w:gridCol w:w="1134"/>
      </w:tblGrid>
      <w:tr>
        <w:trPr>
          <w:trHeight w:val="355"/>
        </w:trPr>
        <w:tc>
          <w:tcPr>
            <w:tcW w:w="6293" w:type="dxa"/>
            <w:gridSpan w:val="4"/>
            <w:vMerge w:val="restart"/>
            <w:tcBorders>
              <w:top w:val="single" w:sz="6" w:space="0" w:color="auto"/>
              <w:left w:val="single" w:sz="6" w:space="0" w:color="auto"/>
              <w:bottom w:val="nil"/>
              <w:right w:val="single" w:sz="6" w:space="0" w:color="auto"/>
            </w:tcBorders>
            <w:hideMark/>
          </w:tcPr>
          <w:p>
            <w:pPr>
              <w:pStyle w:val="Fichefinanciretitretable"/>
              <w:rPr>
                <w:noProof/>
              </w:rPr>
            </w:pPr>
            <w:r>
              <w:rPr>
                <w:noProof/>
              </w:rPr>
              <w:t>FINANCIAL STATEMENT</w:t>
            </w:r>
          </w:p>
        </w:tc>
        <w:tc>
          <w:tcPr>
            <w:tcW w:w="2835" w:type="dxa"/>
            <w:gridSpan w:val="3"/>
            <w:tcBorders>
              <w:top w:val="single" w:sz="6" w:space="0" w:color="auto"/>
              <w:left w:val="single" w:sz="6" w:space="0" w:color="auto"/>
              <w:bottom w:val="single" w:sz="6" w:space="0" w:color="auto"/>
              <w:right w:val="single" w:sz="6" w:space="0" w:color="auto"/>
            </w:tcBorders>
          </w:tcPr>
          <w:p>
            <w:pPr>
              <w:pStyle w:val="Fichefinanciretextetable"/>
              <w:rPr>
                <w:noProof/>
                <w:lang w:val="fr-BE"/>
              </w:rPr>
            </w:pPr>
            <w:r>
              <w:rPr>
                <w:noProof/>
                <w:lang w:val="fr-BE"/>
              </w:rPr>
              <w:t>Fin Stat/2020/LK/GH/pl/1406340</w:t>
            </w:r>
          </w:p>
          <w:p>
            <w:pPr>
              <w:pStyle w:val="Fichefinanciretextetable"/>
              <w:rPr>
                <w:noProof/>
                <w:lang w:val="fr-BE"/>
              </w:rPr>
            </w:pPr>
          </w:p>
          <w:p>
            <w:pPr>
              <w:pStyle w:val="Fichefinanciretextetable"/>
            </w:pPr>
            <w:r>
              <w:rPr>
                <w:noProof/>
              </w:rPr>
              <w:t>agri.ddg3.a.2(2020)1398840</w:t>
            </w:r>
          </w:p>
        </w:tc>
      </w:tr>
      <w:tr>
        <w:trPr>
          <w:trHeight w:val="355"/>
        </w:trPr>
        <w:tc>
          <w:tcPr>
            <w:tcW w:w="6293" w:type="dxa"/>
            <w:gridSpan w:val="4"/>
            <w:vMerge/>
            <w:tcBorders>
              <w:top w:val="single" w:sz="6" w:space="0" w:color="auto"/>
              <w:left w:val="single" w:sz="6" w:space="0" w:color="auto"/>
              <w:bottom w:val="nil"/>
              <w:right w:val="single" w:sz="6" w:space="0" w:color="auto"/>
            </w:tcBorders>
            <w:vAlign w:val="center"/>
            <w:hideMark/>
          </w:tcPr>
          <w:p>
            <w:pPr>
              <w:rPr>
                <w:b/>
                <w:noProof/>
                <w:sz w:val="40"/>
                <w:szCs w:val="20"/>
              </w:rPr>
            </w:pPr>
          </w:p>
        </w:tc>
        <w:tc>
          <w:tcPr>
            <w:tcW w:w="2835" w:type="dxa"/>
            <w:gridSpan w:val="3"/>
            <w:tcBorders>
              <w:top w:val="single" w:sz="6" w:space="0" w:color="auto"/>
              <w:left w:val="single" w:sz="6" w:space="0" w:color="auto"/>
              <w:bottom w:val="single" w:sz="6" w:space="0" w:color="auto"/>
              <w:right w:val="single" w:sz="6" w:space="0" w:color="auto"/>
            </w:tcBorders>
            <w:hideMark/>
          </w:tcPr>
          <w:p>
            <w:pPr>
              <w:pStyle w:val="Fichefinanciretextetable"/>
            </w:pPr>
            <w:r>
              <w:rPr>
                <w:rFonts w:ascii="Arial" w:hAnsi="Arial"/>
                <w:i/>
                <w:noProof/>
                <w:spacing w:val="-3"/>
              </w:rPr>
              <w:t>6.22.2020</w:t>
            </w:r>
          </w:p>
        </w:tc>
      </w:tr>
      <w:tr>
        <w:tc>
          <w:tcPr>
            <w:tcW w:w="6293" w:type="dxa"/>
            <w:gridSpan w:val="4"/>
            <w:tcBorders>
              <w:top w:val="nil"/>
              <w:left w:val="single" w:sz="6" w:space="0" w:color="auto"/>
              <w:bottom w:val="single" w:sz="6" w:space="0" w:color="auto"/>
              <w:right w:val="single" w:sz="6" w:space="0" w:color="auto"/>
            </w:tcBorders>
          </w:tcPr>
          <w:p>
            <w:pPr>
              <w:pStyle w:val="Fichefinanciretextetable"/>
              <w:rPr>
                <w:noProof/>
              </w:rPr>
            </w:pPr>
          </w:p>
        </w:tc>
        <w:tc>
          <w:tcPr>
            <w:tcW w:w="2835" w:type="dxa"/>
            <w:gridSpan w:val="3"/>
            <w:tcBorders>
              <w:top w:val="single" w:sz="6" w:space="0" w:color="auto"/>
              <w:left w:val="single" w:sz="6" w:space="0" w:color="auto"/>
              <w:bottom w:val="single" w:sz="6" w:space="0" w:color="auto"/>
              <w:right w:val="single" w:sz="6" w:space="0" w:color="auto"/>
            </w:tcBorders>
          </w:tcPr>
          <w:p>
            <w:pPr>
              <w:pStyle w:val="Fichefinanciretextetable"/>
              <w:rPr>
                <w:noProof/>
              </w:rPr>
            </w:pPr>
            <w:r>
              <w:rPr>
                <w:noProof/>
              </w:rPr>
              <w:t>DATE: 24/02/2020</w:t>
            </w:r>
          </w:p>
        </w:tc>
      </w:tr>
      <w:tr>
        <w:tc>
          <w:tcPr>
            <w:tcW w:w="567" w:type="dxa"/>
            <w:tcBorders>
              <w:top w:val="single" w:sz="6" w:space="0" w:color="auto"/>
              <w:left w:val="single" w:sz="6" w:space="0" w:color="auto"/>
              <w:bottom w:val="single" w:sz="6" w:space="0" w:color="auto"/>
              <w:right w:val="nil"/>
            </w:tcBorders>
            <w:hideMark/>
          </w:tcPr>
          <w:p>
            <w:pPr>
              <w:pStyle w:val="Fichefinanciretextetable"/>
              <w:rPr>
                <w:noProof/>
              </w:rPr>
            </w:pPr>
            <w:r>
              <w:rPr>
                <w:noProof/>
              </w:rPr>
              <w:t>1.</w:t>
            </w:r>
          </w:p>
        </w:tc>
        <w:tc>
          <w:tcPr>
            <w:tcW w:w="5726" w:type="dxa"/>
            <w:gridSpan w:val="3"/>
            <w:tcBorders>
              <w:top w:val="single" w:sz="6" w:space="0" w:color="auto"/>
              <w:left w:val="nil"/>
              <w:bottom w:val="single" w:sz="6" w:space="0" w:color="auto"/>
              <w:right w:val="nil"/>
            </w:tcBorders>
            <w:hideMark/>
          </w:tcPr>
          <w:p>
            <w:pPr>
              <w:pStyle w:val="Fichefinanciretextetable"/>
              <w:rPr>
                <w:noProof/>
              </w:rPr>
            </w:pPr>
            <w:r>
              <w:rPr>
                <w:noProof/>
              </w:rPr>
              <w:t>BUDGET HEADING:</w:t>
            </w:r>
          </w:p>
          <w:p>
            <w:pPr>
              <w:pStyle w:val="Fichefinanciretextetable"/>
              <w:rPr>
                <w:noProof/>
              </w:rPr>
            </w:pPr>
            <w:r>
              <w:rPr>
                <w:noProof/>
              </w:rPr>
              <w:t>Chapter 05 06 INTERNATIONAL ASPECTS OF ‘AGRICULTURE AND RURAL DEVELOPMENT’ POLICY AREA</w:t>
            </w:r>
          </w:p>
          <w:p>
            <w:pPr>
              <w:pStyle w:val="Fichefinanciretextetable"/>
              <w:rPr>
                <w:noProof/>
              </w:rPr>
            </w:pPr>
            <w:r>
              <w:rPr>
                <w:noProof/>
              </w:rPr>
              <w:t xml:space="preserve">05 06 01 International agricultural agreements </w:t>
            </w:r>
          </w:p>
        </w:tc>
        <w:tc>
          <w:tcPr>
            <w:tcW w:w="2835" w:type="dxa"/>
            <w:gridSpan w:val="3"/>
            <w:tcBorders>
              <w:top w:val="single" w:sz="6" w:space="0" w:color="auto"/>
              <w:left w:val="nil"/>
              <w:bottom w:val="single" w:sz="6" w:space="0" w:color="auto"/>
              <w:right w:val="single" w:sz="6" w:space="0" w:color="auto"/>
            </w:tcBorders>
          </w:tcPr>
          <w:p>
            <w:pPr>
              <w:pStyle w:val="Fichefinanciretextetable"/>
              <w:rPr>
                <w:noProof/>
                <w:lang w:val="fr-BE"/>
              </w:rPr>
            </w:pPr>
            <w:r>
              <w:rPr>
                <w:noProof/>
                <w:lang w:val="fr-BE"/>
              </w:rPr>
              <w:t>APPROPRIATIONS:</w:t>
            </w:r>
          </w:p>
          <w:p>
            <w:pPr>
              <w:pStyle w:val="Fichefinanciretextetable"/>
              <w:rPr>
                <w:noProof/>
              </w:rPr>
            </w:pPr>
          </w:p>
          <w:p>
            <w:pPr>
              <w:pStyle w:val="Fichefinanciretextetable"/>
              <w:rPr>
                <w:noProof/>
                <w:lang w:val="fr-BE"/>
              </w:rPr>
            </w:pPr>
            <w:r>
              <w:rPr>
                <w:noProof/>
                <w:lang w:val="fr-BE"/>
              </w:rPr>
              <w:t xml:space="preserve">B2020:EUR 6.300.000 </w:t>
            </w:r>
          </w:p>
        </w:tc>
      </w:tr>
      <w:tr>
        <w:tc>
          <w:tcPr>
            <w:tcW w:w="567" w:type="dxa"/>
            <w:tcBorders>
              <w:top w:val="single" w:sz="6" w:space="0" w:color="auto"/>
              <w:left w:val="single" w:sz="6" w:space="0" w:color="auto"/>
              <w:bottom w:val="nil"/>
              <w:right w:val="nil"/>
            </w:tcBorders>
            <w:hideMark/>
          </w:tcPr>
          <w:p>
            <w:pPr>
              <w:pStyle w:val="Fichefinanciretextetable"/>
              <w:rPr>
                <w:noProof/>
              </w:rPr>
            </w:pPr>
            <w:r>
              <w:rPr>
                <w:noProof/>
              </w:rPr>
              <w:t>2.</w:t>
            </w:r>
          </w:p>
        </w:tc>
        <w:tc>
          <w:tcPr>
            <w:tcW w:w="8561" w:type="dxa"/>
            <w:gridSpan w:val="6"/>
            <w:tcBorders>
              <w:top w:val="single" w:sz="6" w:space="0" w:color="auto"/>
              <w:left w:val="nil"/>
              <w:bottom w:val="single" w:sz="6" w:space="0" w:color="auto"/>
              <w:right w:val="single" w:sz="6" w:space="0" w:color="auto"/>
            </w:tcBorders>
          </w:tcPr>
          <w:p>
            <w:pPr>
              <w:pStyle w:val="Fichefinanciretextetable"/>
              <w:rPr>
                <w:noProof/>
                <w:sz w:val="24"/>
                <w:szCs w:val="24"/>
              </w:rPr>
            </w:pPr>
            <w:r>
              <w:rPr>
                <w:noProof/>
              </w:rPr>
              <w:t>TITLE:</w:t>
            </w:r>
            <w:r>
              <w:rPr>
                <w:noProof/>
              </w:rPr>
              <w:br/>
            </w:r>
            <w:r>
              <w:rPr>
                <w:noProof/>
                <w:sz w:val="24"/>
                <w:szCs w:val="24"/>
              </w:rPr>
              <w:t>Proposal for a Council Decision on the position to be taken on behalf of the European Union in the annual Assembly of the Lisbon Union of the World Intellectual Property Organization</w:t>
            </w:r>
          </w:p>
          <w:p>
            <w:pPr>
              <w:pStyle w:val="Fichefinanciretextetable"/>
              <w:rPr>
                <w:noProof/>
              </w:rPr>
            </w:pPr>
          </w:p>
        </w:tc>
      </w:tr>
      <w:tr>
        <w:tc>
          <w:tcPr>
            <w:tcW w:w="567" w:type="dxa"/>
            <w:tcBorders>
              <w:top w:val="single" w:sz="6" w:space="0" w:color="auto"/>
              <w:left w:val="single" w:sz="6" w:space="0" w:color="auto"/>
              <w:bottom w:val="nil"/>
              <w:right w:val="nil"/>
            </w:tcBorders>
            <w:hideMark/>
          </w:tcPr>
          <w:p>
            <w:pPr>
              <w:pStyle w:val="Fichefinanciretextetable"/>
              <w:rPr>
                <w:noProof/>
              </w:rPr>
            </w:pPr>
            <w:r>
              <w:rPr>
                <w:noProof/>
              </w:rPr>
              <w:t>3.</w:t>
            </w:r>
          </w:p>
        </w:tc>
        <w:tc>
          <w:tcPr>
            <w:tcW w:w="8561" w:type="dxa"/>
            <w:gridSpan w:val="6"/>
            <w:tcBorders>
              <w:top w:val="single" w:sz="6" w:space="0" w:color="auto"/>
              <w:left w:val="nil"/>
              <w:bottom w:val="single" w:sz="6" w:space="0" w:color="auto"/>
              <w:right w:val="single" w:sz="6" w:space="0" w:color="auto"/>
            </w:tcBorders>
            <w:hideMark/>
          </w:tcPr>
          <w:p>
            <w:pPr>
              <w:spacing w:after="240"/>
              <w:rPr>
                <w:rFonts w:eastAsia="Arial Unicode MS"/>
                <w:noProof/>
              </w:rPr>
            </w:pPr>
            <w:r>
              <w:rPr>
                <w:noProof/>
              </w:rPr>
              <w:t>LEGAL BASIS: The legal basis for this proposal is Article 207, in conjunction with Article 218(9), of the Treaty on the Functioning of the European Union.</w:t>
            </w:r>
          </w:p>
        </w:tc>
      </w:tr>
      <w:tr>
        <w:tc>
          <w:tcPr>
            <w:tcW w:w="567" w:type="dxa"/>
            <w:tcBorders>
              <w:top w:val="single" w:sz="6" w:space="0" w:color="auto"/>
              <w:left w:val="single" w:sz="6" w:space="0" w:color="auto"/>
              <w:bottom w:val="single" w:sz="6" w:space="0" w:color="auto"/>
              <w:right w:val="nil"/>
            </w:tcBorders>
            <w:hideMark/>
          </w:tcPr>
          <w:p>
            <w:pPr>
              <w:pStyle w:val="Fichefinanciretextetable"/>
              <w:rPr>
                <w:noProof/>
              </w:rPr>
            </w:pPr>
            <w:r>
              <w:rPr>
                <w:noProof/>
              </w:rPr>
              <w:t>4.</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rPr>
                <w:noProof/>
                <w:sz w:val="24"/>
                <w:szCs w:val="24"/>
              </w:rPr>
            </w:pPr>
            <w:r>
              <w:rPr>
                <w:noProof/>
                <w:sz w:val="24"/>
                <w:szCs w:val="24"/>
              </w:rPr>
              <w:t>AIMS:</w:t>
            </w:r>
          </w:p>
          <w:p>
            <w:pPr>
              <w:pStyle w:val="Fichefinanciretextetable"/>
              <w:rPr>
                <w:noProof/>
                <w:sz w:val="24"/>
                <w:szCs w:val="24"/>
              </w:rPr>
            </w:pPr>
            <w:r>
              <w:rPr>
                <w:noProof/>
                <w:sz w:val="24"/>
                <w:szCs w:val="24"/>
              </w:rPr>
              <w:t>To constitute a basis for the payment of special contributions to be able to cover the expenses of the Special Union.</w:t>
            </w:r>
          </w:p>
          <w:p>
            <w:pPr>
              <w:pStyle w:val="Fichefinanciretextetable"/>
              <w:rPr>
                <w:noProof/>
                <w:sz w:val="24"/>
                <w:szCs w:val="24"/>
              </w:rPr>
            </w:pPr>
            <w:r>
              <w:rPr>
                <w:noProof/>
                <w:sz w:val="24"/>
                <w:szCs w:val="24"/>
              </w:rPr>
              <w:t xml:space="preserve"> </w:t>
            </w:r>
          </w:p>
        </w:tc>
      </w:tr>
      <w:tr>
        <w:tc>
          <w:tcPr>
            <w:tcW w:w="567" w:type="dxa"/>
            <w:tcBorders>
              <w:top w:val="single" w:sz="6" w:space="0" w:color="auto"/>
              <w:left w:val="single" w:sz="6" w:space="0" w:color="auto"/>
              <w:bottom w:val="nil"/>
              <w:right w:val="nil"/>
            </w:tcBorders>
            <w:hideMark/>
          </w:tcPr>
          <w:p>
            <w:pPr>
              <w:pStyle w:val="Fichefinanciretextetable"/>
              <w:rPr>
                <w:noProof/>
              </w:rPr>
            </w:pPr>
            <w:r>
              <w:rPr>
                <w:noProof/>
              </w:rPr>
              <w:t>5.</w:t>
            </w:r>
          </w:p>
        </w:tc>
        <w:tc>
          <w:tcPr>
            <w:tcW w:w="3884" w:type="dxa"/>
            <w:tcBorders>
              <w:top w:val="single" w:sz="6" w:space="0" w:color="auto"/>
              <w:left w:val="nil"/>
              <w:bottom w:val="single" w:sz="6" w:space="0" w:color="auto"/>
              <w:right w:val="single" w:sz="6" w:space="0" w:color="auto"/>
            </w:tcBorders>
            <w:hideMark/>
          </w:tcPr>
          <w:p>
            <w:pPr>
              <w:pStyle w:val="Fichefinanciretextetable"/>
              <w:rPr>
                <w:noProof/>
              </w:rPr>
            </w:pPr>
            <w:r>
              <w:rPr>
                <w:noProof/>
              </w:rPr>
              <w:t>FINANCIAL IMPLICATIONS</w:t>
            </w:r>
          </w:p>
        </w:tc>
        <w:tc>
          <w:tcPr>
            <w:tcW w:w="1417" w:type="dxa"/>
            <w:tcBorders>
              <w:top w:val="single" w:sz="6" w:space="0" w:color="auto"/>
              <w:left w:val="single" w:sz="6" w:space="0" w:color="auto"/>
              <w:bottom w:val="single" w:sz="6" w:space="0" w:color="auto"/>
              <w:right w:val="single" w:sz="6" w:space="0" w:color="auto"/>
            </w:tcBorders>
            <w:hideMark/>
          </w:tcPr>
          <w:p>
            <w:pPr>
              <w:pStyle w:val="Fichefinanciretextetable"/>
              <w:jc w:val="center"/>
              <w:rPr>
                <w:noProof/>
              </w:rPr>
            </w:pPr>
            <w:r>
              <w:rPr>
                <w:noProof/>
              </w:rPr>
              <w:t>12 MONTH PERIOD</w:t>
            </w:r>
            <w:r>
              <w:rPr>
                <w:noProof/>
              </w:rPr>
              <w:br/>
            </w:r>
            <w:r>
              <w:rPr>
                <w:noProof/>
              </w:rPr>
              <w:br/>
              <w:t>(EUR)</w:t>
            </w: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jc w:val="center"/>
              <w:rPr>
                <w:noProof/>
              </w:rPr>
            </w:pPr>
            <w:r>
              <w:rPr>
                <w:noProof/>
              </w:rPr>
              <w:t>CURRENT FINANCIAL YEAR 2020</w:t>
            </w:r>
          </w:p>
          <w:p>
            <w:pPr>
              <w:pStyle w:val="Fichefinanciretextetable"/>
              <w:jc w:val="center"/>
              <w:rPr>
                <w:noProof/>
              </w:rPr>
            </w:pPr>
            <w:r>
              <w:rPr>
                <w:noProof/>
              </w:rPr>
              <w:t>(EUR)</w:t>
            </w: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jc w:val="center"/>
              <w:rPr>
                <w:noProof/>
              </w:rPr>
            </w:pPr>
            <w:r>
              <w:rPr>
                <w:noProof/>
              </w:rPr>
              <w:t xml:space="preserve">FOLLOWING FINANCIAL YEAR 2021 </w:t>
            </w:r>
          </w:p>
          <w:p>
            <w:pPr>
              <w:pStyle w:val="Fichefinanciretextetable"/>
              <w:jc w:val="center"/>
              <w:rPr>
                <w:noProof/>
              </w:rPr>
            </w:pPr>
            <w:r>
              <w:rPr>
                <w:noProof/>
              </w:rPr>
              <w:t>(EUR)</w:t>
            </w:r>
          </w:p>
        </w:tc>
      </w:tr>
      <w:tr>
        <w:tc>
          <w:tcPr>
            <w:tcW w:w="567" w:type="dxa"/>
            <w:tcBorders>
              <w:top w:val="single" w:sz="6" w:space="0" w:color="auto"/>
              <w:left w:val="single" w:sz="6" w:space="0" w:color="auto"/>
              <w:bottom w:val="nil"/>
              <w:right w:val="nil"/>
            </w:tcBorders>
            <w:hideMark/>
          </w:tcPr>
          <w:p>
            <w:pPr>
              <w:pStyle w:val="Fichefinanciretextetable"/>
              <w:rPr>
                <w:noProof/>
              </w:rPr>
            </w:pPr>
            <w:r>
              <w:rPr>
                <w:noProof/>
              </w:rPr>
              <w:t>5.0</w:t>
            </w:r>
          </w:p>
        </w:tc>
        <w:tc>
          <w:tcPr>
            <w:tcW w:w="3884" w:type="dxa"/>
            <w:tcBorders>
              <w:top w:val="single" w:sz="6" w:space="0" w:color="auto"/>
              <w:left w:val="nil"/>
              <w:bottom w:val="single" w:sz="6" w:space="0" w:color="auto"/>
              <w:right w:val="single" w:sz="6" w:space="0" w:color="auto"/>
            </w:tcBorders>
            <w:hideMark/>
          </w:tcPr>
          <w:p>
            <w:pPr>
              <w:pStyle w:val="Fichefinanciretextetable"/>
              <w:rPr>
                <w:noProof/>
              </w:rPr>
            </w:pPr>
            <w:r>
              <w:rPr>
                <w:noProof/>
              </w:rPr>
              <w:t>EXPENDITURE</w:t>
            </w:r>
          </w:p>
          <w:p>
            <w:pPr>
              <w:pStyle w:val="Fichefinanciretextetable"/>
              <w:rPr>
                <w:noProof/>
              </w:rPr>
            </w:pPr>
            <w:r>
              <w:rPr>
                <w:noProof/>
              </w:rPr>
              <w:t>-</w:t>
            </w:r>
            <w:r>
              <w:rPr>
                <w:noProof/>
              </w:rPr>
              <w:tab/>
              <w:t>CHARGED TO THE EU BUDGET</w:t>
            </w:r>
            <w:r>
              <w:rPr>
                <w:noProof/>
              </w:rPr>
              <w:br/>
              <w:t>(REFUNDS/INTERVENTIONS)</w:t>
            </w:r>
          </w:p>
          <w:p>
            <w:pPr>
              <w:pStyle w:val="Fichefinanciretextetable"/>
              <w:rPr>
                <w:noProof/>
              </w:rPr>
            </w:pPr>
            <w:r>
              <w:rPr>
                <w:noProof/>
              </w:rPr>
              <w:t>-</w:t>
            </w:r>
            <w:r>
              <w:rPr>
                <w:noProof/>
              </w:rPr>
              <w:tab/>
              <w:t>NATIONAL AUTHORITIES</w:t>
            </w:r>
          </w:p>
          <w:p>
            <w:pPr>
              <w:pStyle w:val="Fichefinanciretextetable"/>
              <w:rPr>
                <w:noProof/>
              </w:rPr>
            </w:pPr>
            <w:r>
              <w:rPr>
                <w:noProof/>
              </w:rPr>
              <w:t>-</w:t>
            </w:r>
            <w:r>
              <w:rPr>
                <w:noProof/>
              </w:rPr>
              <w:tab/>
              <w:t>OTHER</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jc w:val="center"/>
              <w:rPr>
                <w:noProof/>
              </w:rPr>
            </w:pPr>
            <w:r>
              <w:rPr>
                <w:noProof/>
                <w:sz w:val="24"/>
                <w:szCs w:val="24"/>
              </w:rPr>
              <w:t>1 million</w:t>
            </w: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jc w:val="center"/>
              <w:rPr>
                <w:noProof/>
                <w:sz w:val="24"/>
                <w:szCs w:val="24"/>
              </w:rPr>
            </w:pPr>
            <w:r>
              <w:rPr>
                <w:noProof/>
                <w:sz w:val="24"/>
                <w:szCs w:val="24"/>
              </w:rPr>
              <w:t>1 million</w:t>
            </w: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tabs>
                <w:tab w:val="left" w:pos="435"/>
                <w:tab w:val="center" w:pos="794"/>
              </w:tabs>
              <w:jc w:val="center"/>
              <w:rPr>
                <w:noProof/>
              </w:rPr>
            </w:pPr>
            <w:r>
              <w:rPr>
                <w:noProof/>
                <w:sz w:val="24"/>
                <w:szCs w:val="24"/>
              </w:rPr>
              <w:t>1 million</w:t>
            </w:r>
          </w:p>
        </w:tc>
      </w:tr>
      <w:tr>
        <w:tc>
          <w:tcPr>
            <w:tcW w:w="567" w:type="dxa"/>
            <w:tcBorders>
              <w:top w:val="single" w:sz="6" w:space="0" w:color="auto"/>
              <w:left w:val="single" w:sz="6" w:space="0" w:color="auto"/>
              <w:bottom w:val="single" w:sz="6" w:space="0" w:color="auto"/>
              <w:right w:val="nil"/>
            </w:tcBorders>
            <w:hideMark/>
          </w:tcPr>
          <w:p>
            <w:pPr>
              <w:pStyle w:val="Fichefinanciretextetable"/>
              <w:rPr>
                <w:noProof/>
              </w:rPr>
            </w:pPr>
            <w:r>
              <w:rPr>
                <w:noProof/>
              </w:rPr>
              <w:t>5.1</w:t>
            </w:r>
          </w:p>
        </w:tc>
        <w:tc>
          <w:tcPr>
            <w:tcW w:w="3884" w:type="dxa"/>
            <w:tcBorders>
              <w:top w:val="single" w:sz="6" w:space="0" w:color="auto"/>
              <w:left w:val="nil"/>
              <w:bottom w:val="single" w:sz="6" w:space="0" w:color="auto"/>
              <w:right w:val="single" w:sz="6" w:space="0" w:color="auto"/>
            </w:tcBorders>
            <w:hideMark/>
          </w:tcPr>
          <w:p>
            <w:pPr>
              <w:pStyle w:val="Fichefinanciretextetable"/>
              <w:rPr>
                <w:noProof/>
              </w:rPr>
            </w:pPr>
            <w:r>
              <w:rPr>
                <w:noProof/>
              </w:rPr>
              <w:t>REVENUE</w:t>
            </w:r>
          </w:p>
          <w:p>
            <w:pPr>
              <w:pStyle w:val="Fichefinanciretextetable"/>
              <w:rPr>
                <w:noProof/>
              </w:rPr>
            </w:pPr>
            <w:r>
              <w:rPr>
                <w:noProof/>
              </w:rPr>
              <w:t>-</w:t>
            </w:r>
            <w:r>
              <w:rPr>
                <w:noProof/>
              </w:rPr>
              <w:tab/>
              <w:t xml:space="preserve">OWN RESOURCES OF THE EU </w:t>
            </w:r>
            <w:r>
              <w:rPr>
                <w:noProof/>
              </w:rPr>
              <w:br/>
              <w:t>(LEVIES/CUSTOMS DUTIES)</w:t>
            </w:r>
          </w:p>
          <w:p>
            <w:pPr>
              <w:pStyle w:val="Fichefinanciretextetable"/>
              <w:rPr>
                <w:noProof/>
              </w:rPr>
            </w:pPr>
            <w:r>
              <w:rPr>
                <w:noProof/>
              </w:rPr>
              <w:t>-</w:t>
            </w:r>
            <w:r>
              <w:rPr>
                <w:noProof/>
              </w:rPr>
              <w:tab/>
              <w:t>NATIONAL</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pPr>
              <w:pStyle w:val="Fichefinanciretextetable"/>
              <w:jc w:val="center"/>
              <w:rPr>
                <w:noProof/>
              </w:rPr>
            </w:pPr>
          </w:p>
        </w:tc>
        <w:tc>
          <w:tcPr>
            <w:tcW w:w="1701" w:type="dxa"/>
            <w:gridSpan w:val="2"/>
            <w:tcBorders>
              <w:top w:val="single" w:sz="6" w:space="0" w:color="auto"/>
              <w:left w:val="single" w:sz="6" w:space="0" w:color="auto"/>
              <w:bottom w:val="single" w:sz="6" w:space="0" w:color="auto"/>
              <w:right w:val="single" w:sz="6" w:space="0" w:color="auto"/>
            </w:tcBorders>
          </w:tcPr>
          <w:p>
            <w:pPr>
              <w:pStyle w:val="Fichefinanciretextetable"/>
              <w:jc w:val="center"/>
              <w:rPr>
                <w:noProof/>
              </w:rPr>
            </w:pPr>
          </w:p>
        </w:tc>
      </w:tr>
      <w:tr>
        <w:tc>
          <w:tcPr>
            <w:tcW w:w="567" w:type="dxa"/>
            <w:tcBorders>
              <w:top w:val="single" w:sz="6" w:space="0" w:color="auto"/>
              <w:left w:val="single" w:sz="6" w:space="0" w:color="auto"/>
              <w:bottom w:val="nil"/>
              <w:right w:val="nil"/>
            </w:tcBorders>
          </w:tcPr>
          <w:p>
            <w:pPr>
              <w:pStyle w:val="Fichefinanciretextetable"/>
              <w:rPr>
                <w:noProof/>
              </w:rPr>
            </w:pPr>
          </w:p>
        </w:tc>
        <w:tc>
          <w:tcPr>
            <w:tcW w:w="3884" w:type="dxa"/>
            <w:tcBorders>
              <w:top w:val="single" w:sz="6" w:space="0" w:color="auto"/>
              <w:left w:val="nil"/>
              <w:bottom w:val="nil"/>
              <w:right w:val="single" w:sz="6" w:space="0" w:color="auto"/>
            </w:tcBorders>
          </w:tcPr>
          <w:p>
            <w:pPr>
              <w:pStyle w:val="Fichefinanciretextetable"/>
              <w:rPr>
                <w:noProof/>
              </w:rPr>
            </w:pPr>
          </w:p>
        </w:tc>
        <w:tc>
          <w:tcPr>
            <w:tcW w:w="1417" w:type="dxa"/>
            <w:tcBorders>
              <w:top w:val="single" w:sz="6" w:space="0" w:color="auto"/>
              <w:left w:val="single" w:sz="6" w:space="0" w:color="auto"/>
              <w:bottom w:val="nil"/>
              <w:right w:val="single" w:sz="6" w:space="0" w:color="auto"/>
            </w:tcBorders>
          </w:tcPr>
          <w:p>
            <w:pPr>
              <w:pStyle w:val="Fichefinanciretextetable"/>
              <w:jc w:val="center"/>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jc w:val="center"/>
            </w:pPr>
          </w:p>
        </w:tc>
        <w:tc>
          <w:tcPr>
            <w:tcW w:w="1701" w:type="dxa"/>
            <w:gridSpan w:val="2"/>
            <w:tcBorders>
              <w:top w:val="single" w:sz="6" w:space="0" w:color="auto"/>
              <w:left w:val="single" w:sz="6" w:space="0" w:color="auto"/>
              <w:bottom w:val="nil"/>
              <w:right w:val="single" w:sz="6" w:space="0" w:color="auto"/>
            </w:tcBorders>
          </w:tcPr>
          <w:p>
            <w:pPr>
              <w:pStyle w:val="Fichefinanciretextetable"/>
              <w:jc w:val="center"/>
            </w:pPr>
          </w:p>
        </w:tc>
      </w:tr>
      <w:tr>
        <w:tc>
          <w:tcPr>
            <w:tcW w:w="567" w:type="dxa"/>
            <w:tcBorders>
              <w:top w:val="nil"/>
              <w:left w:val="single" w:sz="6" w:space="0" w:color="auto"/>
              <w:bottom w:val="nil"/>
              <w:right w:val="nil"/>
            </w:tcBorders>
            <w:hideMark/>
          </w:tcPr>
          <w:p>
            <w:pPr>
              <w:pStyle w:val="Fichefinanciretextetable"/>
              <w:rPr>
                <w:noProof/>
              </w:rPr>
            </w:pPr>
            <w:r>
              <w:rPr>
                <w:noProof/>
              </w:rPr>
              <w:t>5.0.1</w:t>
            </w:r>
          </w:p>
        </w:tc>
        <w:tc>
          <w:tcPr>
            <w:tcW w:w="3884" w:type="dxa"/>
            <w:tcBorders>
              <w:top w:val="nil"/>
              <w:left w:val="nil"/>
              <w:bottom w:val="nil"/>
              <w:right w:val="single" w:sz="6" w:space="0" w:color="auto"/>
            </w:tcBorders>
            <w:hideMark/>
          </w:tcPr>
          <w:p>
            <w:pPr>
              <w:pStyle w:val="Fichefinanciretextetable"/>
              <w:rPr>
                <w:noProof/>
              </w:rPr>
            </w:pPr>
            <w:r>
              <w:rPr>
                <w:noProof/>
              </w:rPr>
              <w:t>ESTIMATED EXPENDITURE</w:t>
            </w:r>
          </w:p>
        </w:tc>
        <w:tc>
          <w:tcPr>
            <w:tcW w:w="1417" w:type="dxa"/>
            <w:tcBorders>
              <w:top w:val="single" w:sz="6" w:space="0" w:color="auto"/>
              <w:left w:val="single" w:sz="6" w:space="0" w:color="auto"/>
              <w:bottom w:val="nil"/>
              <w:right w:val="single" w:sz="6" w:space="0" w:color="auto"/>
            </w:tcBorders>
          </w:tcPr>
          <w:p>
            <w:pPr>
              <w:pStyle w:val="Fichefinanciretextetable"/>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jc w:val="center"/>
              <w:rPr>
                <w:noProof/>
              </w:rPr>
            </w:pPr>
          </w:p>
        </w:tc>
        <w:tc>
          <w:tcPr>
            <w:tcW w:w="1701" w:type="dxa"/>
            <w:gridSpan w:val="2"/>
            <w:vMerge w:val="restart"/>
            <w:tcBorders>
              <w:top w:val="single" w:sz="6" w:space="0" w:color="auto"/>
              <w:left w:val="single" w:sz="6" w:space="0" w:color="auto"/>
              <w:right w:val="single" w:sz="6" w:space="0" w:color="auto"/>
            </w:tcBorders>
          </w:tcPr>
          <w:p>
            <w:pPr>
              <w:pStyle w:val="Fichefinanciretextetable"/>
              <w:jc w:val="center"/>
              <w:rPr>
                <w:noProof/>
              </w:rPr>
            </w:pPr>
          </w:p>
        </w:tc>
      </w:tr>
      <w:tr>
        <w:tc>
          <w:tcPr>
            <w:tcW w:w="567" w:type="dxa"/>
            <w:tcBorders>
              <w:top w:val="nil"/>
              <w:left w:val="single" w:sz="6" w:space="0" w:color="auto"/>
              <w:bottom w:val="single" w:sz="6" w:space="0" w:color="auto"/>
              <w:right w:val="nil"/>
            </w:tcBorders>
            <w:hideMark/>
          </w:tcPr>
          <w:p>
            <w:pPr>
              <w:pStyle w:val="Fichefinanciretextetable"/>
              <w:rPr>
                <w:noProof/>
              </w:rPr>
            </w:pPr>
            <w:r>
              <w:rPr>
                <w:noProof/>
              </w:rPr>
              <w:t>5.1.1</w:t>
            </w:r>
          </w:p>
        </w:tc>
        <w:tc>
          <w:tcPr>
            <w:tcW w:w="3884" w:type="dxa"/>
            <w:tcBorders>
              <w:top w:val="nil"/>
              <w:left w:val="nil"/>
              <w:bottom w:val="single" w:sz="6" w:space="0" w:color="auto"/>
              <w:right w:val="single" w:sz="6" w:space="0" w:color="auto"/>
            </w:tcBorders>
            <w:hideMark/>
          </w:tcPr>
          <w:p>
            <w:pPr>
              <w:pStyle w:val="Fichefinanciretextetable"/>
              <w:rPr>
                <w:noProof/>
              </w:rPr>
            </w:pPr>
            <w:r>
              <w:rPr>
                <w:noProof/>
              </w:rPr>
              <w:t>ESTIMATED REVENUE</w:t>
            </w:r>
          </w:p>
        </w:tc>
        <w:tc>
          <w:tcPr>
            <w:tcW w:w="1417" w:type="dxa"/>
            <w:tcBorders>
              <w:top w:val="nil"/>
              <w:left w:val="single" w:sz="6" w:space="0" w:color="auto"/>
              <w:bottom w:val="single" w:sz="6" w:space="0" w:color="auto"/>
              <w:right w:val="single" w:sz="6" w:space="0" w:color="auto"/>
            </w:tcBorders>
          </w:tcPr>
          <w:p>
            <w:pPr>
              <w:pStyle w:val="Fichefinanciretextetable"/>
              <w:jc w:val="center"/>
              <w:rPr>
                <w:noProof/>
              </w:rPr>
            </w:pPr>
          </w:p>
        </w:tc>
        <w:tc>
          <w:tcPr>
            <w:tcW w:w="1559" w:type="dxa"/>
            <w:gridSpan w:val="2"/>
            <w:tcBorders>
              <w:top w:val="nil"/>
              <w:left w:val="single" w:sz="6" w:space="0" w:color="auto"/>
              <w:bottom w:val="single" w:sz="6" w:space="0" w:color="auto"/>
              <w:right w:val="single" w:sz="6" w:space="0" w:color="auto"/>
            </w:tcBorders>
          </w:tcPr>
          <w:p>
            <w:pPr>
              <w:pStyle w:val="Fichefinanciretextetable"/>
              <w:jc w:val="center"/>
              <w:rPr>
                <w:noProof/>
              </w:rPr>
            </w:pPr>
          </w:p>
        </w:tc>
        <w:tc>
          <w:tcPr>
            <w:tcW w:w="1701" w:type="dxa"/>
            <w:gridSpan w:val="2"/>
            <w:vMerge/>
            <w:tcBorders>
              <w:left w:val="single" w:sz="6" w:space="0" w:color="auto"/>
              <w:bottom w:val="single" w:sz="6" w:space="0" w:color="auto"/>
              <w:right w:val="single" w:sz="6" w:space="0" w:color="auto"/>
            </w:tcBorders>
          </w:tcPr>
          <w:p>
            <w:pPr>
              <w:pStyle w:val="Fichefinanciretextetable"/>
              <w:jc w:val="center"/>
              <w:rPr>
                <w:noProof/>
              </w:rPr>
            </w:pPr>
          </w:p>
        </w:tc>
      </w:tr>
      <w:tr>
        <w:tc>
          <w:tcPr>
            <w:tcW w:w="567" w:type="dxa"/>
            <w:tcBorders>
              <w:top w:val="single" w:sz="6" w:space="0" w:color="auto"/>
              <w:left w:val="single" w:sz="6" w:space="0" w:color="auto"/>
              <w:bottom w:val="single" w:sz="6" w:space="0" w:color="auto"/>
              <w:right w:val="nil"/>
            </w:tcBorders>
            <w:hideMark/>
          </w:tcPr>
          <w:p>
            <w:pPr>
              <w:pStyle w:val="Fichefinanciretextetable"/>
              <w:rPr>
                <w:noProof/>
              </w:rPr>
            </w:pPr>
            <w:r>
              <w:rPr>
                <w:noProof/>
              </w:rPr>
              <w:t>5.2</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spacing w:before="60" w:after="60"/>
              <w:rPr>
                <w:noProof/>
              </w:rPr>
            </w:pPr>
            <w:r>
              <w:rPr>
                <w:noProof/>
              </w:rPr>
              <w:t xml:space="preserve">METHOD OF CALCULATION: </w:t>
            </w:r>
          </w:p>
        </w:tc>
      </w:tr>
      <w:tr>
        <w:tc>
          <w:tcPr>
            <w:tcW w:w="567" w:type="dxa"/>
            <w:tcBorders>
              <w:top w:val="single" w:sz="6" w:space="0" w:color="auto"/>
              <w:left w:val="single" w:sz="6" w:space="0" w:color="auto"/>
              <w:bottom w:val="nil"/>
              <w:right w:val="nil"/>
            </w:tcBorders>
            <w:hideMark/>
          </w:tcPr>
          <w:p>
            <w:pPr>
              <w:pStyle w:val="Fichefinanciretextetable"/>
              <w:rPr>
                <w:noProof/>
              </w:rPr>
            </w:pPr>
            <w:r>
              <w:rPr>
                <w:noProof/>
              </w:rPr>
              <w:t>6.0</w:t>
            </w:r>
          </w:p>
        </w:tc>
        <w:tc>
          <w:tcPr>
            <w:tcW w:w="7427" w:type="dxa"/>
            <w:gridSpan w:val="5"/>
            <w:tcBorders>
              <w:top w:val="single" w:sz="6" w:space="0" w:color="auto"/>
              <w:left w:val="nil"/>
              <w:bottom w:val="single" w:sz="6" w:space="0" w:color="auto"/>
              <w:right w:val="nil"/>
            </w:tcBorders>
            <w:hideMark/>
          </w:tcPr>
          <w:p>
            <w:pPr>
              <w:pStyle w:val="Fichefinanciretextetable"/>
              <w:spacing w:before="60" w:after="60"/>
              <w:rPr>
                <w:noProof/>
              </w:rPr>
            </w:pPr>
            <w:r>
              <w:rPr>
                <w:noProof/>
              </w:rPr>
              <w:t>CAN THE PROJECT BE FINANCED FROM APPROPRIATIONS ENTERED IN THE RELEVANT CHAPTER OF THE CURRENT BUDGET?</w:t>
            </w:r>
          </w:p>
        </w:tc>
        <w:tc>
          <w:tcPr>
            <w:tcW w:w="1134" w:type="dxa"/>
            <w:tcBorders>
              <w:top w:val="single" w:sz="6" w:space="0" w:color="auto"/>
              <w:left w:val="nil"/>
              <w:bottom w:val="nil"/>
              <w:right w:val="single" w:sz="6" w:space="0" w:color="auto"/>
            </w:tcBorders>
            <w:hideMark/>
          </w:tcPr>
          <w:p>
            <w:pPr>
              <w:pStyle w:val="Fichefinanciretextetable"/>
              <w:jc w:val="center"/>
              <w:rPr>
                <w:noProof/>
              </w:rPr>
            </w:pPr>
            <w:r>
              <w:rPr>
                <w:noProof/>
              </w:rPr>
              <w:t>YES</w:t>
            </w:r>
          </w:p>
        </w:tc>
      </w:tr>
      <w:tr>
        <w:tc>
          <w:tcPr>
            <w:tcW w:w="567" w:type="dxa"/>
            <w:tcBorders>
              <w:top w:val="single" w:sz="6" w:space="0" w:color="auto"/>
              <w:left w:val="single" w:sz="6" w:space="0" w:color="auto"/>
              <w:bottom w:val="nil"/>
              <w:right w:val="nil"/>
            </w:tcBorders>
            <w:hideMark/>
          </w:tcPr>
          <w:p>
            <w:pPr>
              <w:pStyle w:val="Fichefinanciretextetable"/>
              <w:rPr>
                <w:noProof/>
              </w:rPr>
            </w:pPr>
            <w:r>
              <w:rPr>
                <w:noProof/>
              </w:rPr>
              <w:t>6.1</w:t>
            </w:r>
          </w:p>
        </w:tc>
        <w:tc>
          <w:tcPr>
            <w:tcW w:w="7427" w:type="dxa"/>
            <w:gridSpan w:val="5"/>
            <w:tcBorders>
              <w:top w:val="single" w:sz="6" w:space="0" w:color="auto"/>
              <w:left w:val="nil"/>
              <w:bottom w:val="single" w:sz="6" w:space="0" w:color="auto"/>
              <w:right w:val="nil"/>
            </w:tcBorders>
            <w:hideMark/>
          </w:tcPr>
          <w:p>
            <w:pPr>
              <w:pStyle w:val="Fichefinanciretextetable"/>
              <w:spacing w:before="60" w:after="60"/>
              <w:rPr>
                <w:noProof/>
              </w:rPr>
            </w:pPr>
            <w:r>
              <w:rPr>
                <w:noProof/>
              </w:rPr>
              <w:t>CAN THE PROJECT BE FINANCED BY TRANSFER BETWEEN CHAPTERS OF THE CURRENT BUDGET?</w:t>
            </w:r>
          </w:p>
        </w:tc>
        <w:tc>
          <w:tcPr>
            <w:tcW w:w="1134" w:type="dxa"/>
            <w:tcBorders>
              <w:top w:val="single" w:sz="6" w:space="0" w:color="auto"/>
              <w:left w:val="nil"/>
              <w:bottom w:val="nil"/>
              <w:right w:val="single" w:sz="6" w:space="0" w:color="auto"/>
            </w:tcBorders>
            <w:hideMark/>
          </w:tcPr>
          <w:p>
            <w:pPr>
              <w:pStyle w:val="Fichefinanciretextetable"/>
              <w:jc w:val="center"/>
              <w:rPr>
                <w:strike/>
                <w:noProof/>
              </w:rPr>
            </w:pPr>
            <w:r>
              <w:rPr>
                <w:strike/>
                <w:noProof/>
              </w:rPr>
              <w:t>YES NO</w:t>
            </w:r>
          </w:p>
        </w:tc>
      </w:tr>
      <w:tr>
        <w:tc>
          <w:tcPr>
            <w:tcW w:w="567" w:type="dxa"/>
            <w:tcBorders>
              <w:top w:val="single" w:sz="6" w:space="0" w:color="auto"/>
              <w:left w:val="single" w:sz="6" w:space="0" w:color="auto"/>
              <w:bottom w:val="nil"/>
              <w:right w:val="nil"/>
            </w:tcBorders>
            <w:hideMark/>
          </w:tcPr>
          <w:p>
            <w:pPr>
              <w:pStyle w:val="Fichefinanciretextetable"/>
              <w:rPr>
                <w:noProof/>
              </w:rPr>
            </w:pPr>
            <w:r>
              <w:rPr>
                <w:noProof/>
              </w:rPr>
              <w:t>6.2</w:t>
            </w:r>
          </w:p>
        </w:tc>
        <w:tc>
          <w:tcPr>
            <w:tcW w:w="7427" w:type="dxa"/>
            <w:gridSpan w:val="5"/>
            <w:tcBorders>
              <w:top w:val="single" w:sz="6" w:space="0" w:color="auto"/>
              <w:left w:val="nil"/>
              <w:bottom w:val="single" w:sz="6" w:space="0" w:color="auto"/>
              <w:right w:val="nil"/>
            </w:tcBorders>
            <w:hideMark/>
          </w:tcPr>
          <w:p>
            <w:pPr>
              <w:pStyle w:val="Fichefinanciretextetable"/>
              <w:spacing w:before="60" w:after="60"/>
              <w:rPr>
                <w:noProof/>
              </w:rPr>
            </w:pPr>
            <w:r>
              <w:rPr>
                <w:noProof/>
              </w:rPr>
              <w:t>WILL A SUPPLEMENTARY BUDGET BE NECESSARY?</w:t>
            </w:r>
          </w:p>
        </w:tc>
        <w:tc>
          <w:tcPr>
            <w:tcW w:w="1134" w:type="dxa"/>
            <w:tcBorders>
              <w:top w:val="single" w:sz="6" w:space="0" w:color="auto"/>
              <w:left w:val="nil"/>
              <w:bottom w:val="nil"/>
              <w:right w:val="single" w:sz="6" w:space="0" w:color="auto"/>
            </w:tcBorders>
            <w:hideMark/>
          </w:tcPr>
          <w:p>
            <w:pPr>
              <w:pStyle w:val="Fichefinanciretextetable"/>
              <w:rPr>
                <w:noProof/>
              </w:rPr>
            </w:pPr>
            <w:r>
              <w:rPr>
                <w:noProof/>
              </w:rPr>
              <w:t xml:space="preserve">        NO</w:t>
            </w:r>
          </w:p>
        </w:tc>
      </w:tr>
      <w:tr>
        <w:tc>
          <w:tcPr>
            <w:tcW w:w="567" w:type="dxa"/>
            <w:tcBorders>
              <w:top w:val="single" w:sz="6" w:space="0" w:color="auto"/>
              <w:left w:val="single" w:sz="6" w:space="0" w:color="auto"/>
              <w:bottom w:val="single" w:sz="6" w:space="0" w:color="auto"/>
              <w:right w:val="nil"/>
            </w:tcBorders>
            <w:hideMark/>
          </w:tcPr>
          <w:p>
            <w:pPr>
              <w:pStyle w:val="Fichefinanciretextetable"/>
              <w:rPr>
                <w:noProof/>
              </w:rPr>
            </w:pPr>
            <w:r>
              <w:rPr>
                <w:noProof/>
              </w:rPr>
              <w:t>6.3</w:t>
            </w:r>
          </w:p>
        </w:tc>
        <w:tc>
          <w:tcPr>
            <w:tcW w:w="7427" w:type="dxa"/>
            <w:gridSpan w:val="5"/>
            <w:tcBorders>
              <w:top w:val="single" w:sz="6" w:space="0" w:color="auto"/>
              <w:left w:val="nil"/>
              <w:bottom w:val="single" w:sz="6" w:space="0" w:color="auto"/>
              <w:right w:val="nil"/>
            </w:tcBorders>
            <w:hideMark/>
          </w:tcPr>
          <w:p>
            <w:pPr>
              <w:pStyle w:val="Fichefinanciretextetable"/>
              <w:spacing w:before="60" w:after="60"/>
              <w:rPr>
                <w:noProof/>
              </w:rPr>
            </w:pPr>
            <w:r>
              <w:rPr>
                <w:noProof/>
              </w:rPr>
              <w:t>WILL APPROPRIATIONS NEED TO BE ENTERED IN FUTURE BUDGETS?</w:t>
            </w:r>
          </w:p>
        </w:tc>
        <w:tc>
          <w:tcPr>
            <w:tcW w:w="1134" w:type="dxa"/>
            <w:tcBorders>
              <w:top w:val="single" w:sz="6" w:space="0" w:color="auto"/>
              <w:left w:val="nil"/>
              <w:bottom w:val="single" w:sz="6" w:space="0" w:color="auto"/>
              <w:right w:val="single" w:sz="6" w:space="0" w:color="auto"/>
            </w:tcBorders>
            <w:hideMark/>
          </w:tcPr>
          <w:p>
            <w:pPr>
              <w:pStyle w:val="Fichefinanciretextetable"/>
              <w:jc w:val="center"/>
            </w:pPr>
            <w:r>
              <w:rPr>
                <w:noProof/>
              </w:rPr>
              <w:t>YES</w:t>
            </w:r>
          </w:p>
        </w:tc>
      </w:tr>
      <w:tr>
        <w:tc>
          <w:tcPr>
            <w:tcW w:w="9128" w:type="dxa"/>
            <w:gridSpan w:val="7"/>
            <w:tcBorders>
              <w:top w:val="single" w:sz="6" w:space="0" w:color="auto"/>
              <w:left w:val="single" w:sz="6" w:space="0" w:color="auto"/>
              <w:bottom w:val="single" w:sz="6" w:space="0" w:color="auto"/>
              <w:right w:val="single" w:sz="6" w:space="0" w:color="auto"/>
            </w:tcBorders>
          </w:tcPr>
          <w:p>
            <w:pPr>
              <w:rPr>
                <w:noProof/>
              </w:rPr>
            </w:pPr>
            <w:r>
              <w:rPr>
                <w:noProof/>
              </w:rPr>
              <w:t>The Union may make a special contribution pursuant to Article 24(2)(v) of the Geneva Act within the means available for this purpose in the annual budget of the Union. In 2020, an amount of EUR 1 million is allocated to budget line 05 06 01 for this purpose.</w:t>
            </w:r>
          </w:p>
        </w:tc>
      </w:tr>
    </w:tbl>
    <w:p>
      <w:pPr>
        <w:rPr>
          <w:noProof/>
          <w:sz w:val="4"/>
          <w:szCs w:val="4"/>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(EU) 2019/1754 of 7 October 2019 on the accession of the European Union to the Geneva Act of the Lisbon Agreement on Appellations of Origin and Geographical Indications, OJ L 271/2019, p. 12-14.</w:t>
      </w:r>
    </w:p>
  </w:footnote>
  <w:footnote w:id="2">
    <w:p>
      <w:pPr>
        <w:pStyle w:val="FootnoteText"/>
        <w:rPr>
          <w:lang w:val="en-IE"/>
        </w:rPr>
      </w:pPr>
      <w:r>
        <w:rPr>
          <w:rStyle w:val="FootnoteReference"/>
        </w:rPr>
        <w:footnoteRef/>
      </w:r>
      <w:r>
        <w:tab/>
      </w:r>
      <w:r>
        <w:rPr>
          <w:szCs w:val="24"/>
        </w:rPr>
        <w:t>Article 14 (Special financial contribution) of Regulation (EU) 2019/1753 of the European Parliament and of the Council of 23 October 2019 on the action of the Union following its accession to the Geneva Act of the Lisbon Agreement on Appellations of Origin and Geographical Indications</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OJ L 271, 24.10.2019, p. 12.</w:t>
      </w:r>
    </w:p>
  </w:footnote>
  <w:footnote w:id="5">
    <w:p>
      <w:pPr>
        <w:pStyle w:val="FootnoteText"/>
        <w:rPr>
          <w:lang w:val="en-IE"/>
        </w:rPr>
      </w:pPr>
      <w:r>
        <w:rPr>
          <w:rStyle w:val="FootnoteReference"/>
        </w:rPr>
        <w:footnoteRef/>
      </w:r>
      <w:r>
        <w:tab/>
      </w:r>
      <w:r>
        <w:rPr>
          <w:szCs w:val="24"/>
        </w:rPr>
        <w:t>Regulation (EU) 2019/1753 of the European Parliament and of the Council of 23 October 2019 on the action of the Union following its accession to the Geneva Act of the Lisbon Agreement on Appellations of Origin and Geographical Indications (OJ L 271, 24.10. 2019,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FC93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C0B2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2C7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4CE8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2862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2401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2AE6DC"/>
    <w:lvl w:ilvl="0">
      <w:start w:val="1"/>
      <w:numFmt w:val="decimal"/>
      <w:pStyle w:val="ListNumber"/>
      <w:lvlText w:val="%1."/>
      <w:lvlJc w:val="left"/>
      <w:pPr>
        <w:tabs>
          <w:tab w:val="num" w:pos="360"/>
        </w:tabs>
        <w:ind w:left="360" w:hanging="360"/>
      </w:pPr>
    </w:lvl>
  </w:abstractNum>
  <w:abstractNum w:abstractNumId="7">
    <w:nsid w:val="FFFFFF89"/>
    <w:multiLevelType w:val="singleLevel"/>
    <w:tmpl w:val="A864A4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30 10:08: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D91385C-7D59-46AB-A5D6-A3FE9735E69F"/>
    <w:docVar w:name="LW_COVERPAGE_TYPE" w:val="1"/>
    <w:docVar w:name="LW_CROSSREFERENCE" w:val="&lt;UNUSED&gt;"/>
    <w:docVar w:name="LW_DocType" w:val="COM"/>
    <w:docVar w:name="LW_EMISSION" w:val="6.4.2020"/>
    <w:docVar w:name="LW_EMISSION_ISODATE" w:val="2020-04-06"/>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2"/>
    <w:docVar w:name="LW_REF.II.NEW.CP_YEAR" w:val="2020"/>
    <w:docVar w:name="LW_REF.INST.NEW" w:val="COM"/>
    <w:docVar w:name="LW_REF.INST.NEW_ADOPTED" w:val="final"/>
    <w:docVar w:name="LW_REF.INST.NEW_TEXT" w:val="(2020) 1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Assembly of the Lisbo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Legislative">
    <w:name w:val="Legislative"/>
    <w:basedOn w:val="Institutionquisigne"/>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Legislative">
    <w:name w:val="Legislative"/>
    <w:basedOn w:val="Institutionquisigne"/>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F99A1-C918-4F6A-BD2B-9C0B1264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2210</Words>
  <Characters>11076</Characters>
  <Application>Microsoft Office Word</Application>
  <DocSecurity>0</DocSecurity>
  <Lines>263</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2020-03-17T12:44:00Z</dcterms:created>
  <dcterms:modified xsi:type="dcterms:W3CDTF">2020-03-30T08:08:00Z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