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CF181F5A-78F8-4058-9944-EF8F7DBE0B8A" style="width:450.25pt;height:403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noProof/>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1"/>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2020 финансова година, приет на 27 ноември 2019 г.</w:t>
      </w:r>
      <w:r>
        <w:rPr>
          <w:rStyle w:val="FootnoteReference"/>
          <w:noProof/>
        </w:rPr>
        <w:footnoteReference w:id="2"/>
      </w:r>
      <w:r>
        <w:rPr>
          <w:noProof/>
        </w:rPr>
        <w:t>,</w:t>
      </w:r>
    </w:p>
    <w:p>
      <w:pPr>
        <w:jc w:val="both"/>
        <w:rPr>
          <w:rFonts w:ascii="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1 към бюджета за 2020 г.</w:t>
      </w:r>
    </w:p>
    <w:p>
      <w:pPr>
        <w:jc w:val="both"/>
        <w:rPr>
          <w:rFonts w:ascii="Times New Roman" w:hAnsi="Times New Roman" w:cs="Times New Roman"/>
          <w:b/>
          <w:noProof/>
          <w:sz w:val="24"/>
          <w:szCs w:val="24"/>
          <w:u w:val="single"/>
        </w:rPr>
      </w:pPr>
    </w:p>
    <w:p>
      <w:pPr>
        <w:jc w:val="both"/>
        <w:rPr>
          <w:rFonts w:ascii="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pPr>
        <w:jc w:val="both"/>
        <w:rPr>
          <w:rFonts w:ascii="Times New Roman" w:hAnsi="Times New Roman" w:cs="Times New Roman"/>
          <w:b/>
          <w:noProof/>
          <w:sz w:val="24"/>
          <w:szCs w:val="24"/>
          <w:u w:val="single"/>
        </w:rPr>
      </w:pPr>
    </w:p>
    <w:p>
      <w:pPr>
        <w:jc w:val="both"/>
        <w:rPr>
          <w:rFonts w:ascii="Times New Roman" w:hAnsi="Times New Roman" w:cs="Times New Roman"/>
          <w:noProof/>
          <w:sz w:val="24"/>
          <w:szCs w:val="24"/>
        </w:rPr>
      </w:pPr>
      <w:r>
        <w:rPr>
          <w:rFonts w:ascii="Times New Roman" w:hAnsi="Times New Roman"/>
          <w:noProof/>
          <w:sz w:val="24"/>
          <w:szCs w:val="24"/>
        </w:rPr>
        <w:t>Промените в общия разчет за приходната част на бюджета и в отделни раздели (III, V и VIII) са достъпни в EUR-Lex (</w:t>
      </w:r>
      <w:hyperlink r:id="rId16" w:history="1">
        <w:r>
          <w:rPr>
            <w:rStyle w:val="Hyperlink"/>
            <w:rFonts w:ascii="Times New Roman" w:hAnsi="Times New Roman"/>
            <w:noProof/>
            <w:sz w:val="24"/>
            <w:szCs w:val="24"/>
          </w:rPr>
          <w:t>https://eur-lex.europa.eu/budget/www/index-bg.htm</w:t>
        </w:r>
      </w:hyperlink>
      <w:r>
        <w:rPr>
          <w:rFonts w:ascii="Times New Roman" w:hAnsi="Times New Roman"/>
          <w:noProof/>
          <w:sz w:val="24"/>
          <w:szCs w:val="24"/>
        </w:rPr>
        <w:t>).</w:t>
      </w:r>
    </w:p>
    <w:p>
      <w:pPr>
        <w:rPr>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sdt>
      <w:sdtPr>
        <w:rPr>
          <w:rFonts w:asciiTheme="minorHAnsi" w:eastAsiaTheme="minorHAnsi" w:hAnsiTheme="minorHAnsi" w:cstheme="minorBidi"/>
          <w:b w:val="0"/>
          <w:noProof/>
          <w:sz w:val="24"/>
          <w:szCs w:val="22"/>
          <w:lang w:eastAsia="en-US"/>
        </w:rPr>
        <w:id w:val="-1342782297"/>
        <w:docPartObj>
          <w:docPartGallery w:val="Table of Contents"/>
          <w:docPartUnique/>
        </w:docPartObj>
      </w:sdtPr>
      <w:sdtEndPr>
        <w:rPr>
          <w:bCs/>
        </w:rPr>
      </w:sdtEndPr>
      <w:sdtContent>
        <w:p>
          <w:pPr>
            <w:pStyle w:val="TOCHeading"/>
            <w:rPr>
              <w:noProof/>
            </w:rPr>
          </w:pPr>
          <w:r>
            <w:rPr>
              <w:noProof/>
            </w:rPr>
            <w:t>Съдържание</w:t>
          </w:r>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r>
            <w:rPr>
              <w:noProof/>
              <w:sz w:val="24"/>
              <w:szCs w:val="24"/>
            </w:rPr>
            <w:fldChar w:fldCharType="begin"/>
          </w:r>
          <w:r>
            <w:rPr>
              <w:noProof/>
              <w:sz w:val="24"/>
              <w:szCs w:val="24"/>
            </w:rPr>
            <w:instrText xml:space="preserve"> TOC \o "1-3" \h \z \u </w:instrText>
          </w:r>
          <w:r>
            <w:rPr>
              <w:noProof/>
              <w:sz w:val="24"/>
              <w:szCs w:val="24"/>
            </w:rPr>
            <w:fldChar w:fldCharType="separate"/>
          </w:r>
          <w:hyperlink w:anchor="_Toc36562606" w:history="1">
            <w:r>
              <w:rPr>
                <w:rStyle w:val="Hyperlink"/>
                <w:noProof/>
              </w:rPr>
              <w:t>1.</w:t>
            </w:r>
            <w:r>
              <w:rPr>
                <w:rFonts w:asciiTheme="minorHAnsi" w:eastAsiaTheme="minorEastAsia" w:hAnsiTheme="minorHAnsi" w:cstheme="minorBidi"/>
                <w:b w:val="0"/>
                <w:bCs w:val="0"/>
                <w:caps w:val="0"/>
                <w:noProof/>
                <w:lang w:val="en-US" w:eastAsia="en-US"/>
              </w:rPr>
              <w:tab/>
            </w:r>
            <w:r>
              <w:rPr>
                <w:rStyle w:val="Hyperlink"/>
                <w:noProof/>
              </w:rPr>
              <w:t>Въведение</w:t>
            </w:r>
            <w:r>
              <w:rPr>
                <w:noProof/>
                <w:webHidden/>
              </w:rPr>
              <w:tab/>
            </w:r>
            <w:r>
              <w:rPr>
                <w:noProof/>
                <w:webHidden/>
              </w:rPr>
              <w:fldChar w:fldCharType="begin"/>
            </w:r>
            <w:r>
              <w:rPr>
                <w:noProof/>
                <w:webHidden/>
              </w:rPr>
              <w:instrText xml:space="preserve"> PAGEREF _Toc36562606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07" w:history="1">
            <w:r>
              <w:rPr>
                <w:rStyle w:val="Hyperlink"/>
                <w:noProof/>
              </w:rPr>
              <w:t>2.</w:t>
            </w:r>
            <w:r>
              <w:rPr>
                <w:rFonts w:asciiTheme="minorHAnsi" w:eastAsiaTheme="minorEastAsia" w:hAnsiTheme="minorHAnsi" w:cstheme="minorBidi"/>
                <w:b w:val="0"/>
                <w:bCs w:val="0"/>
                <w:caps w:val="0"/>
                <w:noProof/>
                <w:lang w:val="en-US" w:eastAsia="en-US"/>
              </w:rPr>
              <w:tab/>
            </w:r>
            <w:r>
              <w:rPr>
                <w:rStyle w:val="Hyperlink"/>
                <w:noProof/>
              </w:rPr>
              <w:t>Помощ за Гърция в отговор на нарастващия миграционен натиск</w:t>
            </w:r>
            <w:r>
              <w:rPr>
                <w:noProof/>
                <w:webHidden/>
              </w:rPr>
              <w:tab/>
            </w:r>
            <w:r>
              <w:rPr>
                <w:noProof/>
                <w:webHidden/>
              </w:rPr>
              <w:fldChar w:fldCharType="begin"/>
            </w:r>
            <w:r>
              <w:rPr>
                <w:noProof/>
                <w:webHidden/>
              </w:rPr>
              <w:instrText xml:space="preserve"> PAGEREF _Toc36562607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08" w:history="1">
            <w:r>
              <w:rPr>
                <w:rStyle w:val="Hyperlink"/>
                <w:noProof/>
              </w:rPr>
              <w:t>3.</w:t>
            </w:r>
            <w:r>
              <w:rPr>
                <w:rFonts w:asciiTheme="minorHAnsi" w:eastAsiaTheme="minorEastAsia" w:hAnsiTheme="minorHAnsi" w:cstheme="minorBidi"/>
                <w:b w:val="0"/>
                <w:bCs w:val="0"/>
                <w:caps w:val="0"/>
                <w:noProof/>
                <w:lang w:val="en-US" w:eastAsia="en-US"/>
              </w:rPr>
              <w:tab/>
            </w:r>
            <w:r>
              <w:rPr>
                <w:rStyle w:val="Hyperlink"/>
                <w:noProof/>
              </w:rPr>
              <w:t>Спешни мерки в контекста на епидемичния взрив от COVID-19</w:t>
            </w:r>
            <w:r>
              <w:rPr>
                <w:noProof/>
                <w:webHidden/>
              </w:rPr>
              <w:tab/>
            </w:r>
            <w:r>
              <w:rPr>
                <w:noProof/>
                <w:webHidden/>
              </w:rPr>
              <w:fldChar w:fldCharType="begin"/>
            </w:r>
            <w:r>
              <w:rPr>
                <w:noProof/>
                <w:webHidden/>
              </w:rPr>
              <w:instrText xml:space="preserve"> PAGEREF _Toc36562608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09" w:history="1">
            <w:r>
              <w:rPr>
                <w:rStyle w:val="Hyperlink"/>
                <w:b/>
                <w:noProof/>
              </w:rPr>
              <w:t>3.1.</w:t>
            </w:r>
            <w:r>
              <w:rPr>
                <w:rFonts w:asciiTheme="minorHAnsi" w:eastAsiaTheme="minorEastAsia" w:hAnsiTheme="minorHAnsi" w:cstheme="minorBidi"/>
                <w:smallCaps w:val="0"/>
                <w:noProof/>
                <w:lang w:val="en-US" w:eastAsia="en-US"/>
              </w:rPr>
              <w:tab/>
            </w:r>
            <w:r>
              <w:rPr>
                <w:rStyle w:val="Hyperlink"/>
                <w:b/>
                <w:noProof/>
              </w:rPr>
              <w:t>Механизъм за гражданска защита (вътре в Съюза)</w:t>
            </w:r>
            <w:r>
              <w:rPr>
                <w:noProof/>
                <w:webHidden/>
              </w:rPr>
              <w:tab/>
            </w:r>
            <w:r>
              <w:rPr>
                <w:noProof/>
                <w:webHidden/>
              </w:rPr>
              <w:fldChar w:fldCharType="begin"/>
            </w:r>
            <w:r>
              <w:rPr>
                <w:noProof/>
                <w:webHidden/>
              </w:rPr>
              <w:instrText xml:space="preserve"> PAGEREF _Toc36562609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0" w:history="1">
            <w:r>
              <w:rPr>
                <w:rStyle w:val="Hyperlink"/>
                <w:b/>
                <w:noProof/>
              </w:rPr>
              <w:t>3.2.</w:t>
            </w:r>
            <w:r>
              <w:rPr>
                <w:rFonts w:asciiTheme="minorHAnsi" w:eastAsiaTheme="minorEastAsia" w:hAnsiTheme="minorHAnsi" w:cstheme="minorBidi"/>
                <w:smallCaps w:val="0"/>
                <w:noProof/>
                <w:lang w:val="en-US" w:eastAsia="en-US"/>
              </w:rPr>
              <w:tab/>
            </w:r>
            <w:r>
              <w:rPr>
                <w:rStyle w:val="Hyperlink"/>
                <w:b/>
                <w:noProof/>
              </w:rPr>
              <w:t>Механизъм за гражданска защита на Съюза (в трети държави)</w:t>
            </w:r>
            <w:r>
              <w:rPr>
                <w:noProof/>
                <w:webHidden/>
              </w:rPr>
              <w:tab/>
            </w:r>
            <w:r>
              <w:rPr>
                <w:noProof/>
                <w:webHidden/>
              </w:rPr>
              <w:fldChar w:fldCharType="begin"/>
            </w:r>
            <w:r>
              <w:rPr>
                <w:noProof/>
                <w:webHidden/>
              </w:rPr>
              <w:instrText xml:space="preserve"> PAGEREF _Toc36562610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1" w:history="1">
            <w:r>
              <w:rPr>
                <w:rStyle w:val="Hyperlink"/>
                <w:b/>
                <w:noProof/>
              </w:rPr>
              <w:t>3.3.</w:t>
            </w:r>
            <w:r>
              <w:rPr>
                <w:rFonts w:asciiTheme="minorHAnsi" w:eastAsiaTheme="minorEastAsia" w:hAnsiTheme="minorHAnsi" w:cstheme="minorBidi"/>
                <w:smallCaps w:val="0"/>
                <w:noProof/>
                <w:lang w:val="en-US" w:eastAsia="en-US"/>
              </w:rPr>
              <w:tab/>
            </w:r>
            <w:r>
              <w:rPr>
                <w:rStyle w:val="Hyperlink"/>
                <w:b/>
                <w:noProof/>
              </w:rPr>
              <w:t>Европейски център за профилактика и контрол върху заболяванията (ECDC)</w:t>
            </w:r>
            <w:r>
              <w:rPr>
                <w:noProof/>
                <w:webHidden/>
              </w:rPr>
              <w:tab/>
            </w:r>
            <w:r>
              <w:rPr>
                <w:noProof/>
                <w:webHidden/>
              </w:rPr>
              <w:fldChar w:fldCharType="begin"/>
            </w:r>
            <w:r>
              <w:rPr>
                <w:noProof/>
                <w:webHidden/>
              </w:rPr>
              <w:instrText xml:space="preserve"> PAGEREF _Toc36562611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12" w:history="1">
            <w:r>
              <w:rPr>
                <w:rStyle w:val="Hyperlink"/>
                <w:noProof/>
              </w:rPr>
              <w:t>4.</w:t>
            </w:r>
            <w:r>
              <w:rPr>
                <w:rFonts w:asciiTheme="minorHAnsi" w:eastAsiaTheme="minorEastAsia" w:hAnsiTheme="minorHAnsi" w:cstheme="minorBidi"/>
                <w:b w:val="0"/>
                <w:bCs w:val="0"/>
                <w:caps w:val="0"/>
                <w:noProof/>
                <w:lang w:val="en-US" w:eastAsia="en-US"/>
              </w:rPr>
              <w:tab/>
            </w:r>
            <w:r>
              <w:rPr>
                <w:rStyle w:val="Hyperlink"/>
                <w:noProof/>
              </w:rPr>
              <w:t>Подкрепа за възстановяване след земетресението в Албания</w:t>
            </w:r>
            <w:r>
              <w:rPr>
                <w:noProof/>
                <w:webHidden/>
              </w:rPr>
              <w:tab/>
            </w:r>
            <w:r>
              <w:rPr>
                <w:noProof/>
                <w:webHidden/>
              </w:rPr>
              <w:fldChar w:fldCharType="begin"/>
            </w:r>
            <w:r>
              <w:rPr>
                <w:noProof/>
                <w:webHidden/>
              </w:rPr>
              <w:instrText xml:space="preserve"> PAGEREF _Toc36562612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13" w:history="1">
            <w:r>
              <w:rPr>
                <w:rStyle w:val="Hyperlink"/>
                <w:noProof/>
              </w:rPr>
              <w:t>5.</w:t>
            </w:r>
            <w:r>
              <w:rPr>
                <w:rFonts w:asciiTheme="minorHAnsi" w:eastAsiaTheme="minorEastAsia" w:hAnsiTheme="minorHAnsi" w:cstheme="minorBidi"/>
                <w:b w:val="0"/>
                <w:bCs w:val="0"/>
                <w:caps w:val="0"/>
                <w:noProof/>
                <w:lang w:val="en-US" w:eastAsia="en-US"/>
              </w:rPr>
              <w:tab/>
            </w:r>
            <w:r>
              <w:rPr>
                <w:rStyle w:val="Hyperlink"/>
                <w:noProof/>
              </w:rPr>
              <w:t>Други корекции</w:t>
            </w:r>
            <w:r>
              <w:rPr>
                <w:noProof/>
                <w:webHidden/>
              </w:rPr>
              <w:tab/>
            </w:r>
            <w:r>
              <w:rPr>
                <w:noProof/>
                <w:webHidden/>
              </w:rPr>
              <w:fldChar w:fldCharType="begin"/>
            </w:r>
            <w:r>
              <w:rPr>
                <w:noProof/>
                <w:webHidden/>
              </w:rPr>
              <w:instrText xml:space="preserve"> PAGEREF _Toc36562613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4" w:history="1">
            <w:r>
              <w:rPr>
                <w:rStyle w:val="Hyperlink"/>
                <w:b/>
                <w:noProof/>
              </w:rPr>
              <w:t xml:space="preserve">5.1. </w:t>
            </w:r>
            <w:r>
              <w:rPr>
                <w:rFonts w:asciiTheme="minorHAnsi" w:eastAsiaTheme="minorEastAsia" w:hAnsiTheme="minorHAnsi" w:cstheme="minorBidi"/>
                <w:smallCaps w:val="0"/>
                <w:noProof/>
                <w:lang w:val="en-US" w:eastAsia="en-US"/>
              </w:rPr>
              <w:tab/>
            </w:r>
            <w:r>
              <w:rPr>
                <w:rStyle w:val="Hyperlink"/>
                <w:b/>
                <w:noProof/>
              </w:rPr>
              <w:t>Европейска прокуратура</w:t>
            </w:r>
            <w:r>
              <w:rPr>
                <w:noProof/>
                <w:webHidden/>
              </w:rPr>
              <w:tab/>
            </w:r>
            <w:r>
              <w:rPr>
                <w:noProof/>
                <w:webHidden/>
              </w:rPr>
              <w:fldChar w:fldCharType="begin"/>
            </w:r>
            <w:r>
              <w:rPr>
                <w:noProof/>
                <w:webHidden/>
              </w:rPr>
              <w:instrText xml:space="preserve"> PAGEREF _Toc36562614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5" w:history="1">
            <w:r>
              <w:rPr>
                <w:rStyle w:val="Hyperlink"/>
                <w:b/>
                <w:noProof/>
              </w:rPr>
              <w:t>5.2.</w:t>
            </w:r>
            <w:r>
              <w:rPr>
                <w:rFonts w:asciiTheme="minorHAnsi" w:eastAsiaTheme="minorEastAsia" w:hAnsiTheme="minorHAnsi" w:cstheme="minorBidi"/>
                <w:smallCaps w:val="0"/>
                <w:noProof/>
                <w:lang w:val="en-US" w:eastAsia="en-US"/>
              </w:rPr>
              <w:tab/>
            </w:r>
            <w:r>
              <w:rPr>
                <w:rStyle w:val="Hyperlink"/>
                <w:b/>
                <w:noProof/>
              </w:rPr>
              <w:t>Европейска сметна палата</w:t>
            </w:r>
            <w:r>
              <w:rPr>
                <w:noProof/>
                <w:webHidden/>
              </w:rPr>
              <w:tab/>
            </w:r>
            <w:r>
              <w:rPr>
                <w:noProof/>
                <w:webHidden/>
              </w:rPr>
              <w:fldChar w:fldCharType="begin"/>
            </w:r>
            <w:r>
              <w:rPr>
                <w:noProof/>
                <w:webHidden/>
              </w:rPr>
              <w:instrText xml:space="preserve"> PAGEREF _Toc36562615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6" w:history="1">
            <w:r>
              <w:rPr>
                <w:rStyle w:val="Hyperlink"/>
                <w:b/>
                <w:noProof/>
              </w:rPr>
              <w:t>5.3.</w:t>
            </w:r>
            <w:r>
              <w:rPr>
                <w:rFonts w:asciiTheme="minorHAnsi" w:eastAsiaTheme="minorEastAsia" w:hAnsiTheme="minorHAnsi" w:cstheme="minorBidi"/>
                <w:smallCaps w:val="0"/>
                <w:noProof/>
                <w:lang w:val="en-US" w:eastAsia="en-US"/>
              </w:rPr>
              <w:tab/>
            </w:r>
            <w:r>
              <w:rPr>
                <w:rStyle w:val="Hyperlink"/>
                <w:b/>
                <w:noProof/>
              </w:rPr>
              <w:t>Европейски омбудсман</w:t>
            </w:r>
            <w:r>
              <w:rPr>
                <w:noProof/>
                <w:webHidden/>
              </w:rPr>
              <w:tab/>
            </w:r>
            <w:r>
              <w:rPr>
                <w:noProof/>
                <w:webHidden/>
              </w:rPr>
              <w:fldChar w:fldCharType="begin"/>
            </w:r>
            <w:r>
              <w:rPr>
                <w:noProof/>
                <w:webHidden/>
              </w:rPr>
              <w:instrText xml:space="preserve"> PAGEREF _Toc36562616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17" w:history="1">
            <w:r>
              <w:rPr>
                <w:rStyle w:val="Hyperlink"/>
                <w:noProof/>
              </w:rPr>
              <w:t>6.</w:t>
            </w:r>
            <w:r>
              <w:rPr>
                <w:rFonts w:asciiTheme="minorHAnsi" w:eastAsiaTheme="minorEastAsia" w:hAnsiTheme="minorHAnsi" w:cstheme="minorBidi"/>
                <w:b w:val="0"/>
                <w:bCs w:val="0"/>
                <w:caps w:val="0"/>
                <w:noProof/>
                <w:lang w:val="en-US" w:eastAsia="en-US"/>
              </w:rPr>
              <w:tab/>
            </w:r>
            <w:r>
              <w:rPr>
                <w:rStyle w:val="Hyperlink"/>
                <w:noProof/>
              </w:rPr>
              <w:t>Финансиране</w:t>
            </w:r>
            <w:r>
              <w:rPr>
                <w:noProof/>
                <w:webHidden/>
              </w:rPr>
              <w:tab/>
            </w:r>
            <w:r>
              <w:rPr>
                <w:noProof/>
                <w:webHidden/>
              </w:rPr>
              <w:fldChar w:fldCharType="begin"/>
            </w:r>
            <w:r>
              <w:rPr>
                <w:noProof/>
                <w:webHidden/>
              </w:rPr>
              <w:instrText xml:space="preserve"> PAGEREF _Toc36562617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8" w:history="1">
            <w:r>
              <w:rPr>
                <w:rStyle w:val="Hyperlink"/>
                <w:b/>
                <w:noProof/>
              </w:rPr>
              <w:t>6.1.</w:t>
            </w:r>
            <w:r>
              <w:rPr>
                <w:rFonts w:asciiTheme="minorHAnsi" w:eastAsiaTheme="minorEastAsia" w:hAnsiTheme="minorHAnsi" w:cstheme="minorBidi"/>
                <w:smallCaps w:val="0"/>
                <w:noProof/>
                <w:lang w:val="en-US" w:eastAsia="en-US"/>
              </w:rPr>
              <w:tab/>
            </w:r>
            <w:r>
              <w:rPr>
                <w:rStyle w:val="Hyperlink"/>
                <w:b/>
                <w:noProof/>
              </w:rPr>
              <w:t xml:space="preserve">Функция 3 — </w:t>
            </w:r>
            <w:r>
              <w:rPr>
                <w:rStyle w:val="Hyperlink"/>
                <w:b/>
                <w:i/>
                <w:noProof/>
              </w:rPr>
              <w:t>Сигурност и гражданство</w:t>
            </w:r>
            <w:r>
              <w:rPr>
                <w:noProof/>
                <w:webHidden/>
              </w:rPr>
              <w:tab/>
            </w:r>
            <w:r>
              <w:rPr>
                <w:noProof/>
                <w:webHidden/>
              </w:rPr>
              <w:fldChar w:fldCharType="begin"/>
            </w:r>
            <w:r>
              <w:rPr>
                <w:noProof/>
                <w:webHidden/>
              </w:rPr>
              <w:instrText xml:space="preserve"> PAGEREF _Toc36562618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960"/>
              <w:tab w:val="right" w:leader="dot" w:pos="9855"/>
            </w:tabs>
            <w:rPr>
              <w:rFonts w:asciiTheme="minorHAnsi" w:eastAsiaTheme="minorEastAsia" w:hAnsiTheme="minorHAnsi" w:cstheme="minorBidi"/>
              <w:smallCaps w:val="0"/>
              <w:noProof/>
              <w:lang w:val="en-US" w:eastAsia="en-US"/>
            </w:rPr>
          </w:pPr>
          <w:hyperlink w:anchor="_Toc36562619" w:history="1">
            <w:r>
              <w:rPr>
                <w:rStyle w:val="Hyperlink"/>
                <w:b/>
                <w:noProof/>
              </w:rPr>
              <w:t>6.2.</w:t>
            </w:r>
            <w:r>
              <w:rPr>
                <w:rFonts w:asciiTheme="minorHAnsi" w:eastAsiaTheme="minorEastAsia" w:hAnsiTheme="minorHAnsi" w:cstheme="minorBidi"/>
                <w:smallCaps w:val="0"/>
                <w:noProof/>
                <w:lang w:val="en-US" w:eastAsia="en-US"/>
              </w:rPr>
              <w:tab/>
            </w:r>
            <w:r>
              <w:rPr>
                <w:rStyle w:val="Hyperlink"/>
                <w:b/>
                <w:noProof/>
              </w:rPr>
              <w:t xml:space="preserve">Функция 4 — </w:t>
            </w:r>
            <w:r>
              <w:rPr>
                <w:rStyle w:val="Hyperlink"/>
                <w:b/>
                <w:i/>
                <w:noProof/>
              </w:rPr>
              <w:t>Глобална Европа</w:t>
            </w:r>
            <w:r>
              <w:rPr>
                <w:noProof/>
                <w:webHidden/>
              </w:rPr>
              <w:tab/>
            </w:r>
            <w:r>
              <w:rPr>
                <w:noProof/>
                <w:webHidden/>
              </w:rPr>
              <w:fldChar w:fldCharType="begin"/>
            </w:r>
            <w:r>
              <w:rPr>
                <w:noProof/>
                <w:webHidden/>
              </w:rPr>
              <w:instrText xml:space="preserve"> PAGEREF _Toc36562619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lang w:val="en-US" w:eastAsia="en-US"/>
            </w:rPr>
          </w:pPr>
          <w:hyperlink w:anchor="_Toc36562620" w:history="1">
            <w:r>
              <w:rPr>
                <w:rStyle w:val="Hyperlink"/>
                <w:noProof/>
              </w:rPr>
              <w:t>7.</w:t>
            </w:r>
            <w:r>
              <w:rPr>
                <w:rFonts w:asciiTheme="minorHAnsi" w:eastAsiaTheme="minorEastAsia" w:hAnsiTheme="minorHAnsi" w:cstheme="minorBidi"/>
                <w:b w:val="0"/>
                <w:bCs w:val="0"/>
                <w:caps w:val="0"/>
                <w:noProof/>
                <w:lang w:val="en-US" w:eastAsia="en-US"/>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_Toc36562620 \h </w:instrText>
            </w:r>
            <w:r>
              <w:rPr>
                <w:noProof/>
                <w:webHidden/>
              </w:rPr>
            </w:r>
            <w:r>
              <w:rPr>
                <w:noProof/>
                <w:webHidden/>
              </w:rPr>
              <w:fldChar w:fldCharType="separate"/>
            </w:r>
            <w:r>
              <w:rPr>
                <w:noProof/>
                <w:webHidden/>
              </w:rPr>
              <w:t>10</w:t>
            </w:r>
            <w:r>
              <w:rPr>
                <w:noProof/>
                <w:webHidden/>
              </w:rPr>
              <w:fldChar w:fldCharType="end"/>
            </w:r>
          </w:hyperlink>
        </w:p>
        <w:p>
          <w:pPr>
            <w:rPr>
              <w:noProof/>
              <w:sz w:val="24"/>
              <w:szCs w:val="24"/>
            </w:rPr>
          </w:pPr>
          <w:r>
            <w:rPr>
              <w:b/>
              <w:bCs/>
              <w:noProof/>
              <w:sz w:val="24"/>
              <w:szCs w:val="24"/>
            </w:rPr>
            <w:fldChar w:fldCharType="end"/>
          </w:r>
        </w:p>
      </w:sdtContent>
    </w:sdt>
    <w:p>
      <w:pPr>
        <w:rPr>
          <w:b/>
          <w:noProof/>
          <w:sz w:val="24"/>
          <w:szCs w:val="24"/>
          <w:u w:val="singl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jc w:val="both"/>
        <w:rPr>
          <w:noProof/>
        </w:rPr>
      </w:pPr>
      <w:r>
        <w:rPr>
          <w:noProof/>
        </w:rPr>
        <w:t>ОБЯСНИТЕЛЕН МЕМОРАНДУМ</w:t>
      </w:r>
    </w:p>
    <w:p>
      <w:pPr>
        <w:pStyle w:val="ManualHeading1"/>
        <w:rPr>
          <w:noProof/>
        </w:rPr>
      </w:pPr>
      <w:bookmarkStart w:id="2" w:name="_Toc36562606"/>
      <w:r>
        <w:rPr>
          <w:noProof/>
        </w:rPr>
        <w:t>1.</w:t>
      </w:r>
      <w:r>
        <w:rPr>
          <w:noProof/>
        </w:rPr>
        <w:tab/>
        <w:t>Въведение</w:t>
      </w:r>
      <w:bookmarkEnd w:id="2"/>
    </w:p>
    <w:p>
      <w:pPr>
        <w:pStyle w:val="Text1"/>
        <w:ind w:left="0"/>
        <w:rPr>
          <w:noProof/>
        </w:rPr>
      </w:pPr>
      <w:r>
        <w:rPr>
          <w:noProof/>
        </w:rPr>
        <w:t>Целта на проект на коригиращ бюджет (ПКБ) № 1 за 2020 г. е да се осигурят 350,0 милиона евро бюджетни кредити за поети задължения за посрещане на нуждите, произтичащи от увеличения миграционен натиск в Гърция, 115,0 милиона евро за осигуряване на спешна реакция за предотвратяване на по-нататъшно влошаване на епидемичния взрив от COVID-19 и 100,0 милиона евро в подкрепа на възстановяването след земетресението в Албания. Предлагат се и други малки корекции за Европейския център за профилактика и контрол върху заболяванията, Европейската прокуратура, Европейската сметна палата и Омбудсмана.</w:t>
      </w:r>
    </w:p>
    <w:p>
      <w:pPr>
        <w:pStyle w:val="Text1"/>
        <w:ind w:left="0"/>
        <w:rPr>
          <w:noProof/>
        </w:rPr>
      </w:pPr>
      <w:r>
        <w:rPr>
          <w:noProof/>
        </w:rPr>
        <w:t>Като цяло увеличенията, предложени в настоящия ПКБ, възлизат на 567,4 милиона евро бюджетни кредити за поети задължения и 77,4 милиона евро бюджетни кредити за плащания.</w:t>
      </w:r>
    </w:p>
    <w:p>
      <w:pPr>
        <w:pStyle w:val="ManualHeading1"/>
        <w:rPr>
          <w:noProof/>
        </w:rPr>
      </w:pPr>
      <w:bookmarkStart w:id="3" w:name="_Toc36562607"/>
      <w:r>
        <w:rPr>
          <w:noProof/>
        </w:rPr>
        <w:t>2.</w:t>
      </w:r>
      <w:r>
        <w:rPr>
          <w:noProof/>
        </w:rPr>
        <w:tab/>
        <w:t>Помощ за Гърция в отговор на нарастващия миграционен натиск</w:t>
      </w:r>
      <w:bookmarkEnd w:id="3"/>
    </w:p>
    <w:p>
      <w:pPr>
        <w:pStyle w:val="Text1"/>
        <w:ind w:left="0"/>
        <w:rPr>
          <w:noProof/>
        </w:rPr>
      </w:pPr>
      <w:r>
        <w:rPr>
          <w:noProof/>
        </w:rPr>
        <w:t xml:space="preserve">В резултат на конфликта в Североизточна Сирия и несигурността във връзка с изявлението на ЕС и Турция, голям приток на мигранти създава рискове на границите на Гърция и България. Тези рискове поставят значителни и неотложни проблеми за гръцките приемни инфраструктури и за системите и процедурите за предоставяне на убежище, както и за ефективната защита на външните граници на Гърция и България. </w:t>
      </w:r>
    </w:p>
    <w:p>
      <w:pPr>
        <w:pStyle w:val="Text1"/>
        <w:ind w:left="0"/>
        <w:rPr>
          <w:noProof/>
        </w:rPr>
      </w:pPr>
      <w:r>
        <w:rPr>
          <w:noProof/>
        </w:rPr>
        <w:t xml:space="preserve">Бюджетните кредити, налични през 2020 г. за фонд </w:t>
      </w:r>
      <w:r>
        <w:rPr>
          <w:i/>
          <w:iCs/>
          <w:noProof/>
        </w:rPr>
        <w:t>Убежище, миграция и интеграция</w:t>
      </w:r>
      <w:r>
        <w:rPr>
          <w:noProof/>
        </w:rPr>
        <w:t xml:space="preserve"> (ФУМИ) и </w:t>
      </w:r>
      <w:r>
        <w:rPr>
          <w:i/>
          <w:iCs/>
          <w:noProof/>
        </w:rPr>
        <w:t>фонд „Вътрешна сигурност“</w:t>
      </w:r>
      <w:r>
        <w:rPr>
          <w:noProof/>
        </w:rPr>
        <w:t xml:space="preserve"> (ФВС), не са достатъчни, за да се посрещнат всички последици от тези неочаквани събития. Могат да се предоставят 350,0 милиона евро от съществуващия финансов пакет за двете програми, но Комисията изисква допълнителни 350,0 милиона евро бюджетни кредити за поети задължения и 20,0 милиона евро бюджетни кредити за плащания, за да се преодолее въздействието на потенциалното влошаване на ситуацията.</w:t>
      </w:r>
    </w:p>
    <w:p>
      <w:pPr>
        <w:pStyle w:val="Text1"/>
        <w:ind w:left="0"/>
        <w:rPr>
          <w:noProof/>
        </w:rPr>
      </w:pPr>
      <w:r>
        <w:rPr>
          <w:noProof/>
        </w:rPr>
        <w:t xml:space="preserve">Поисканите бюджетни кредити за поети задължения в размер на 350,0 милиона евро ще бъдат използвани, както следва: </w:t>
      </w:r>
    </w:p>
    <w:p>
      <w:pPr>
        <w:pStyle w:val="Text1"/>
        <w:ind w:left="0"/>
        <w:rPr>
          <w:noProof/>
        </w:rPr>
      </w:pPr>
      <w:r>
        <w:rPr>
          <w:noProof/>
        </w:rPr>
        <w:t>По линия на ФУМИ ще бъдат предоставени 280,0 милиона евро за покриване на следните дейности в Гърция:</w:t>
      </w:r>
    </w:p>
    <w:p>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Изграждането на пет многофункционални центъра за настаняване и идентифициране (МЦНИ)</w:t>
      </w:r>
      <w:r>
        <w:rPr>
          <w:rFonts w:ascii="Times New Roman" w:hAnsi="Times New Roman"/>
          <w:noProof/>
          <w:sz w:val="24"/>
          <w:szCs w:val="24"/>
        </w:rPr>
        <w:t xml:space="preserve"> на </w:t>
      </w:r>
      <w:r>
        <w:rPr>
          <w:rFonts w:ascii="Times New Roman" w:hAnsi="Times New Roman"/>
          <w:noProof/>
          <w:sz w:val="24"/>
          <w:szCs w:val="24"/>
          <w:u w:val="single"/>
        </w:rPr>
        <w:t>гръцките острови</w:t>
      </w:r>
      <w:r>
        <w:rPr>
          <w:rFonts w:ascii="Times New Roman" w:hAnsi="Times New Roman"/>
          <w:noProof/>
          <w:sz w:val="24"/>
          <w:szCs w:val="24"/>
        </w:rPr>
        <w:t xml:space="preserve"> през 2020 г. Петте МЦНИ ще осигурят настаняване на граждани на трети държави до приключване на процеса им на прием и идентифициране, както и на идентифицираните лица, търсещи убежище, и на кандидати, на които не е предоставена международна закрила и следва да бъдат върнати и обратно приети в държавите им на произход. МЦНИ ще бъдат по-ефективни по отношение на времето и разходите в сравнение със сегашните отделни зони за настаняване и ще осигурят много по-адекватно и отговарящо на стандартите настаняване (</w:t>
      </w:r>
      <w:r>
        <w:rPr>
          <w:rFonts w:ascii="Times New Roman" w:hAnsi="Times New Roman"/>
          <w:b/>
          <w:bCs/>
          <w:noProof/>
          <w:sz w:val="24"/>
          <w:szCs w:val="24"/>
        </w:rPr>
        <w:t>220,0 милиона евро</w:t>
      </w:r>
      <w:r>
        <w:rPr>
          <w:rFonts w:ascii="Times New Roman" w:hAnsi="Times New Roman"/>
          <w:noProof/>
          <w:sz w:val="24"/>
          <w:szCs w:val="24"/>
        </w:rPr>
        <w:t xml:space="preserve">). </w:t>
      </w:r>
    </w:p>
    <w:p>
      <w:pPr>
        <w:numPr>
          <w:ilvl w:val="0"/>
          <w:numId w:val="2"/>
        </w:numPr>
        <w:spacing w:after="24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Програмите за подпомагане на доброволното връщане и реинтеграцията (ПДВР)</w:t>
      </w:r>
      <w:r>
        <w:rPr>
          <w:rFonts w:ascii="Times New Roman" w:hAnsi="Times New Roman"/>
          <w:noProof/>
          <w:sz w:val="24"/>
          <w:szCs w:val="24"/>
        </w:rPr>
        <w:t xml:space="preserve"> ще бъдат увеличени в подкрепа на връщането (</w:t>
      </w:r>
      <w:r>
        <w:rPr>
          <w:rFonts w:ascii="Times New Roman" w:hAnsi="Times New Roman"/>
          <w:b/>
          <w:bCs/>
          <w:noProof/>
          <w:sz w:val="24"/>
          <w:szCs w:val="24"/>
        </w:rPr>
        <w:t>10,0 милиона евро</w:t>
      </w:r>
      <w:r>
        <w:rPr>
          <w:rFonts w:ascii="Times New Roman" w:hAnsi="Times New Roman"/>
          <w:noProof/>
          <w:sz w:val="24"/>
          <w:szCs w:val="24"/>
        </w:rPr>
        <w:t>). По-специално, пакетите за връщането и реинтеграцията на кандидатите за ПДВР ще бъдат подобрени, за да привлекат повече мигранти да се присъединят към програмата. Освен това е необходимо да се организират нови информационни кампании за повишаване на информираността.</w:t>
      </w:r>
    </w:p>
    <w:p>
      <w:pPr>
        <w:numPr>
          <w:ilvl w:val="0"/>
          <w:numId w:val="2"/>
        </w:numPr>
        <w:spacing w:after="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Услуги в новите лагери и консумативи за спешни случаи</w:t>
      </w:r>
      <w:r>
        <w:rPr>
          <w:rFonts w:ascii="Times New Roman" w:hAnsi="Times New Roman"/>
          <w:noProof/>
          <w:sz w:val="24"/>
          <w:szCs w:val="24"/>
        </w:rPr>
        <w:t xml:space="preserve"> (напр. храна, транспорт), допълнителен персонал за медицинските екипи, както и засилена подкрепа за гръцката служба по въпросите на убежището (</w:t>
      </w:r>
      <w:r>
        <w:rPr>
          <w:rFonts w:ascii="Times New Roman" w:hAnsi="Times New Roman"/>
          <w:b/>
          <w:bCs/>
          <w:noProof/>
          <w:sz w:val="24"/>
          <w:szCs w:val="24"/>
        </w:rPr>
        <w:t>50,0 милиона евро</w:t>
      </w:r>
      <w:r>
        <w:rPr>
          <w:rFonts w:ascii="Times New Roman" w:hAnsi="Times New Roman"/>
          <w:noProof/>
          <w:sz w:val="24"/>
          <w:szCs w:val="24"/>
        </w:rPr>
        <w:t xml:space="preserve">). </w:t>
      </w:r>
    </w:p>
    <w:p>
      <w:pPr>
        <w:pStyle w:val="Text1"/>
        <w:ind w:left="0"/>
        <w:rPr>
          <w:noProof/>
        </w:rPr>
      </w:pPr>
      <w:r>
        <w:rPr>
          <w:noProof/>
        </w:rPr>
        <w:t xml:space="preserve">Предлага се да бъдат предоставени </w:t>
      </w:r>
      <w:r>
        <w:rPr>
          <w:b/>
          <w:bCs/>
          <w:noProof/>
        </w:rPr>
        <w:t>50,0 милиона евро</w:t>
      </w:r>
      <w:r>
        <w:rPr>
          <w:noProof/>
        </w:rPr>
        <w:t xml:space="preserve"> по линия на </w:t>
      </w:r>
      <w:r>
        <w:rPr>
          <w:b/>
          <w:bCs/>
          <w:noProof/>
        </w:rPr>
        <w:t>инструмента за финансово подпомагане за външните граници и визите</w:t>
      </w:r>
      <w:r>
        <w:rPr>
          <w:noProof/>
        </w:rPr>
        <w:t>, за да се покрият разходите, свързани с разполагането и оперативните разходи за граничната охрана и полицейските служители по външните граници на Гърция и/или България и придобиването на съответното оборудване.</w:t>
      </w:r>
    </w:p>
    <w:p>
      <w:pPr>
        <w:pStyle w:val="Text1"/>
        <w:ind w:left="0"/>
        <w:rPr>
          <w:noProof/>
        </w:rPr>
      </w:pPr>
      <w:r>
        <w:rPr>
          <w:noProof/>
        </w:rPr>
        <w:t xml:space="preserve">Освен това и с цел увеличаване на капацитета ѝ </w:t>
      </w:r>
      <w:r>
        <w:rPr>
          <w:i/>
          <w:iCs/>
          <w:noProof/>
        </w:rPr>
        <w:t>Европейската агенция за гранична и брегова охрана</w:t>
      </w:r>
      <w:r>
        <w:rPr>
          <w:noProof/>
        </w:rPr>
        <w:t xml:space="preserve"> (</w:t>
      </w:r>
      <w:r>
        <w:rPr>
          <w:b/>
          <w:bCs/>
          <w:noProof/>
        </w:rPr>
        <w:t>Frontex</w:t>
      </w:r>
      <w:r>
        <w:rPr>
          <w:noProof/>
        </w:rPr>
        <w:t xml:space="preserve">) ще бъде подсилена с </w:t>
      </w:r>
      <w:r>
        <w:rPr>
          <w:b/>
          <w:bCs/>
          <w:noProof/>
        </w:rPr>
        <w:t>10,0 милиона евро</w:t>
      </w:r>
      <w:r>
        <w:rPr>
          <w:noProof/>
        </w:rPr>
        <w:t xml:space="preserve"> бюджетни кредити за поети задължения и бюджетни кредити за плащания за координиране на програма за връщане с цел бързо връщане от Гърция на лица без право на престой в държавите на произход.</w:t>
      </w:r>
    </w:p>
    <w:p>
      <w:pPr>
        <w:pStyle w:val="Text1"/>
        <w:ind w:left="0"/>
        <w:rPr>
          <w:noProof/>
        </w:rPr>
      </w:pPr>
      <w:r>
        <w:rPr>
          <w:noProof/>
        </w:rPr>
        <w:t xml:space="preserve">На последно място, предлага се увеличение с </w:t>
      </w:r>
      <w:r>
        <w:rPr>
          <w:b/>
          <w:bCs/>
          <w:noProof/>
        </w:rPr>
        <w:t>10,0 милиона евро</w:t>
      </w:r>
      <w:r>
        <w:rPr>
          <w:noProof/>
        </w:rPr>
        <w:t xml:space="preserve"> бюджетни кредити за поети задължения и бюджетни кредити за плащания за вноската на ЕС за </w:t>
      </w:r>
      <w:r>
        <w:rPr>
          <w:i/>
          <w:iCs/>
          <w:noProof/>
        </w:rPr>
        <w:t>Европейската служба за подкрепа в областта на убежището</w:t>
      </w:r>
      <w:r>
        <w:rPr>
          <w:noProof/>
        </w:rPr>
        <w:t xml:space="preserve"> (</w:t>
      </w:r>
      <w:r>
        <w:rPr>
          <w:b/>
          <w:noProof/>
        </w:rPr>
        <w:t>EASO</w:t>
      </w:r>
      <w:r>
        <w:rPr>
          <w:noProof/>
        </w:rPr>
        <w:t xml:space="preserve">) за разполагане на експерти в Гърция. Това включва служители, които да извършват оперативна подкрепа за извънредна обработка на молби за убежище, устни преводачи и служители по сигурността.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4"/>
                <w:szCs w:val="24"/>
              </w:rPr>
            </w:pPr>
            <w:r>
              <w:rPr>
                <w:i/>
                <w:noProof/>
                <w:sz w:val="24"/>
                <w:szCs w:val="24"/>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i/>
                <w:noProof/>
                <w:sz w:val="20"/>
                <w:szCs w:val="20"/>
              </w:rPr>
            </w:pPr>
            <w:r>
              <w:rPr>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16"/>
                <w:szCs w:val="24"/>
              </w:rPr>
            </w:pPr>
            <w:r>
              <w:rPr>
                <w:rFonts w:ascii="Times New Roman" w:hAnsi="Times New Roman"/>
                <w:noProof/>
                <w:sz w:val="16"/>
                <w:szCs w:val="24"/>
              </w:rPr>
              <w:t>18 02 01 01</w:t>
            </w:r>
          </w:p>
        </w:tc>
        <w:tc>
          <w:tcPr>
            <w:tcW w:w="5132" w:type="dxa"/>
          </w:tcPr>
          <w:p>
            <w:pPr>
              <w:widowControl w:val="0"/>
              <w:tabs>
                <w:tab w:val="left" w:pos="1350"/>
              </w:tabs>
              <w:spacing w:before="15" w:after="15"/>
              <w:jc w:val="both"/>
              <w:rPr>
                <w:rFonts w:ascii="Times New Roman" w:hAnsi="Times New Roman" w:cs="Times New Roman"/>
                <w:noProof/>
                <w:sz w:val="16"/>
                <w:szCs w:val="24"/>
              </w:rPr>
            </w:pPr>
            <w:r>
              <w:rPr>
                <w:rFonts w:ascii="Times New Roman" w:hAnsi="Times New Roman"/>
                <w:noProof/>
                <w:sz w:val="16"/>
                <w:szCs w:val="24"/>
              </w:rPr>
              <w:t>Подкрепа за управлението на границата и обща визова политика за улесняване на законното пътуване</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50 000 000</w:t>
            </w:r>
          </w:p>
        </w:tc>
        <w:tc>
          <w:tcPr>
            <w:tcW w:w="1701" w:type="dxa"/>
          </w:tcPr>
          <w:p>
            <w:pPr>
              <w:widowControl w:val="0"/>
              <w:spacing w:before="15" w:after="15"/>
              <w:jc w:val="right"/>
              <w:rPr>
                <w:rFonts w:ascii="Times New Roman" w:hAnsi="Times New Roman" w:cs="Times New Roman"/>
                <w:i/>
                <w:noProof/>
                <w:sz w:val="16"/>
                <w:szCs w:val="24"/>
              </w:rPr>
            </w:pPr>
            <w:r>
              <w:rPr>
                <w:rFonts w:ascii="Times New Roman" w:hAnsi="Times New Roman"/>
                <w:noProof/>
                <w:sz w:val="16"/>
                <w:szCs w:val="24"/>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24"/>
              </w:rPr>
            </w:pPr>
            <w:r>
              <w:rPr>
                <w:rFonts w:ascii="Times New Roman" w:hAnsi="Times New Roman"/>
                <w:noProof/>
                <w:sz w:val="16"/>
                <w:szCs w:val="24"/>
              </w:rPr>
              <w:t>18 02 03</w:t>
            </w:r>
          </w:p>
        </w:tc>
        <w:tc>
          <w:tcPr>
            <w:tcW w:w="5132" w:type="dxa"/>
          </w:tcPr>
          <w:p>
            <w:pPr>
              <w:widowControl w:val="0"/>
              <w:tabs>
                <w:tab w:val="left" w:pos="1350"/>
              </w:tabs>
              <w:spacing w:before="15" w:after="15"/>
              <w:jc w:val="both"/>
              <w:rPr>
                <w:rFonts w:ascii="Times New Roman" w:hAnsi="Times New Roman" w:cs="Times New Roman"/>
                <w:noProof/>
                <w:sz w:val="16"/>
                <w:szCs w:val="24"/>
              </w:rPr>
            </w:pPr>
            <w:r>
              <w:rPr>
                <w:rFonts w:ascii="Times New Roman" w:hAnsi="Times New Roman"/>
                <w:noProof/>
                <w:sz w:val="16"/>
                <w:szCs w:val="24"/>
              </w:rPr>
              <w:t>Европейска агенция за гранична и брегова охрана (Frontex)</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10 000 000</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10 000 000</w:t>
            </w:r>
          </w:p>
        </w:tc>
      </w:tr>
      <w:tr>
        <w:trPr>
          <w:jc w:val="center"/>
        </w:trPr>
        <w:tc>
          <w:tcPr>
            <w:tcW w:w="1276" w:type="dxa"/>
          </w:tcPr>
          <w:p>
            <w:pPr>
              <w:widowControl w:val="0"/>
              <w:spacing w:before="15" w:after="15"/>
              <w:ind w:right="-113"/>
              <w:jc w:val="both"/>
              <w:rPr>
                <w:rFonts w:ascii="Times New Roman" w:hAnsi="Times New Roman" w:cs="Times New Roman"/>
                <w:noProof/>
                <w:sz w:val="16"/>
                <w:szCs w:val="24"/>
              </w:rPr>
            </w:pPr>
            <w:r>
              <w:rPr>
                <w:rFonts w:ascii="Times New Roman" w:hAnsi="Times New Roman"/>
                <w:noProof/>
                <w:sz w:val="16"/>
                <w:szCs w:val="24"/>
              </w:rPr>
              <w:t>18 03 01 01</w:t>
            </w:r>
          </w:p>
        </w:tc>
        <w:tc>
          <w:tcPr>
            <w:tcW w:w="5132" w:type="dxa"/>
          </w:tcPr>
          <w:p>
            <w:pPr>
              <w:widowControl w:val="0"/>
              <w:tabs>
                <w:tab w:val="left" w:pos="1350"/>
              </w:tabs>
              <w:spacing w:before="15" w:after="15"/>
              <w:jc w:val="both"/>
              <w:rPr>
                <w:rFonts w:ascii="Times New Roman" w:hAnsi="Times New Roman" w:cs="Times New Roman"/>
                <w:noProof/>
                <w:sz w:val="16"/>
                <w:szCs w:val="24"/>
              </w:rPr>
            </w:pPr>
            <w:r>
              <w:rPr>
                <w:rFonts w:ascii="Times New Roman" w:hAnsi="Times New Roman"/>
                <w:noProof/>
                <w:sz w:val="16"/>
                <w:szCs w:val="24"/>
              </w:rPr>
              <w:t>Укрепване и развиване на Общата европейска система за убежище и увеличаване на солидарността и споделянето на отговорност между държавите членки</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280 000 000</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24"/>
              </w:rPr>
            </w:pPr>
            <w:r>
              <w:rPr>
                <w:rFonts w:ascii="Times New Roman" w:hAnsi="Times New Roman"/>
                <w:noProof/>
                <w:sz w:val="16"/>
                <w:szCs w:val="24"/>
              </w:rPr>
              <w:t>18 03 02</w:t>
            </w:r>
          </w:p>
        </w:tc>
        <w:tc>
          <w:tcPr>
            <w:tcW w:w="5132" w:type="dxa"/>
          </w:tcPr>
          <w:p>
            <w:pPr>
              <w:widowControl w:val="0"/>
              <w:tabs>
                <w:tab w:val="left" w:pos="1350"/>
              </w:tabs>
              <w:spacing w:before="15" w:after="15"/>
              <w:jc w:val="both"/>
              <w:rPr>
                <w:rFonts w:ascii="Times New Roman" w:hAnsi="Times New Roman" w:cs="Times New Roman"/>
                <w:noProof/>
                <w:sz w:val="16"/>
                <w:szCs w:val="24"/>
              </w:rPr>
            </w:pPr>
            <w:r>
              <w:rPr>
                <w:rFonts w:ascii="Times New Roman" w:hAnsi="Times New Roman"/>
                <w:noProof/>
                <w:sz w:val="16"/>
                <w:szCs w:val="24"/>
              </w:rPr>
              <w:t>Европейска служба за подкрепа в областта на убежището — EASO</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10 000 000</w:t>
            </w:r>
          </w:p>
        </w:tc>
        <w:tc>
          <w:tcPr>
            <w:tcW w:w="1701" w:type="dxa"/>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10 000 000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350 000 000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20 000 000</w:t>
            </w:r>
          </w:p>
        </w:tc>
      </w:tr>
    </w:tbl>
    <w:p>
      <w:pPr>
        <w:pStyle w:val="ManualHeading1"/>
        <w:rPr>
          <w:noProof/>
        </w:rPr>
      </w:pPr>
      <w:bookmarkStart w:id="4" w:name="_Toc36562608"/>
      <w:r>
        <w:rPr>
          <w:noProof/>
        </w:rPr>
        <w:t>3.</w:t>
      </w:r>
      <w:r>
        <w:rPr>
          <w:noProof/>
        </w:rPr>
        <w:tab/>
        <w:t>Спешни мерки в контекста на епидемичния взрив от COVID-19</w:t>
      </w:r>
      <w:bookmarkEnd w:id="4"/>
    </w:p>
    <w:p>
      <w:pPr>
        <w:spacing w:before="120" w:after="120"/>
        <w:jc w:val="both"/>
        <w:rPr>
          <w:rFonts w:ascii="Times New Roman" w:hAnsi="Times New Roman" w:cs="Times New Roman"/>
          <w:noProof/>
          <w:sz w:val="24"/>
          <w:szCs w:val="24"/>
        </w:rPr>
      </w:pPr>
      <w:r>
        <w:rPr>
          <w:rFonts w:ascii="Times New Roman" w:hAnsi="Times New Roman"/>
          <w:noProof/>
          <w:sz w:val="24"/>
          <w:szCs w:val="24"/>
        </w:rPr>
        <w:t>Епидемичният взрив от COVID-19 е тежка извънредна ситуация, свързана с общественото здраве, за гражданите, обществата и икономиките, като заразата се разпространява бързо във всички държави членки. Държавите членки трябва да репатрират голям брой граждани на ЕС, блокирани в трети държави, и са изправени пред недостиг</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на медицински мерки за противодействие и лични предпазни средства, които са от съществено значение за борбата с болестта.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За да се помогне на държавите членки да посрещнат тези предизвикателства и да отговорят на въздействието на епидемията, Комисията предлага да се отпуснат 128,6 милиона евро бюджетни кредити за поети задължения: 125,0 милиона евро по </w:t>
      </w:r>
      <w:r>
        <w:rPr>
          <w:rFonts w:ascii="Times New Roman" w:hAnsi="Times New Roman"/>
          <w:i/>
          <w:iCs/>
          <w:noProof/>
          <w:sz w:val="24"/>
          <w:szCs w:val="24"/>
        </w:rPr>
        <w:t>Механизма за гражданска защита на Съюза</w:t>
      </w:r>
      <w:r>
        <w:rPr>
          <w:rFonts w:ascii="Times New Roman" w:hAnsi="Times New Roman"/>
          <w:noProof/>
          <w:sz w:val="24"/>
          <w:szCs w:val="24"/>
        </w:rPr>
        <w:t xml:space="preserve"> (МГЗС) и 3,6 милиона евро за </w:t>
      </w:r>
      <w:r>
        <w:rPr>
          <w:rFonts w:ascii="Times New Roman" w:hAnsi="Times New Roman"/>
          <w:i/>
          <w:iCs/>
          <w:noProof/>
          <w:sz w:val="24"/>
          <w:szCs w:val="24"/>
        </w:rPr>
        <w:t>Европейския център за профилактика и контрол върху заболяванията</w:t>
      </w:r>
      <w:r>
        <w:rPr>
          <w:rFonts w:ascii="Times New Roman" w:hAnsi="Times New Roman"/>
          <w:noProof/>
          <w:sz w:val="24"/>
          <w:szCs w:val="24"/>
        </w:rPr>
        <w:t xml:space="preserve"> (ECDC). 10,0 милиона евро ще бъдат преразпределени в рамките на Механизма за гражданска защита на Съюза, а укрепването на ECDC се финансира изцяло чрез преразпределение. Поради това общо Комисията изисква допълнителни </w:t>
      </w:r>
      <w:r>
        <w:rPr>
          <w:rFonts w:ascii="Times New Roman" w:hAnsi="Times New Roman"/>
          <w:b/>
          <w:bCs/>
          <w:noProof/>
          <w:sz w:val="24"/>
          <w:szCs w:val="24"/>
        </w:rPr>
        <w:t>115,0 милиона евро</w:t>
      </w:r>
      <w:r>
        <w:rPr>
          <w:rFonts w:ascii="Times New Roman" w:hAnsi="Times New Roman"/>
          <w:noProof/>
          <w:sz w:val="24"/>
          <w:szCs w:val="24"/>
        </w:rPr>
        <w:t xml:space="preserve"> бюджетни кредити за поети задължения за укрепване на МГЗС.</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5" w:name="_Toc36562609"/>
      <w:r>
        <w:rPr>
          <w:rFonts w:ascii="Times New Roman" w:hAnsi="Times New Roman"/>
          <w:b/>
          <w:noProof/>
          <w:sz w:val="24"/>
          <w:szCs w:val="24"/>
        </w:rPr>
        <w:t>3.1.</w:t>
      </w:r>
      <w:r>
        <w:rPr>
          <w:rFonts w:ascii="Times New Roman" w:hAnsi="Times New Roman"/>
          <w:b/>
          <w:noProof/>
          <w:sz w:val="24"/>
          <w:szCs w:val="24"/>
        </w:rPr>
        <w:tab/>
        <w:t>Механизъм за гражданска защита (вътре в Съюза)</w:t>
      </w:r>
      <w:bookmarkEnd w:id="5"/>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За да се посрещнат най-неотложните нужди на държавите членки по отношение на лекарствата, личните предпазни средства и медицинските продукти, Комисията стартира ускорена съвместна процедура за възлагане на обществени поръчки с 26 държави членки, финансирана от държавите членки от техните национални бюджети.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Като част от отговора на ЕС на епидемичния взрив от COVID-19 МГЗС улеснява сътрудничеството между държавите членки. В допълнение към съвместното възлагане на обществени поръчки и като допълнителна предпазна мрежа, Комисията прие нов акт за изпълнение в рамките на rescEU/МГЗС, за да </w:t>
      </w:r>
      <w:r>
        <w:rPr>
          <w:rFonts w:ascii="Times New Roman" w:hAnsi="Times New Roman"/>
          <w:b/>
          <w:bCs/>
          <w:noProof/>
          <w:sz w:val="24"/>
          <w:szCs w:val="24"/>
        </w:rPr>
        <w:t>подкрепи държавите членки при закупуването на част от необходимото оборудване</w:t>
      </w:r>
      <w:r>
        <w:rPr>
          <w:rFonts w:ascii="Times New Roman" w:hAnsi="Times New Roman"/>
          <w:noProof/>
          <w:sz w:val="24"/>
          <w:szCs w:val="24"/>
        </w:rPr>
        <w:t>, като по този начин увеличи обема и разшири обхвата на приоритетните стоки, закупувани чрез съвместното възлагане на обществени поръчки. Пряката безвъзмездна помощ по линия на rescEU ще осигури 90 % съфинансиране от бюджета на ЕС. Закупеното оборудване ще остане на разположение на равнище ЕС, което ще осигури възможност за маневриране, която надхвърля националните запаси. То ще бъде на разположение на всички държави членки и ще бъде използвано в случай на недостатъчен национален капацитет.</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Комисията ще преразпредели </w:t>
      </w:r>
      <w:r>
        <w:rPr>
          <w:rFonts w:ascii="Times New Roman" w:hAnsi="Times New Roman"/>
          <w:b/>
          <w:bCs/>
          <w:noProof/>
          <w:sz w:val="24"/>
          <w:szCs w:val="24"/>
        </w:rPr>
        <w:t>10,0 милиона евро</w:t>
      </w:r>
      <w:r>
        <w:rPr>
          <w:rFonts w:ascii="Times New Roman" w:hAnsi="Times New Roman"/>
          <w:noProof/>
          <w:sz w:val="24"/>
          <w:szCs w:val="24"/>
        </w:rPr>
        <w:t xml:space="preserve"> бюджетни кредити за поети задължения в подкрепа на </w:t>
      </w:r>
      <w:r>
        <w:rPr>
          <w:rFonts w:ascii="Times New Roman" w:hAnsi="Times New Roman"/>
          <w:b/>
          <w:bCs/>
          <w:noProof/>
          <w:sz w:val="24"/>
          <w:szCs w:val="24"/>
        </w:rPr>
        <w:t>медицински мерки за противодействие оборудване</w:t>
      </w:r>
      <w:r>
        <w:rPr>
          <w:rFonts w:ascii="Times New Roman" w:hAnsi="Times New Roman"/>
          <w:noProof/>
          <w:sz w:val="24"/>
          <w:szCs w:val="24"/>
        </w:rPr>
        <w:t xml:space="preserve">, свързани с COVID-19, и от съществуващия бюджет на МГЗС/rescEU за 2020 г. (предотвратяване и готовност за бедствия в рамките на Съюза). Предвид размера на необходимия капацитет и свързаните с него разходи обаче, наличният бюджет е недостатъчен, за да покрие инициативата. Ето защо се искат допълнителни средства в размер на </w:t>
      </w:r>
      <w:r>
        <w:rPr>
          <w:rFonts w:ascii="Times New Roman" w:hAnsi="Times New Roman"/>
          <w:b/>
          <w:bCs/>
          <w:noProof/>
          <w:sz w:val="24"/>
          <w:szCs w:val="24"/>
        </w:rPr>
        <w:t>70,0 милиона евро</w:t>
      </w:r>
      <w:r>
        <w:rPr>
          <w:rFonts w:ascii="Times New Roman" w:hAnsi="Times New Roman"/>
          <w:noProof/>
          <w:sz w:val="24"/>
          <w:szCs w:val="24"/>
        </w:rPr>
        <w:t xml:space="preserve"> бюджетни кредити за поети задължения и </w:t>
      </w:r>
      <w:r>
        <w:rPr>
          <w:rFonts w:ascii="Times New Roman" w:hAnsi="Times New Roman"/>
          <w:b/>
          <w:bCs/>
          <w:noProof/>
          <w:sz w:val="24"/>
          <w:szCs w:val="24"/>
        </w:rPr>
        <w:t>40 милиона евро</w:t>
      </w:r>
      <w:r>
        <w:rPr>
          <w:rFonts w:ascii="Times New Roman" w:hAnsi="Times New Roman"/>
          <w:noProof/>
          <w:sz w:val="24"/>
          <w:szCs w:val="24"/>
        </w:rPr>
        <w:t xml:space="preserve"> бюджетни кредити за плащания.</w:t>
      </w:r>
      <w:r>
        <w:rPr>
          <w:rFonts w:ascii="Times New Roman" w:hAnsi="Times New Roman"/>
          <w:noProof/>
          <w:sz w:val="24"/>
          <w:szCs w:val="24"/>
          <w:highlight w:val="yellow"/>
        </w:rPr>
        <w:t xml:space="preserve"> </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6" w:name="_Toc36562610"/>
      <w:r>
        <w:rPr>
          <w:rFonts w:ascii="Times New Roman" w:hAnsi="Times New Roman"/>
          <w:b/>
          <w:noProof/>
          <w:sz w:val="24"/>
          <w:szCs w:val="24"/>
        </w:rPr>
        <w:t>3.2.</w:t>
      </w:r>
      <w:r>
        <w:rPr>
          <w:rFonts w:ascii="Times New Roman" w:hAnsi="Times New Roman"/>
          <w:b/>
          <w:noProof/>
          <w:sz w:val="24"/>
          <w:szCs w:val="24"/>
        </w:rPr>
        <w:tab/>
        <w:t>Механизъм за гражданска защита на Съюза (в трети държави)</w:t>
      </w:r>
      <w:bookmarkEnd w:id="6"/>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До момента rescEU/МГЗС е улеснил </w:t>
      </w:r>
      <w:r>
        <w:rPr>
          <w:rFonts w:ascii="Times New Roman" w:hAnsi="Times New Roman"/>
          <w:b/>
          <w:bCs/>
          <w:noProof/>
          <w:sz w:val="24"/>
          <w:szCs w:val="24"/>
        </w:rPr>
        <w:t>репатрирането</w:t>
      </w:r>
      <w:r>
        <w:rPr>
          <w:rFonts w:ascii="Times New Roman" w:hAnsi="Times New Roman"/>
          <w:noProof/>
          <w:sz w:val="24"/>
          <w:szCs w:val="24"/>
        </w:rPr>
        <w:t xml:space="preserve"> към Европа на над 1 000 граждани на ЕС от Китай, Япония, Оукланд, САЩ и наскоро от Мароко, което доведе до 10 полета за репатриране, съфинансирани от Европейската комисия, както и 2  съфинансирани полета, при които бе оказана помощ в натура на Ухан.</w:t>
      </w:r>
    </w:p>
    <w:p>
      <w:pPr>
        <w:spacing w:before="120" w:after="120"/>
        <w:jc w:val="both"/>
        <w:rPr>
          <w:rFonts w:ascii="Times New Roman" w:hAnsi="Times New Roman" w:cs="Times New Roman"/>
          <w:noProof/>
          <w:sz w:val="24"/>
          <w:szCs w:val="24"/>
        </w:rPr>
      </w:pPr>
      <w:r>
        <w:rPr>
          <w:rFonts w:ascii="Times New Roman" w:hAnsi="Times New Roman"/>
          <w:noProof/>
          <w:sz w:val="24"/>
          <w:szCs w:val="24"/>
        </w:rPr>
        <w:t>Броят на заявленията за безвъзмездни средства за превоз</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получени до момента през тази година, се очаква да надхвърли броя на заявленията, получени през цялата година, и се очаква повече заявления да бъдат подадени в скоро време. Временният прогнозен брой на гражданите на ЕС, които са блокирани в различни части на света, е над 300 000 души</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Настоящият бюджет до голяма степен е недостатъчен, като се има предвид, че средните разходи за всяка операция по репатриране до момента възлизат на 1,0 милион евро. Полетите за репатриране по линия на МГЗС следва да се използват само като „крайна мярка“. Трябва да бъдат изчерпани възможностите за репатриране с търговски полети от всяка от съответните държави членки. Освен това безвъзмездните средства за превоз ще се прилагат само за „многонационални“ полети, като за полети ще се вземат граждани на различни държави членки.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Комисията иска </w:t>
      </w:r>
      <w:r>
        <w:rPr>
          <w:rFonts w:ascii="Times New Roman" w:hAnsi="Times New Roman"/>
          <w:b/>
          <w:noProof/>
          <w:sz w:val="24"/>
          <w:szCs w:val="24"/>
        </w:rPr>
        <w:t>45,0 милиона евро</w:t>
      </w:r>
      <w:r>
        <w:rPr>
          <w:rFonts w:ascii="Times New Roman" w:hAnsi="Times New Roman"/>
          <w:noProof/>
          <w:sz w:val="24"/>
          <w:szCs w:val="24"/>
        </w:rPr>
        <w:t xml:space="preserve"> бюджетни кредити за поети задължения </w:t>
      </w:r>
      <w:r>
        <w:rPr>
          <w:rFonts w:ascii="Times New Roman" w:hAnsi="Times New Roman"/>
          <w:b/>
          <w:noProof/>
          <w:sz w:val="24"/>
          <w:szCs w:val="24"/>
        </w:rPr>
        <w:t>в подкрепа на свързани с COVID-19 действия по репатриране</w:t>
      </w:r>
      <w:r>
        <w:rPr>
          <w:rFonts w:ascii="Times New Roman" w:hAnsi="Times New Roman"/>
          <w:noProof/>
          <w:sz w:val="24"/>
          <w:szCs w:val="24"/>
        </w:rPr>
        <w:t>, както и за да се реагира бързо на други извънредни кризи, които могат да възникнат през годината. Предвид неотложния характер на репатрирането и необходимостта от незабавни действия Комисията ще прехвърли необходимите средства от Инструмента за хуманитарна помощ с намерението по-късно през годината на Съвета и на Европейския парламент да бъде предложен бюджетен трансфер за възстановяване на тези бюджетни кредити за поети задължения за целите на хуманитарната помощ. Към настоящия момент не са поискани допълнителни бюджетни кредити за плащания.</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7" w:name="_Toc36562611"/>
      <w:r>
        <w:rPr>
          <w:rFonts w:ascii="Times New Roman" w:hAnsi="Times New Roman"/>
          <w:b/>
          <w:noProof/>
          <w:sz w:val="24"/>
          <w:szCs w:val="24"/>
        </w:rPr>
        <w:t>3.3.</w:t>
      </w:r>
      <w:r>
        <w:rPr>
          <w:rFonts w:ascii="Times New Roman" w:hAnsi="Times New Roman"/>
          <w:b/>
          <w:noProof/>
          <w:sz w:val="24"/>
          <w:szCs w:val="24"/>
        </w:rPr>
        <w:tab/>
        <w:t>Европейски център за профилактика и контрол върху заболяванията (ECDC)</w:t>
      </w:r>
      <w:bookmarkEnd w:id="7"/>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Предлагат се допълнителни средства в размер на </w:t>
      </w:r>
      <w:r>
        <w:rPr>
          <w:rFonts w:ascii="Times New Roman" w:hAnsi="Times New Roman"/>
          <w:b/>
          <w:noProof/>
          <w:sz w:val="24"/>
          <w:szCs w:val="24"/>
        </w:rPr>
        <w:t>3,6 милиона евро</w:t>
      </w:r>
      <w:r>
        <w:rPr>
          <w:rFonts w:ascii="Times New Roman" w:hAnsi="Times New Roman"/>
          <w:noProof/>
          <w:sz w:val="24"/>
          <w:szCs w:val="24"/>
        </w:rPr>
        <w:t xml:space="preserve"> бюджетни кредити за поети задължения и бюджетни кредити за плащания, за да се увеличи капацитетът на ECDC, включително по отношение на персонала (договорно наети служители), с което да се допринесе за управлението на настоящата криза.</w:t>
      </w:r>
    </w:p>
    <w:p>
      <w:pPr>
        <w:spacing w:before="120" w:after="120"/>
        <w:jc w:val="both"/>
        <w:rPr>
          <w:rFonts w:ascii="Times New Roman" w:hAnsi="Times New Roman" w:cs="Times New Roman"/>
          <w:noProof/>
          <w:sz w:val="24"/>
          <w:szCs w:val="24"/>
        </w:rPr>
      </w:pPr>
      <w:r>
        <w:rPr>
          <w:rFonts w:ascii="Times New Roman" w:hAnsi="Times New Roman"/>
          <w:noProof/>
          <w:sz w:val="24"/>
          <w:szCs w:val="24"/>
        </w:rPr>
        <w:t>ECDC ще предостави модели за оценка и сравняване на относителното въздействие на различните стратегии за намеса в борбата с епидемичния взрив от COVID-19 и ще разработи и предостави консултации относно интервенции в болниците и в общността за засилване на превенцията и контрола, клиничното управление и подготвеността на болниците. ECDC ще предостави също така експертен опит в областта на готовността и реагирането на извънредни ситуации за изпращане на терен в държави, които се нуждаят от незабавна помощ в отговор на кризата.</w:t>
      </w:r>
    </w:p>
    <w:p>
      <w:pPr>
        <w:spacing w:before="120" w:after="120"/>
        <w:jc w:val="both"/>
        <w:rPr>
          <w:rFonts w:ascii="Times New Roman" w:hAnsi="Times New Roman" w:cs="Times New Roman"/>
          <w:noProof/>
          <w:color w:val="000000" w:themeColor="text1"/>
          <w:sz w:val="24"/>
          <w:szCs w:val="24"/>
        </w:rPr>
      </w:pPr>
      <w:r>
        <w:rPr>
          <w:rFonts w:ascii="Times New Roman" w:hAnsi="Times New Roman"/>
          <w:noProof/>
          <w:sz w:val="24"/>
          <w:szCs w:val="24"/>
        </w:rPr>
        <w:t>Предлага се укрепването на Европейския център за профилактика и контрол върху заболяванията да бъде финансирано изцяло чрез преразпределение, като се намалят разпределените средства за мерки, насочени към ликвидирането на болестите по животните с около 2 %, като отражението върху изпълнението на тези мерки ще бъде силно ограничено.</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4"/>
                <w:szCs w:val="24"/>
              </w:rPr>
            </w:pPr>
            <w:r>
              <w:rPr>
                <w:i/>
                <w:noProof/>
                <w:sz w:val="24"/>
                <w:szCs w:val="24"/>
              </w:rPr>
              <w:t>EUR</w:t>
            </w:r>
          </w:p>
        </w:tc>
      </w:tr>
      <w:tr>
        <w:trPr>
          <w:jc w:val="center"/>
        </w:trPr>
        <w:tc>
          <w:tcPr>
            <w:tcW w:w="1276"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23 03 01 01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Предотвратяване и готовност за бедствия в рамките на Съюза</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70 000 000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40 000 000</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23 03 02 02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Бързи и ефикасни операции по спешно реагиране при големи бедствия в трети държави</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45 000 000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17 03 10</w:t>
            </w:r>
          </w:p>
        </w:tc>
        <w:tc>
          <w:tcPr>
            <w:tcW w:w="5132" w:type="dxa"/>
          </w:tcPr>
          <w:p>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noProof/>
                <w:sz w:val="16"/>
                <w:szCs w:val="16"/>
              </w:rPr>
              <w:t>Безвъзмездни средства за Европейския център за профилактика и контрол върху заболяванията</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3 642 000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3 642 000</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17 04 01</w:t>
            </w:r>
          </w:p>
        </w:tc>
        <w:tc>
          <w:tcPr>
            <w:tcW w:w="5132" w:type="dxa"/>
          </w:tcPr>
          <w:p>
            <w:pPr>
              <w:widowControl w:val="0"/>
              <w:tabs>
                <w:tab w:val="left" w:pos="1350"/>
              </w:tabs>
              <w:spacing w:before="15" w:after="15"/>
              <w:jc w:val="both"/>
              <w:rPr>
                <w:rFonts w:ascii="Times New Roman" w:hAnsi="Times New Roman" w:cs="Times New Roman"/>
                <w:noProof/>
                <w:sz w:val="16"/>
                <w:szCs w:val="16"/>
                <w:highlight w:val="yellow"/>
              </w:rPr>
            </w:pPr>
            <w:r>
              <w:rPr>
                <w:rFonts w:ascii="Times New Roman" w:hAnsi="Times New Roman"/>
                <w:noProof/>
                <w:sz w:val="16"/>
                <w:szCs w:val="16"/>
              </w:rPr>
              <w:t>Осигуряване на по-висок здравен статус на животните и висока степен на защита на животните в Съюза</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- 3 642 000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- 3 642 000</w:t>
            </w:r>
          </w:p>
        </w:tc>
      </w:tr>
      <w:tr>
        <w:trPr>
          <w:jc w:val="center"/>
        </w:trPr>
        <w:tc>
          <w:tcPr>
            <w:tcW w:w="6408" w:type="dxa"/>
            <w:gridSpan w:val="2"/>
            <w:shd w:val="clear" w:color="auto" w:fill="D9D9D9"/>
          </w:tcPr>
          <w:p>
            <w:pPr>
              <w:widowControl w:val="0"/>
              <w:spacing w:before="15" w:after="15"/>
              <w:ind w:right="-113"/>
              <w:jc w:val="both"/>
              <w:rPr>
                <w:rFonts w:ascii="Times New Roman" w:hAnsi="Times New Roman" w:cs="Times New Roman"/>
                <w:noProof/>
                <w:sz w:val="20"/>
                <w:szCs w:val="20"/>
              </w:rPr>
            </w:pPr>
            <w:r>
              <w:rPr>
                <w:rFonts w:ascii="Times New Roman" w:hAnsi="Times New Roman"/>
                <w:b/>
                <w:noProof/>
                <w:sz w:val="20"/>
                <w:szCs w:val="20"/>
              </w:rPr>
              <w:t>Общо</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115 000 000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 xml:space="preserve"> 40 000 000</w:t>
            </w:r>
          </w:p>
        </w:tc>
      </w:tr>
    </w:tbl>
    <w:p>
      <w:pPr>
        <w:pStyle w:val="ManualHeading1"/>
        <w:rPr>
          <w:noProof/>
        </w:rPr>
      </w:pPr>
      <w:bookmarkStart w:id="8" w:name="_Toc36562612"/>
      <w:r>
        <w:rPr>
          <w:noProof/>
        </w:rPr>
        <w:t>4.</w:t>
      </w:r>
      <w:r>
        <w:rPr>
          <w:noProof/>
        </w:rPr>
        <w:tab/>
        <w:t>Подкрепа за възстановяване след земетресението в Албания</w:t>
      </w:r>
      <w:bookmarkEnd w:id="8"/>
    </w:p>
    <w:p>
      <w:pPr>
        <w:pStyle w:val="Text1"/>
        <w:ind w:left="0"/>
        <w:rPr>
          <w:noProof/>
        </w:rPr>
      </w:pPr>
      <w:r>
        <w:rPr>
          <w:noProof/>
        </w:rPr>
        <w:t>Земетресението в Албания от 26 ноември 2019 г. предизвика мащабни щети и загуби на човешки живот. Според оценката на потребностите след бедствието стойността на материалните щети възлиза на 844 милиона евро. Общите нужди, свързани с възстановяването, възлизат на 1 076 милиона евро.</w:t>
      </w:r>
    </w:p>
    <w:p>
      <w:pPr>
        <w:pStyle w:val="Text1"/>
        <w:ind w:left="0"/>
        <w:rPr>
          <w:noProof/>
        </w:rPr>
      </w:pPr>
      <w:r>
        <w:rPr>
          <w:noProof/>
        </w:rPr>
        <w:t xml:space="preserve">След конференцията на донорите в Брюксел на 17 февруари 2020 г., организирана от председателя на Комисията, в настоящия ПКБ са предложени </w:t>
      </w:r>
      <w:r>
        <w:rPr>
          <w:b/>
          <w:noProof/>
        </w:rPr>
        <w:t>100,0 милиона евро</w:t>
      </w:r>
      <w:r>
        <w:rPr>
          <w:noProof/>
        </w:rPr>
        <w:t xml:space="preserve"> бюджетни кредити за поети задължения в подкрепа на усилията за възстановяване. Предлага се също така отпускането на бюджетни кредити за плащания в размер на 15 милиона евро за покриване на авансовите плащания през 2020 г. за партньорите по изпълнението. Оставащите бюджетни кредити за плащания ще бъдат покрити от бюджета за 2021 г.</w:t>
      </w:r>
    </w:p>
    <w:p>
      <w:pPr>
        <w:rPr>
          <w:rFonts w:ascii="Times New Roman" w:eastAsia="Times New Roman" w:hAnsi="Times New Roman" w:cs="Times New Roman"/>
          <w:noProof/>
          <w:sz w:val="24"/>
          <w:szCs w:val="24"/>
          <w:lang w:eastAsia="de-DE"/>
        </w:rPr>
      </w:pPr>
      <w:r>
        <w:rPr>
          <w:noProof/>
        </w:rPr>
        <w:br w:type="page"/>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4"/>
                <w:szCs w:val="24"/>
              </w:rPr>
            </w:pPr>
            <w:r>
              <w:rPr>
                <w:i/>
                <w:noProof/>
                <w:sz w:val="20"/>
                <w:szCs w:val="24"/>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16"/>
                <w:szCs w:val="16"/>
              </w:rPr>
            </w:pPr>
            <w:r>
              <w:rPr>
                <w:rFonts w:ascii="Times New Roman" w:hAnsi="Times New Roman"/>
                <w:noProof/>
                <w:sz w:val="16"/>
                <w:szCs w:val="16"/>
              </w:rPr>
              <w:t>22 02 01 02</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100 000 000</w:t>
            </w:r>
          </w:p>
        </w:tc>
        <w:tc>
          <w:tcPr>
            <w:tcW w:w="1701" w:type="dxa"/>
          </w:tcPr>
          <w:p>
            <w:pPr>
              <w:widowControl w:val="0"/>
              <w:spacing w:before="15" w:after="15"/>
              <w:jc w:val="right"/>
              <w:rPr>
                <w:rFonts w:ascii="Times New Roman" w:hAnsi="Times New Roman" w:cs="Times New Roman"/>
                <w:noProof/>
                <w:sz w:val="16"/>
                <w:szCs w:val="16"/>
              </w:rPr>
            </w:pPr>
            <w:r>
              <w:rPr>
                <w:rFonts w:ascii="Times New Roman" w:hAnsi="Times New Roman"/>
                <w:noProof/>
                <w:sz w:val="16"/>
                <w:szCs w:val="16"/>
              </w:rPr>
              <w:t>15 000 000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rFonts w:ascii="Times New Roman" w:hAnsi="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 xml:space="preserve"> 15 000 000</w:t>
            </w:r>
          </w:p>
        </w:tc>
      </w:tr>
    </w:tbl>
    <w:p>
      <w:pPr>
        <w:pStyle w:val="Text1"/>
        <w:ind w:left="0"/>
        <w:rPr>
          <w:noProof/>
        </w:rPr>
      </w:pPr>
      <w:r>
        <w:rPr>
          <w:noProof/>
        </w:rPr>
        <w:t>Освен това Комисията предоставя 15,0 милиона евро за подкрепа на Албания за възстановяване от съществуващия бюджет за 2020 г. за Инструмента за предприсъединителна помощ.</w:t>
      </w:r>
    </w:p>
    <w:p>
      <w:pPr>
        <w:pStyle w:val="ManualHeading1"/>
        <w:rPr>
          <w:noProof/>
        </w:rPr>
      </w:pPr>
      <w:bookmarkStart w:id="9" w:name="_Toc36562613"/>
      <w:r>
        <w:rPr>
          <w:noProof/>
        </w:rPr>
        <w:t>5.</w:t>
      </w:r>
      <w:r>
        <w:rPr>
          <w:noProof/>
        </w:rPr>
        <w:tab/>
        <w:t>Други корекции</w:t>
      </w:r>
      <w:bookmarkEnd w:id="9"/>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0" w:name="_Toc36562614"/>
      <w:r>
        <w:rPr>
          <w:rFonts w:ascii="Times New Roman" w:hAnsi="Times New Roman"/>
          <w:b/>
          <w:noProof/>
          <w:sz w:val="24"/>
          <w:szCs w:val="24"/>
        </w:rPr>
        <w:t xml:space="preserve">5.1. </w:t>
      </w:r>
      <w:r>
        <w:rPr>
          <w:rFonts w:ascii="Times New Roman" w:hAnsi="Times New Roman"/>
          <w:b/>
          <w:noProof/>
          <w:sz w:val="24"/>
          <w:szCs w:val="24"/>
        </w:rPr>
        <w:tab/>
        <w:t>Европейска прокуратура</w:t>
      </w:r>
      <w:bookmarkEnd w:id="10"/>
    </w:p>
    <w:p>
      <w:pPr>
        <w:spacing w:before="120" w:after="240"/>
        <w:jc w:val="both"/>
        <w:rPr>
          <w:rFonts w:ascii="Times New Roman" w:hAnsi="Times New Roman" w:cs="Times New Roman"/>
          <w:noProof/>
          <w:sz w:val="24"/>
          <w:szCs w:val="24"/>
        </w:rPr>
      </w:pPr>
      <w:r>
        <w:rPr>
          <w:rFonts w:ascii="Times New Roman" w:hAnsi="Times New Roman"/>
          <w:noProof/>
          <w:sz w:val="24"/>
          <w:szCs w:val="24"/>
        </w:rPr>
        <w:t xml:space="preserve">През октомври 2017 г. беше постигнато споразумение за създаването на </w:t>
      </w:r>
      <w:r>
        <w:rPr>
          <w:rFonts w:ascii="Times New Roman" w:hAnsi="Times New Roman"/>
          <w:i/>
          <w:noProof/>
          <w:sz w:val="24"/>
          <w:szCs w:val="24"/>
        </w:rPr>
        <w:t>Европейската прокуратура</w:t>
      </w:r>
      <w:r>
        <w:rPr>
          <w:rFonts w:ascii="Times New Roman" w:hAnsi="Times New Roman"/>
          <w:noProof/>
          <w:sz w:val="24"/>
          <w:szCs w:val="24"/>
        </w:rPr>
        <w:t xml:space="preserve"> </w:t>
      </w:r>
      <w:r>
        <w:rPr>
          <w:rFonts w:ascii="Times New Roman" w:eastAsiaTheme="minorEastAsia" w:hAnsi="Times New Roman" w:cs="Times New Roman"/>
          <w:noProof/>
          <w:sz w:val="24"/>
          <w:szCs w:val="24"/>
          <w:vertAlign w:val="superscript"/>
        </w:rPr>
        <w:footnoteReference w:id="6"/>
      </w:r>
      <w:r>
        <w:rPr>
          <w:rFonts w:ascii="Times New Roman" w:hAnsi="Times New Roman"/>
          <w:noProof/>
          <w:sz w:val="24"/>
          <w:szCs w:val="24"/>
        </w:rPr>
        <w:t>. Със законодателната финансова обосновка, придружаваща регламента, се предвиждаше постепенно въвеждане на оперативните дейности, с което Прокуратурата ще достигне нормален ритъм през 2023 г. Графикът за това постепенно въвеждане трябва да бъде частично ускорен, за да се даде възможност на Европейската прокуратура да упражнява функциите си по разследване и повдигане и поддържане на обвинения от самото начало на дейността си, включително относно съществуващата работна натовареност на равнището на държавите членки. За да се справи с това задължение възможно най-скоро, Комисията предлага по-ранното набиране през 2020 г. на 18 души допълнителен персонал (11 длъжности в щатното разписание и 7 договорно наети служители), които първоначално беше предвидено да бъдат на разположение от 2021 г. нататък.</w:t>
      </w:r>
    </w:p>
    <w:p>
      <w:pPr>
        <w:spacing w:before="120" w:after="240"/>
        <w:jc w:val="both"/>
        <w:rPr>
          <w:rFonts w:ascii="Times New Roman" w:hAnsi="Times New Roman" w:cs="Times New Roman"/>
          <w:noProof/>
          <w:sz w:val="24"/>
          <w:szCs w:val="24"/>
        </w:rPr>
      </w:pPr>
      <w:r>
        <w:rPr>
          <w:rFonts w:ascii="Times New Roman" w:hAnsi="Times New Roman"/>
          <w:noProof/>
          <w:sz w:val="24"/>
          <w:szCs w:val="24"/>
        </w:rPr>
        <w:t xml:space="preserve">Като цяло Комисията предлага увеличение с </w:t>
      </w:r>
      <w:r>
        <w:rPr>
          <w:rFonts w:ascii="Times New Roman" w:hAnsi="Times New Roman"/>
          <w:b/>
          <w:noProof/>
          <w:sz w:val="24"/>
          <w:szCs w:val="24"/>
        </w:rPr>
        <w:t>3,3 милиона евро</w:t>
      </w:r>
      <w:r>
        <w:rPr>
          <w:rFonts w:ascii="Times New Roman" w:hAnsi="Times New Roman"/>
          <w:noProof/>
          <w:sz w:val="24"/>
          <w:szCs w:val="24"/>
        </w:rPr>
        <w:t xml:space="preserve"> бюджетни кредити за поети задължения и бюджетни кредити за плащания за покриване на увеличените разходи на персонала, както и на други разходи, свързани с информационните технологии и сигурността, които не са били предвидени първоначално в бюджета за 2020 г. </w:t>
      </w:r>
    </w:p>
    <w:p>
      <w:pPr>
        <w:spacing w:before="120" w:after="120"/>
        <w:jc w:val="both"/>
        <w:rPr>
          <w:rFonts w:ascii="Times New Roman" w:hAnsi="Times New Roman" w:cs="Times New Roman"/>
          <w:noProof/>
          <w:sz w:val="24"/>
          <w:szCs w:val="24"/>
        </w:rPr>
      </w:pPr>
      <w:r>
        <w:rPr>
          <w:rFonts w:ascii="Times New Roman" w:hAnsi="Times New Roman"/>
          <w:noProof/>
          <w:sz w:val="24"/>
          <w:szCs w:val="24"/>
        </w:rPr>
        <w:t xml:space="preserve">Накрая, Комисията предлага една длъжност AD11 в щатното разписание за 2020 г. да се преобразува в степен AD14, за да се даде възможност за назначаване на изпълнителен директор, който ще замени настоящия временен директор, командирован от Комисията.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keepNext/>
              <w:widowControl w:val="0"/>
              <w:spacing w:before="15" w:after="15"/>
              <w:jc w:val="right"/>
              <w:rPr>
                <w:i/>
                <w:noProof/>
                <w:sz w:val="20"/>
                <w:szCs w:val="20"/>
              </w:rPr>
            </w:pPr>
            <w:r>
              <w:rPr>
                <w:noProof/>
                <w:sz w:val="20"/>
                <w:szCs w:val="20"/>
              </w:rPr>
              <w:t xml:space="preserve"> </w:t>
            </w:r>
            <w:r>
              <w:rPr>
                <w:i/>
                <w:noProof/>
                <w:sz w:val="20"/>
                <w:szCs w:val="20"/>
              </w:rPr>
              <w:t>EUR</w:t>
            </w:r>
          </w:p>
        </w:tc>
      </w:tr>
      <w:tr>
        <w:trPr>
          <w:jc w:val="center"/>
        </w:trPr>
        <w:tc>
          <w:tcPr>
            <w:tcW w:w="1276"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4"/>
              </w:rPr>
            </w:pPr>
            <w:r>
              <w:rPr>
                <w:rFonts w:ascii="Times New Roman" w:hAnsi="Times New Roman"/>
                <w:b/>
                <w:noProof/>
                <w:sz w:val="20"/>
                <w:szCs w:val="24"/>
              </w:rPr>
              <w:t>Бюджетен ред</w:t>
            </w:r>
          </w:p>
        </w:tc>
        <w:tc>
          <w:tcPr>
            <w:tcW w:w="5132" w:type="dxa"/>
            <w:tcBorders>
              <w:top w:val="single" w:sz="4" w:space="0" w:color="auto"/>
            </w:tcBorders>
            <w:shd w:val="clear" w:color="auto" w:fill="D9D9D9"/>
            <w:vAlign w:val="center"/>
          </w:tcPr>
          <w:p>
            <w:pPr>
              <w:keepNext/>
              <w:spacing w:before="15" w:after="15"/>
              <w:jc w:val="center"/>
              <w:rPr>
                <w:rFonts w:ascii="Times New Roman" w:hAnsi="Times New Roman" w:cs="Times New Roman"/>
                <w:b/>
                <w:noProof/>
                <w:sz w:val="20"/>
                <w:szCs w:val="24"/>
              </w:rPr>
            </w:pPr>
            <w:r>
              <w:rPr>
                <w:rFonts w:ascii="Times New Roman" w:hAnsi="Times New Roman"/>
                <w:b/>
                <w:noProof/>
                <w:sz w:val="20"/>
                <w:szCs w:val="24"/>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4"/>
              </w:rPr>
            </w:pPr>
            <w:r>
              <w:rPr>
                <w:rFonts w:ascii="Times New Roman" w:hAnsi="Times New Roman"/>
                <w:b/>
                <w:noProof/>
                <w:sz w:val="20"/>
                <w:szCs w:val="24"/>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4"/>
              </w:rPr>
            </w:pPr>
            <w:r>
              <w:rPr>
                <w:rFonts w:ascii="Times New Roman" w:hAnsi="Times New Roman"/>
                <w:b/>
                <w:noProof/>
                <w:sz w:val="20"/>
                <w:szCs w:val="24"/>
              </w:rPr>
              <w:t>Бюджетни кредити за плащания</w:t>
            </w:r>
          </w:p>
        </w:tc>
      </w:tr>
      <w:tr>
        <w:trPr>
          <w:jc w:val="center"/>
        </w:trPr>
        <w:tc>
          <w:tcPr>
            <w:tcW w:w="9810" w:type="dxa"/>
            <w:gridSpan w:val="4"/>
            <w:shd w:val="clear" w:color="auto" w:fill="F2F2F2" w:themeFill="background1" w:themeFillShade="F2"/>
            <w:vAlign w:val="center"/>
          </w:tcPr>
          <w:p>
            <w:pPr>
              <w:keepNext/>
              <w:spacing w:before="15" w:after="15"/>
              <w:rPr>
                <w:rFonts w:ascii="Times New Roman" w:hAnsi="Times New Roman" w:cs="Times New Roman"/>
                <w:i/>
                <w:noProof/>
                <w:sz w:val="20"/>
                <w:szCs w:val="24"/>
              </w:rPr>
            </w:pPr>
            <w:r>
              <w:rPr>
                <w:rFonts w:ascii="Times New Roman" w:hAnsi="Times New Roman"/>
                <w:i/>
                <w:noProof/>
                <w:sz w:val="20"/>
                <w:szCs w:val="24"/>
              </w:rPr>
              <w:t>Раздел III — Комисия</w:t>
            </w:r>
          </w:p>
        </w:tc>
      </w:tr>
      <w:tr>
        <w:trPr>
          <w:jc w:val="center"/>
        </w:trPr>
        <w:tc>
          <w:tcPr>
            <w:tcW w:w="1276" w:type="dxa"/>
            <w:vAlign w:val="center"/>
          </w:tcPr>
          <w:p>
            <w:pPr>
              <w:keepNext/>
              <w:spacing w:before="15" w:after="15"/>
              <w:ind w:right="-113"/>
              <w:jc w:val="both"/>
              <w:rPr>
                <w:rFonts w:ascii="Times New Roman" w:hAnsi="Times New Roman" w:cs="Times New Roman"/>
                <w:noProof/>
                <w:sz w:val="16"/>
                <w:szCs w:val="24"/>
              </w:rPr>
            </w:pPr>
            <w:r>
              <w:rPr>
                <w:rFonts w:ascii="Times New Roman" w:hAnsi="Times New Roman"/>
                <w:noProof/>
                <w:sz w:val="16"/>
                <w:szCs w:val="24"/>
              </w:rPr>
              <w:t>33 03 05</w:t>
            </w:r>
          </w:p>
        </w:tc>
        <w:tc>
          <w:tcPr>
            <w:tcW w:w="5132" w:type="dxa"/>
            <w:vAlign w:val="center"/>
          </w:tcPr>
          <w:p>
            <w:pPr>
              <w:keepNext/>
              <w:tabs>
                <w:tab w:val="left" w:pos="1350"/>
              </w:tabs>
              <w:spacing w:before="15" w:after="15"/>
              <w:jc w:val="both"/>
              <w:rPr>
                <w:rFonts w:ascii="Times New Roman" w:hAnsi="Times New Roman" w:cs="Times New Roman"/>
                <w:noProof/>
                <w:sz w:val="16"/>
                <w:szCs w:val="24"/>
              </w:rPr>
            </w:pPr>
            <w:r>
              <w:rPr>
                <w:rFonts w:ascii="Times New Roman" w:hAnsi="Times New Roman"/>
                <w:noProof/>
                <w:sz w:val="16"/>
                <w:szCs w:val="24"/>
              </w:rPr>
              <w:t>Европейска прокуратура</w:t>
            </w:r>
          </w:p>
        </w:tc>
        <w:tc>
          <w:tcPr>
            <w:tcW w:w="1701" w:type="dxa"/>
            <w:vAlign w:val="center"/>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3 300 000</w:t>
            </w:r>
          </w:p>
        </w:tc>
        <w:tc>
          <w:tcPr>
            <w:tcW w:w="1701" w:type="dxa"/>
            <w:vAlign w:val="center"/>
          </w:tcPr>
          <w:p>
            <w:pPr>
              <w:widowControl w:val="0"/>
              <w:spacing w:before="15" w:after="15"/>
              <w:jc w:val="right"/>
              <w:rPr>
                <w:rFonts w:ascii="Times New Roman" w:hAnsi="Times New Roman" w:cs="Times New Roman"/>
                <w:noProof/>
                <w:sz w:val="16"/>
                <w:szCs w:val="24"/>
              </w:rPr>
            </w:pPr>
            <w:r>
              <w:rPr>
                <w:rFonts w:ascii="Times New Roman" w:hAnsi="Times New Roman"/>
                <w:noProof/>
                <w:sz w:val="16"/>
                <w:szCs w:val="24"/>
              </w:rPr>
              <w:t>3 300 000</w:t>
            </w:r>
          </w:p>
        </w:tc>
      </w:tr>
      <w:tr>
        <w:trPr>
          <w:jc w:val="center"/>
        </w:trPr>
        <w:tc>
          <w:tcPr>
            <w:tcW w:w="6408" w:type="dxa"/>
            <w:gridSpan w:val="2"/>
            <w:shd w:val="clear" w:color="auto" w:fill="D9D9D9"/>
          </w:tcPr>
          <w:p>
            <w:pPr>
              <w:keepNext/>
              <w:tabs>
                <w:tab w:val="left" w:pos="975"/>
              </w:tabs>
              <w:spacing w:before="15" w:after="15"/>
              <w:jc w:val="both"/>
              <w:rPr>
                <w:rFonts w:ascii="Times New Roman" w:hAnsi="Times New Roman" w:cs="Times New Roman"/>
                <w:b/>
                <w:noProof/>
                <w:sz w:val="20"/>
                <w:szCs w:val="24"/>
              </w:rPr>
            </w:pPr>
            <w:r>
              <w:rPr>
                <w:rFonts w:ascii="Times New Roman" w:hAnsi="Times New Roman"/>
                <w:b/>
                <w:noProof/>
                <w:sz w:val="20"/>
                <w:szCs w:val="24"/>
              </w:rPr>
              <w:t>Общо</w:t>
            </w:r>
            <w:r>
              <w:rPr>
                <w:rFonts w:ascii="Times New Roman" w:hAnsi="Times New Roman"/>
                <w:b/>
                <w:noProof/>
                <w:sz w:val="20"/>
                <w:szCs w:val="24"/>
              </w:rPr>
              <w:tab/>
            </w:r>
          </w:p>
        </w:tc>
        <w:tc>
          <w:tcPr>
            <w:tcW w:w="1701" w:type="dxa"/>
            <w:shd w:val="clear" w:color="auto" w:fill="D9D9D9"/>
          </w:tcPr>
          <w:p>
            <w:pPr>
              <w:widowControl w:val="0"/>
              <w:spacing w:before="15" w:after="15"/>
              <w:jc w:val="right"/>
              <w:rPr>
                <w:rFonts w:ascii="Times New Roman" w:hAnsi="Times New Roman" w:cs="Times New Roman"/>
                <w:b/>
                <w:noProof/>
                <w:sz w:val="20"/>
                <w:szCs w:val="24"/>
              </w:rPr>
            </w:pPr>
            <w:r>
              <w:rPr>
                <w:rFonts w:ascii="Times New Roman" w:hAnsi="Times New Roman"/>
                <w:b/>
                <w:noProof/>
                <w:sz w:val="20"/>
                <w:szCs w:val="24"/>
              </w:rPr>
              <w:t>3 300 000</w:t>
            </w:r>
          </w:p>
        </w:tc>
        <w:tc>
          <w:tcPr>
            <w:tcW w:w="1701" w:type="dxa"/>
            <w:shd w:val="clear" w:color="auto" w:fill="D9D9D9"/>
          </w:tcPr>
          <w:p>
            <w:pPr>
              <w:widowControl w:val="0"/>
              <w:spacing w:before="15" w:after="15"/>
              <w:jc w:val="right"/>
              <w:rPr>
                <w:rFonts w:ascii="Times New Roman" w:hAnsi="Times New Roman" w:cs="Times New Roman"/>
                <w:b/>
                <w:noProof/>
                <w:sz w:val="20"/>
                <w:szCs w:val="24"/>
              </w:rPr>
            </w:pPr>
            <w:r>
              <w:rPr>
                <w:rFonts w:ascii="Times New Roman" w:hAnsi="Times New Roman"/>
                <w:b/>
                <w:noProof/>
                <w:sz w:val="20"/>
                <w:szCs w:val="24"/>
              </w:rPr>
              <w:t>3 300 000</w:t>
            </w:r>
          </w:p>
        </w:tc>
      </w:tr>
    </w:tbl>
    <w:p>
      <w:pPr>
        <w:pStyle w:val="Text1"/>
        <w:ind w:left="0"/>
        <w:rPr>
          <w:noProof/>
        </w:rPr>
      </w:pPr>
      <w:r>
        <w:rPr>
          <w:noProof/>
        </w:rPr>
        <w:t>Актуализираното щатно разписание е посочено в бюджетното приложение.</w:t>
      </w:r>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1" w:name="_Toc36562615"/>
      <w:r>
        <w:rPr>
          <w:rFonts w:ascii="Times New Roman" w:hAnsi="Times New Roman"/>
          <w:b/>
          <w:noProof/>
          <w:sz w:val="24"/>
          <w:szCs w:val="24"/>
        </w:rPr>
        <w:t>5.2.</w:t>
      </w:r>
      <w:r>
        <w:rPr>
          <w:rFonts w:ascii="Times New Roman" w:hAnsi="Times New Roman"/>
          <w:b/>
          <w:noProof/>
          <w:sz w:val="24"/>
          <w:szCs w:val="24"/>
        </w:rPr>
        <w:tab/>
        <w:t>Европейска сметна палата</w:t>
      </w:r>
      <w:bookmarkEnd w:id="11"/>
    </w:p>
    <w:p>
      <w:pPr>
        <w:pStyle w:val="NormalWeb"/>
        <w:spacing w:before="120"/>
        <w:jc w:val="both"/>
        <w:rPr>
          <w:noProof/>
        </w:rPr>
      </w:pPr>
      <w:r>
        <w:rPr>
          <w:noProof/>
        </w:rPr>
        <w:t xml:space="preserve">При изготвянето на бюджета си за 2020 г. Европейската сметна палата поиска 900 000 EUR, за покриване на одита на агенциите на ЕС и другите органи на ЕС. На по-късен етап от бюджетната процедура за 2020 г. ЕСП реши да промени подхода, т.е. агенциите ще продължат да плащат за своите одити въз основа на настоящия рамков договор през 2020 г. </w:t>
      </w:r>
    </w:p>
    <w:p>
      <w:pPr>
        <w:pStyle w:val="NormalWeb"/>
        <w:spacing w:before="120"/>
        <w:jc w:val="both"/>
        <w:rPr>
          <w:noProof/>
        </w:rPr>
      </w:pPr>
      <w:r>
        <w:rPr>
          <w:noProof/>
        </w:rPr>
        <w:t xml:space="preserve">Комисията предлага да освободи съответните бюджетни кредити за одита на агенциите на ЕС и другите органи на ЕС, тъй като Европейската сметна палата вече не се нуждае от тях. </w:t>
      </w:r>
    </w:p>
    <w:tbl>
      <w:tblPr>
        <w:tblW w:w="9781" w:type="dxa"/>
        <w:tblInd w:w="108" w:type="dxa"/>
        <w:tblLayout w:type="fixed"/>
        <w:tblLook w:val="04A0" w:firstRow="1" w:lastRow="0" w:firstColumn="1" w:lastColumn="0" w:noHBand="0" w:noVBand="1"/>
      </w:tblPr>
      <w:tblGrid>
        <w:gridCol w:w="1145"/>
        <w:gridCol w:w="6085"/>
        <w:gridCol w:w="2551"/>
      </w:tblGrid>
      <w:tr>
        <w:trPr>
          <w:trHeight w:val="255"/>
          <w:tblHeader/>
        </w:trPr>
        <w:tc>
          <w:tcPr>
            <w:tcW w:w="1145" w:type="dxa"/>
            <w:tcBorders>
              <w:top w:val="nil"/>
              <w:left w:val="nil"/>
              <w:bottom w:val="nil"/>
              <w:right w:val="nil"/>
            </w:tcBorders>
            <w:shd w:val="clear" w:color="auto" w:fill="auto"/>
            <w:noWrap/>
            <w:vAlign w:val="bottom"/>
            <w:hideMark/>
          </w:tcPr>
          <w:p>
            <w:pPr>
              <w:rPr>
                <w:noProof/>
                <w:sz w:val="24"/>
                <w:szCs w:val="24"/>
              </w:rPr>
            </w:pPr>
          </w:p>
        </w:tc>
        <w:tc>
          <w:tcPr>
            <w:tcW w:w="6085" w:type="dxa"/>
            <w:tcBorders>
              <w:top w:val="nil"/>
              <w:left w:val="nil"/>
              <w:bottom w:val="nil"/>
              <w:right w:val="nil"/>
            </w:tcBorders>
            <w:shd w:val="clear" w:color="auto" w:fill="auto"/>
            <w:noWrap/>
            <w:vAlign w:val="bottom"/>
            <w:hideMark/>
          </w:tcPr>
          <w:p>
            <w:pPr>
              <w:rPr>
                <w:noProof/>
                <w:sz w:val="24"/>
                <w:szCs w:val="24"/>
              </w:rPr>
            </w:pPr>
          </w:p>
        </w:tc>
        <w:tc>
          <w:tcPr>
            <w:tcW w:w="2551" w:type="dxa"/>
            <w:tcBorders>
              <w:top w:val="nil"/>
              <w:left w:val="nil"/>
              <w:bottom w:val="nil"/>
              <w:right w:val="nil"/>
            </w:tcBorders>
            <w:shd w:val="clear" w:color="auto" w:fill="auto"/>
            <w:noWrap/>
            <w:vAlign w:val="bottom"/>
            <w:hideMark/>
          </w:tcPr>
          <w:p>
            <w:pPr>
              <w:jc w:val="right"/>
              <w:rPr>
                <w:i/>
                <w:iCs/>
                <w:noProof/>
                <w:sz w:val="16"/>
                <w:szCs w:val="16"/>
              </w:rPr>
            </w:pPr>
            <w:r>
              <w:rPr>
                <w:i/>
                <w:iCs/>
                <w:noProof/>
                <w:sz w:val="16"/>
                <w:szCs w:val="16"/>
              </w:rPr>
              <w:t>EUR</w:t>
            </w:r>
          </w:p>
        </w:tc>
      </w:tr>
      <w:tr>
        <w:trPr>
          <w:trHeight w:val="255"/>
          <w:tblHeader/>
        </w:trPr>
        <w:tc>
          <w:tcPr>
            <w:tcW w:w="1145" w:type="dxa"/>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4"/>
              </w:rPr>
            </w:pPr>
            <w:r>
              <w:rPr>
                <w:rFonts w:ascii="Times New Roman" w:hAnsi="Times New Roman"/>
                <w:b/>
                <w:bCs/>
                <w:noProof/>
                <w:sz w:val="20"/>
                <w:szCs w:val="24"/>
              </w:rPr>
              <w:t>Бюджетен ред</w:t>
            </w:r>
          </w:p>
        </w:tc>
        <w:tc>
          <w:tcPr>
            <w:tcW w:w="6085" w:type="dxa"/>
            <w:tcBorders>
              <w:top w:val="single" w:sz="4" w:space="0" w:color="auto"/>
              <w:left w:val="nil"/>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4"/>
              </w:rPr>
            </w:pPr>
            <w:r>
              <w:rPr>
                <w:rFonts w:ascii="Times New Roman" w:hAnsi="Times New Roman"/>
                <w:b/>
                <w:bCs/>
                <w:noProof/>
                <w:sz w:val="20"/>
                <w:szCs w:val="24"/>
              </w:rPr>
              <w:t>Наименование</w:t>
            </w:r>
          </w:p>
        </w:tc>
        <w:tc>
          <w:tcPr>
            <w:tcW w:w="2551" w:type="dxa"/>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rFonts w:ascii="Times New Roman" w:hAnsi="Times New Roman" w:cs="Times New Roman"/>
                <w:b/>
                <w:bCs/>
                <w:noProof/>
                <w:sz w:val="20"/>
                <w:szCs w:val="24"/>
              </w:rPr>
            </w:pPr>
            <w:r>
              <w:rPr>
                <w:rFonts w:ascii="Times New Roman" w:hAnsi="Times New Roman"/>
                <w:b/>
                <w:noProof/>
                <w:sz w:val="20"/>
                <w:szCs w:val="24"/>
              </w:rPr>
              <w:t>Бюджетни кредити</w:t>
            </w:r>
          </w:p>
        </w:tc>
      </w:tr>
      <w:tr>
        <w:trPr>
          <w:trHeight w:val="255"/>
        </w:trPr>
        <w:tc>
          <w:tcPr>
            <w:tcW w:w="1145" w:type="dxa"/>
            <w:tcBorders>
              <w:top w:val="nil"/>
              <w:left w:val="single" w:sz="4" w:space="0" w:color="auto"/>
              <w:bottom w:val="single" w:sz="4" w:space="0" w:color="auto"/>
              <w:right w:val="single" w:sz="4" w:space="0" w:color="auto"/>
            </w:tcBorders>
            <w:shd w:val="clear" w:color="auto" w:fill="auto"/>
            <w:vAlign w:val="center"/>
            <w:hideMark/>
          </w:tcPr>
          <w:p>
            <w:pPr>
              <w:rPr>
                <w:rFonts w:ascii="Times New Roman" w:hAnsi="Times New Roman" w:cs="Times New Roman"/>
                <w:noProof/>
                <w:sz w:val="16"/>
                <w:szCs w:val="24"/>
              </w:rPr>
            </w:pPr>
            <w:r>
              <w:rPr>
                <w:rFonts w:ascii="Times New Roman" w:hAnsi="Times New Roman"/>
                <w:noProof/>
                <w:sz w:val="16"/>
                <w:szCs w:val="24"/>
              </w:rPr>
              <w:t>2 7 0 1</w:t>
            </w:r>
          </w:p>
        </w:tc>
        <w:tc>
          <w:tcPr>
            <w:tcW w:w="6085" w:type="dxa"/>
            <w:tcBorders>
              <w:top w:val="nil"/>
              <w:left w:val="nil"/>
              <w:bottom w:val="single" w:sz="4" w:space="0" w:color="auto"/>
              <w:right w:val="single" w:sz="4" w:space="0" w:color="auto"/>
            </w:tcBorders>
            <w:shd w:val="clear" w:color="auto" w:fill="auto"/>
            <w:vAlign w:val="center"/>
            <w:hideMark/>
          </w:tcPr>
          <w:p>
            <w:pPr>
              <w:rPr>
                <w:rFonts w:ascii="Times New Roman" w:hAnsi="Times New Roman" w:cs="Times New Roman"/>
                <w:noProof/>
                <w:sz w:val="16"/>
                <w:szCs w:val="24"/>
              </w:rPr>
            </w:pPr>
            <w:r>
              <w:rPr>
                <w:rFonts w:ascii="Times New Roman" w:hAnsi="Times New Roman"/>
                <w:noProof/>
                <w:sz w:val="16"/>
                <w:szCs w:val="24"/>
              </w:rPr>
              <w:t>Одит на агенциите и другите органи на Съюза</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pPr>
              <w:jc w:val="right"/>
              <w:rPr>
                <w:rFonts w:ascii="Times New Roman" w:hAnsi="Times New Roman" w:cs="Times New Roman"/>
                <w:noProof/>
                <w:sz w:val="16"/>
                <w:szCs w:val="24"/>
              </w:rPr>
            </w:pPr>
            <w:r>
              <w:rPr>
                <w:rFonts w:ascii="Times New Roman" w:hAnsi="Times New Roman"/>
                <w:noProof/>
                <w:sz w:val="16"/>
                <w:szCs w:val="24"/>
              </w:rPr>
              <w:t>-900 000</w:t>
            </w:r>
          </w:p>
        </w:tc>
      </w:tr>
      <w:tr>
        <w:trPr>
          <w:trHeight w:val="270"/>
        </w:trPr>
        <w:tc>
          <w:tcPr>
            <w:tcW w:w="72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pPr>
              <w:rPr>
                <w:rFonts w:ascii="Times New Roman" w:hAnsi="Times New Roman" w:cs="Times New Roman"/>
                <w:b/>
                <w:bCs/>
                <w:noProof/>
                <w:sz w:val="20"/>
                <w:szCs w:val="24"/>
              </w:rPr>
            </w:pPr>
            <w:r>
              <w:rPr>
                <w:rFonts w:ascii="Times New Roman" w:hAnsi="Times New Roman"/>
                <w:b/>
                <w:bCs/>
                <w:noProof/>
                <w:sz w:val="20"/>
                <w:szCs w:val="24"/>
              </w:rPr>
              <w:t>Междинен сбор раздел V</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pPr>
              <w:jc w:val="right"/>
              <w:rPr>
                <w:rFonts w:ascii="Times New Roman" w:hAnsi="Times New Roman" w:cs="Times New Roman"/>
                <w:b/>
                <w:bCs/>
                <w:noProof/>
                <w:sz w:val="20"/>
                <w:szCs w:val="24"/>
              </w:rPr>
            </w:pPr>
            <w:r>
              <w:rPr>
                <w:rFonts w:ascii="Times New Roman" w:hAnsi="Times New Roman"/>
                <w:b/>
                <w:bCs/>
                <w:noProof/>
                <w:sz w:val="20"/>
                <w:szCs w:val="24"/>
              </w:rPr>
              <w:t>-900 000</w:t>
            </w:r>
          </w:p>
        </w:tc>
      </w:tr>
      <w:tr>
        <w:trPr>
          <w:trHeight w:val="255"/>
        </w:trPr>
        <w:tc>
          <w:tcPr>
            <w:tcW w:w="1145" w:type="dxa"/>
            <w:tcBorders>
              <w:top w:val="nil"/>
              <w:left w:val="single" w:sz="4" w:space="0" w:color="auto"/>
              <w:bottom w:val="single" w:sz="4" w:space="0" w:color="auto"/>
              <w:right w:val="single" w:sz="4" w:space="0" w:color="auto"/>
            </w:tcBorders>
            <w:shd w:val="clear" w:color="000000" w:fill="D9D9D9"/>
            <w:vAlign w:val="center"/>
            <w:hideMark/>
          </w:tcPr>
          <w:p>
            <w:pPr>
              <w:rPr>
                <w:rFonts w:ascii="Times New Roman" w:hAnsi="Times New Roman" w:cs="Times New Roman"/>
                <w:b/>
                <w:bCs/>
                <w:noProof/>
                <w:sz w:val="20"/>
                <w:szCs w:val="24"/>
              </w:rPr>
            </w:pPr>
            <w:r>
              <w:rPr>
                <w:rFonts w:ascii="Times New Roman" w:hAnsi="Times New Roman"/>
                <w:b/>
                <w:bCs/>
                <w:noProof/>
                <w:sz w:val="20"/>
                <w:szCs w:val="24"/>
              </w:rPr>
              <w:t>Общо</w:t>
            </w:r>
          </w:p>
        </w:tc>
        <w:tc>
          <w:tcPr>
            <w:tcW w:w="6085" w:type="dxa"/>
            <w:tcBorders>
              <w:top w:val="nil"/>
              <w:left w:val="nil"/>
              <w:bottom w:val="single" w:sz="4" w:space="0" w:color="auto"/>
              <w:right w:val="single" w:sz="4" w:space="0" w:color="auto"/>
            </w:tcBorders>
            <w:shd w:val="clear" w:color="000000" w:fill="D9D9D9"/>
            <w:noWrap/>
            <w:vAlign w:val="bottom"/>
            <w:hideMark/>
          </w:tcPr>
          <w:p>
            <w:pPr>
              <w:rPr>
                <w:rFonts w:ascii="Times New Roman" w:hAnsi="Times New Roman" w:cs="Times New Roman"/>
                <w:noProof/>
                <w:sz w:val="20"/>
                <w:szCs w:val="24"/>
              </w:rPr>
            </w:pPr>
            <w:r>
              <w:rPr>
                <w:rFonts w:ascii="Times New Roman" w:hAnsi="Times New Roman"/>
                <w:noProof/>
                <w:sz w:val="20"/>
                <w:szCs w:val="24"/>
              </w:rPr>
              <w:t> </w:t>
            </w:r>
          </w:p>
        </w:tc>
        <w:tc>
          <w:tcPr>
            <w:tcW w:w="2551" w:type="dxa"/>
            <w:tcBorders>
              <w:top w:val="nil"/>
              <w:left w:val="single" w:sz="4" w:space="0" w:color="auto"/>
              <w:bottom w:val="single" w:sz="4" w:space="0" w:color="auto"/>
              <w:right w:val="single" w:sz="4" w:space="0" w:color="auto"/>
            </w:tcBorders>
            <w:shd w:val="clear" w:color="000000" w:fill="D9D9D9"/>
            <w:noWrap/>
            <w:vAlign w:val="bottom"/>
            <w:hideMark/>
          </w:tcPr>
          <w:p>
            <w:pPr>
              <w:jc w:val="right"/>
              <w:rPr>
                <w:rFonts w:ascii="Times New Roman" w:hAnsi="Times New Roman" w:cs="Times New Roman"/>
                <w:b/>
                <w:bCs/>
                <w:noProof/>
                <w:sz w:val="20"/>
                <w:szCs w:val="24"/>
              </w:rPr>
            </w:pPr>
            <w:r>
              <w:rPr>
                <w:rFonts w:ascii="Times New Roman" w:hAnsi="Times New Roman"/>
                <w:b/>
                <w:bCs/>
                <w:noProof/>
                <w:sz w:val="20"/>
                <w:szCs w:val="24"/>
              </w:rPr>
              <w:t>-900 000</w:t>
            </w:r>
          </w:p>
        </w:tc>
      </w:tr>
    </w:tbl>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2" w:name="_Toc36562616"/>
      <w:r>
        <w:rPr>
          <w:rFonts w:ascii="Times New Roman" w:hAnsi="Times New Roman"/>
          <w:b/>
          <w:noProof/>
          <w:sz w:val="24"/>
          <w:szCs w:val="24"/>
        </w:rPr>
        <w:t>5.3.</w:t>
      </w:r>
      <w:r>
        <w:rPr>
          <w:rFonts w:ascii="Times New Roman" w:hAnsi="Times New Roman"/>
          <w:b/>
          <w:noProof/>
          <w:sz w:val="24"/>
          <w:szCs w:val="24"/>
        </w:rPr>
        <w:tab/>
        <w:t>Европейски омбудсман</w:t>
      </w:r>
      <w:bookmarkEnd w:id="12"/>
    </w:p>
    <w:p>
      <w:pPr>
        <w:pStyle w:val="NormalWeb"/>
        <w:spacing w:before="120"/>
        <w:jc w:val="both"/>
        <w:rPr>
          <w:noProof/>
        </w:rPr>
      </w:pPr>
      <w:r>
        <w:rPr>
          <w:noProof/>
        </w:rPr>
        <w:t>В искането за бюджета за 2020 г. Омбудсманът поиска преобразуването в по-ниска степен на няколко длъжности в щатното разписание на институцията, за да е налице съответствие действителното заемане на длъжностите. Поради това две висши ръководни длъжности AD15 и AD14 бяха преобразувани в длъжности на по-ниска степен AD11.</w:t>
      </w:r>
    </w:p>
    <w:p>
      <w:pPr>
        <w:pStyle w:val="NormalWeb"/>
        <w:spacing w:before="120"/>
        <w:jc w:val="both"/>
        <w:rPr>
          <w:noProof/>
        </w:rPr>
      </w:pPr>
      <w:r>
        <w:rPr>
          <w:noProof/>
        </w:rPr>
        <w:t xml:space="preserve">През декември 2019 г. Европейският омбудсман г-жа Емили О’Райли беше отново избрана за петгодишен мандат. За този нов мандат г-жа О’Райли предвижда да преструктурира службата от 2020 г. нататък и възнамерява действително да използва висшите ръководни длъжности, които преди това са били преобразувани в по-ниски. </w:t>
      </w:r>
    </w:p>
    <w:p>
      <w:pPr>
        <w:pStyle w:val="NormalWeb"/>
        <w:jc w:val="both"/>
        <w:rPr>
          <w:noProof/>
        </w:rPr>
      </w:pPr>
      <w:r>
        <w:rPr>
          <w:noProof/>
        </w:rPr>
        <w:t>Поради това се предлага преобразуването на една постоянна длъжност AD11 и на една постоянна длъжност AD13 на две постоянни длъжности AD14. Това изменение няма отражение върху размера на бюджетните кредити, отпуснати на Омбудсмана в бюджета за 2020 г.</w:t>
      </w:r>
    </w:p>
    <w:p>
      <w:pPr>
        <w:pStyle w:val="Text1"/>
        <w:ind w:left="0"/>
        <w:rPr>
          <w:noProof/>
        </w:rPr>
      </w:pPr>
      <w:r>
        <w:rPr>
          <w:noProof/>
        </w:rPr>
        <w:t>Актуализираното щатно разписание е посочено в бюджетното приложение.</w:t>
      </w:r>
    </w:p>
    <w:p>
      <w:pPr>
        <w:rPr>
          <w:b/>
          <w:smallCaps/>
          <w:noProof/>
          <w:sz w:val="24"/>
          <w:szCs w:val="24"/>
        </w:rPr>
      </w:pPr>
      <w:r>
        <w:rPr>
          <w:noProof/>
          <w:sz w:val="24"/>
          <w:szCs w:val="24"/>
        </w:rPr>
        <w:br w:type="page"/>
      </w:r>
    </w:p>
    <w:p>
      <w:pPr>
        <w:pStyle w:val="ManualHeading1"/>
        <w:rPr>
          <w:noProof/>
        </w:rPr>
      </w:pPr>
      <w:bookmarkStart w:id="13" w:name="_Toc36562617"/>
      <w:r>
        <w:rPr>
          <w:noProof/>
        </w:rPr>
        <w:t>6.</w:t>
      </w:r>
      <w:r>
        <w:rPr>
          <w:noProof/>
        </w:rPr>
        <w:tab/>
        <w:t>Финансиране</w:t>
      </w:r>
      <w:bookmarkEnd w:id="13"/>
    </w:p>
    <w:p>
      <w:pPr>
        <w:keepNext/>
        <w:tabs>
          <w:tab w:val="left" w:pos="850"/>
        </w:tabs>
        <w:spacing w:before="360" w:after="120"/>
        <w:ind w:left="850" w:hanging="850"/>
        <w:jc w:val="both"/>
        <w:outlineLvl w:val="1"/>
        <w:rPr>
          <w:rFonts w:ascii="Times New Roman" w:eastAsia="Calibri" w:hAnsi="Times New Roman" w:cs="Times New Roman"/>
          <w:b/>
          <w:noProof/>
          <w:sz w:val="24"/>
          <w:szCs w:val="24"/>
        </w:rPr>
      </w:pPr>
      <w:bookmarkStart w:id="14" w:name="_Toc36562618"/>
      <w:r>
        <w:rPr>
          <w:rFonts w:ascii="Times New Roman" w:hAnsi="Times New Roman"/>
          <w:b/>
          <w:noProof/>
          <w:sz w:val="24"/>
          <w:szCs w:val="24"/>
        </w:rPr>
        <w:t>6.1.</w:t>
      </w:r>
      <w:r>
        <w:rPr>
          <w:rFonts w:ascii="Times New Roman" w:hAnsi="Times New Roman"/>
          <w:b/>
          <w:noProof/>
          <w:sz w:val="24"/>
          <w:szCs w:val="24"/>
        </w:rPr>
        <w:tab/>
        <w:t xml:space="preserve">Функция 3 — </w:t>
      </w:r>
      <w:r>
        <w:rPr>
          <w:rFonts w:ascii="Times New Roman" w:hAnsi="Times New Roman"/>
          <w:b/>
          <w:i/>
          <w:noProof/>
          <w:sz w:val="24"/>
          <w:szCs w:val="24"/>
        </w:rPr>
        <w:t>Сигурност и гражданство</w:t>
      </w:r>
      <w:bookmarkEnd w:id="14"/>
    </w:p>
    <w:p>
      <w:pPr>
        <w:spacing w:after="240"/>
        <w:jc w:val="both"/>
        <w:rPr>
          <w:rFonts w:ascii="Times New Roman" w:hAnsi="Times New Roman" w:cs="Times New Roman"/>
          <w:noProof/>
          <w:sz w:val="24"/>
          <w:szCs w:val="24"/>
        </w:rPr>
      </w:pPr>
      <w:r>
        <w:rPr>
          <w:rFonts w:ascii="Times New Roman" w:hAnsi="Times New Roman"/>
          <w:noProof/>
          <w:sz w:val="24"/>
          <w:szCs w:val="24"/>
        </w:rPr>
        <w:t>Общото увеличение на бюджетните кредити за поети задължения по функция 3 възлиза на 423,3 милиона евро. Предвид липсата на маржове и ограничените възможности за преразпределение в рамките на тази функция, Комисията предлага да се мобилизират специални инструменти за тази сума, както следва:</w:t>
      </w:r>
    </w:p>
    <w:p>
      <w:pPr>
        <w:pStyle w:val="ListParagraph"/>
        <w:numPr>
          <w:ilvl w:val="0"/>
          <w:numId w:val="3"/>
        </w:numPr>
        <w:spacing w:after="240"/>
        <w:jc w:val="both"/>
        <w:rPr>
          <w:noProof/>
        </w:rPr>
      </w:pPr>
      <w:r>
        <w:rPr>
          <w:noProof/>
        </w:rPr>
        <w:t>да се мобилизира общият марж за поетите задължения за свързаните с миграцията бюджетни кредити, т.е. 350,0 милиона евро.</w:t>
      </w:r>
    </w:p>
    <w:p>
      <w:pPr>
        <w:pStyle w:val="ListParagraph"/>
        <w:numPr>
          <w:ilvl w:val="0"/>
          <w:numId w:val="3"/>
        </w:numPr>
        <w:spacing w:after="240"/>
        <w:jc w:val="both"/>
        <w:rPr>
          <w:noProof/>
        </w:rPr>
      </w:pPr>
      <w:r>
        <w:rPr>
          <w:noProof/>
        </w:rPr>
        <w:t xml:space="preserve">да се мобилизира Инструментът за гъвкавост за всички други разходи, надхвърлящи тавана по функция 3 (73,3 милиона евро), т.е. да се отговори на нуждите, свързани с епидемичния взрив от COVID-19 и да се осигурят допълнителни средства за </w:t>
      </w:r>
      <w:r>
        <w:rPr>
          <w:i/>
          <w:noProof/>
        </w:rPr>
        <w:t>Европейската прокуратура</w:t>
      </w:r>
      <w:r>
        <w:rPr>
          <w:noProof/>
        </w:rPr>
        <w:t>. В резултат на това размерът на Инструмента за гъвкавост, мобилизиран в бюджета за 2020 г., ще се увеличи от 778,1 милиона евро</w:t>
      </w:r>
      <w:r>
        <w:rPr>
          <w:rStyle w:val="FootnoteReference"/>
          <w:noProof/>
        </w:rPr>
        <w:footnoteReference w:id="7"/>
      </w:r>
      <w:r>
        <w:rPr>
          <w:noProof/>
        </w:rPr>
        <w:t xml:space="preserve"> на 851,7 милиона евро .</w:t>
      </w:r>
    </w:p>
    <w:p>
      <w:pPr>
        <w:keepNext/>
        <w:tabs>
          <w:tab w:val="left" w:pos="850"/>
        </w:tabs>
        <w:spacing w:before="120" w:after="120"/>
        <w:jc w:val="both"/>
        <w:outlineLvl w:val="1"/>
        <w:rPr>
          <w:rFonts w:ascii="Times New Roman" w:eastAsia="Calibri" w:hAnsi="Times New Roman" w:cs="Times New Roman"/>
          <w:b/>
          <w:noProof/>
          <w:sz w:val="24"/>
          <w:szCs w:val="24"/>
        </w:rPr>
      </w:pPr>
      <w:bookmarkStart w:id="15" w:name="_Toc36562619"/>
      <w:r>
        <w:rPr>
          <w:rFonts w:ascii="Times New Roman" w:hAnsi="Times New Roman"/>
          <w:b/>
          <w:noProof/>
          <w:sz w:val="24"/>
          <w:szCs w:val="24"/>
        </w:rPr>
        <w:t>6.2.</w:t>
      </w:r>
      <w:r>
        <w:rPr>
          <w:rFonts w:ascii="Times New Roman" w:hAnsi="Times New Roman"/>
          <w:b/>
          <w:noProof/>
          <w:sz w:val="24"/>
          <w:szCs w:val="24"/>
        </w:rPr>
        <w:tab/>
        <w:t xml:space="preserve">Функция 4 — </w:t>
      </w:r>
      <w:r>
        <w:rPr>
          <w:rFonts w:ascii="Times New Roman" w:hAnsi="Times New Roman"/>
          <w:b/>
          <w:i/>
          <w:noProof/>
          <w:sz w:val="24"/>
          <w:szCs w:val="24"/>
        </w:rPr>
        <w:t>Глобална Европа</w:t>
      </w:r>
      <w:bookmarkEnd w:id="15"/>
    </w:p>
    <w:p>
      <w:pPr>
        <w:pStyle w:val="Text1"/>
        <w:ind w:left="0"/>
        <w:rPr>
          <w:noProof/>
        </w:rPr>
      </w:pPr>
      <w:r>
        <w:rPr>
          <w:noProof/>
        </w:rPr>
        <w:t>Общото увеличение на бюджетните кредити за поети задължения по функция 4 възлиза на 145,0 милиона евро за възстановяването след земетресението в Албания (100 милиона евро) и за разходите за полети с цел репатриране заради COVID-19, съфинансирани от Механизма за гражданска защита на Съюза (45 милиона евро). Тази сума ще бъде финансирана от неразпределения марж по тази функция (248,4 милиона евро).</w:t>
      </w:r>
    </w:p>
    <w:p>
      <w:pPr>
        <w:pStyle w:val="Text1"/>
        <w:ind w:left="0"/>
        <w:rPr>
          <w:noProof/>
        </w:rPr>
      </w:pPr>
      <w:r>
        <w:rPr>
          <w:noProof/>
        </w:rPr>
        <w:t>Не се изисква използване на специални инструменти.</w:t>
      </w:r>
    </w:p>
    <w:p>
      <w:pPr>
        <w:pStyle w:val="ManualHeading1"/>
        <w:pageBreakBefore/>
        <w:rPr>
          <w:noProof/>
        </w:rPr>
      </w:pPr>
      <w:bookmarkStart w:id="16" w:name="_Toc36562620"/>
      <w:r>
        <w:rPr>
          <w:noProof/>
        </w:rPr>
        <w:t>7.</w:t>
      </w:r>
      <w:r>
        <w:rPr>
          <w:noProof/>
        </w:rPr>
        <w:tab/>
        <w:t>Обобщаваща таблица по функции от МФР</w:t>
      </w:r>
      <w:bookmarkEnd w:id="16"/>
    </w:p>
    <w:p>
      <w:pPr>
        <w:pStyle w:val="Text1"/>
        <w:rPr>
          <w:noProof/>
        </w:rPr>
      </w:pPr>
    </w:p>
    <w:tbl>
      <w:tblPr>
        <w:tblW w:w="10580" w:type="dxa"/>
        <w:jc w:val="center"/>
        <w:tblCellMar>
          <w:left w:w="70" w:type="dxa"/>
          <w:right w:w="70" w:type="dxa"/>
        </w:tblCellMar>
        <w:tblLook w:val="04A0" w:firstRow="1" w:lastRow="0" w:firstColumn="1" w:lastColumn="0" w:noHBand="0" w:noVBand="1"/>
      </w:tblPr>
      <w:tblGrid>
        <w:gridCol w:w="282"/>
        <w:gridCol w:w="2476"/>
        <w:gridCol w:w="1357"/>
        <w:gridCol w:w="1357"/>
        <w:gridCol w:w="1197"/>
        <w:gridCol w:w="1197"/>
        <w:gridCol w:w="1357"/>
        <w:gridCol w:w="1357"/>
      </w:tblGrid>
      <w:tr>
        <w:trPr>
          <w:trHeight w:val="210"/>
          <w:jc w:val="center"/>
        </w:trPr>
        <w:tc>
          <w:tcPr>
            <w:tcW w:w="27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Функция</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Бюджет за 2020 г.</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Проект на коригиращ бюджет 1/2020</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Бюджет за 2020 г.</w:t>
            </w:r>
          </w:p>
        </w:tc>
      </w:tr>
      <w:tr>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(вкл. ПВК № 1/2020)</w:t>
            </w:r>
          </w:p>
        </w:tc>
      </w:tr>
      <w:tr>
        <w:trPr>
          <w:trHeight w:val="210"/>
          <w:jc w:val="center"/>
        </w:trPr>
        <w:tc>
          <w:tcPr>
            <w:tcW w:w="2740"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ДНП</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БКП</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ДНП</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БКП</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ДНП</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БКП</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w:t>
            </w:r>
          </w:p>
        </w:tc>
        <w:tc>
          <w:tcPr>
            <w:tcW w:w="248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Интелигентен и приобщаващ растеж</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83 930 597 837</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72 353 828 442</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83 930 597 837</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72 353 828 442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Бюджетен таван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83 661 000 000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83 661 000 000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1a</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Конкурентоспособност за растеж и работни места</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25 284 773 982</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22 308 071 592</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25 284 773 982</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22 308 071 592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93 773 982</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93 773 982</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Бюджетен таван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25 191 000 000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25 191 000 000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 xml:space="preserve">1б </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Икономическо, социално и териториално сближаване</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58 645 823 855</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50 045 756 850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58 645 823 855</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50 045 756 850</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175 823 855</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175 823 855</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58 470 000 000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58 470 000 000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2.</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Устойчив растеж: природни ресурси</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59 907 021 051</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57 904 492 439</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59 907 021 051</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57 904 492 439</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Бюджетен 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60 421 000 000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60 421 000 000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513 978 949</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513 978 949</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34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От които: Европейски фонд за гарантиране на земеделието (ЕФГЗ) — Разходи, свързани с пазара, и преки плащания</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43 410 105 687</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43 380 031 798</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43 410 105 687</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43 380 031 798</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Подтаван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43 888 000 000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43 888 000 000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Разликата от закръгляне е изключена от изчислението на маржа</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888 000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888 000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 за ЕФГЗ</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477 006 313</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477 006 313</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Сигурност и гражданство</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3 729 074 489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3 685 227 141</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423 300 000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63 300 000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4 152 374 489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3 748 527 141</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73 300 000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851 374 489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350 000 000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350 000 000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Бюджетен таван </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2 951 000 000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2 951 000 000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4.</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Глобална Европа</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10 261 572 239</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8 929 061 191</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145 000 000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15 000 000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10 406 572 239</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8 944 061 191</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Бюджетен 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10 510 000 000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10 510 000 000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248 427 761</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103 427 761</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5.</w:t>
            </w:r>
          </w:p>
        </w:tc>
        <w:tc>
          <w:tcPr>
            <w:tcW w:w="248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Администрация</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10 272 093 494</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10 275 096 704</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900 000</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900 000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10 271 193 494</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10 274 196 704</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Бюджетен 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11 254 000 000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11 254 000 000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729 906 506</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730 806 506</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360"/>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sz w:val="14"/>
                <w:szCs w:val="14"/>
              </w:rPr>
              <w:t>От които: Административни разходи на институциите</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7 956 203 132</w:t>
            </w:r>
          </w:p>
        </w:tc>
        <w:tc>
          <w:tcPr>
            <w:tcW w:w="1360" w:type="dxa"/>
            <w:tcBorders>
              <w:top w:val="single" w:sz="4" w:space="0" w:color="auto"/>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7 959 206 342</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900 000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  900 000</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7 955 303 132</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sz w:val="14"/>
                <w:szCs w:val="14"/>
              </w:rPr>
              <w:t>7 958 306 342</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Подтаван</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9 071 000 000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9 071 000 000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- 252 000 000</w:t>
            </w:r>
          </w:p>
        </w:tc>
        <w:tc>
          <w:tcPr>
            <w:tcW w:w="136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Марж</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862 796 868</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xml:space="preserve"> 863 696 868</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sz w:val="14"/>
                <w:szCs w:val="14"/>
              </w:rPr>
              <w:t> </w:t>
            </w:r>
          </w:p>
        </w:tc>
      </w:tr>
      <w:tr>
        <w:trPr>
          <w:trHeight w:val="225"/>
          <w:jc w:val="center"/>
        </w:trPr>
        <w:tc>
          <w:tcPr>
            <w:tcW w:w="27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Общо</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168 100 359 110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153 147 705 917</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567 400 000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77 400 000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168 667 759 110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153 225 105 917</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От които по Инструмента за гъвкавост</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778 074 489</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849 779 197</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73 300 000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43 300 000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851 374 489</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893 079 197</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От които в общия марж за поетите задължения</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269 597 837</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350 000 000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619 597 837</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Бюджетен таван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172 420 000 000</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168 797 000 000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172 420 000 000</w:t>
            </w:r>
          </w:p>
        </w:tc>
      </w:tr>
      <w:tr>
        <w:trPr>
          <w:trHeight w:val="225"/>
          <w:jc w:val="center"/>
        </w:trPr>
        <w:tc>
          <w:tcPr>
            <w:tcW w:w="27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От които приспадане от маржа за непредвидени обстоятелства</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- 252 000 000</w:t>
            </w:r>
          </w:p>
        </w:tc>
        <w:tc>
          <w:tcPr>
            <w:tcW w:w="136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r>
      <w:tr>
        <w:trPr>
          <w:trHeight w:val="225"/>
          <w:jc w:val="center"/>
        </w:trPr>
        <w:tc>
          <w:tcPr>
            <w:tcW w:w="2740"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Марж</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1 492 313 216</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20 122 073 280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- 144 100 000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 </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1 348 213 216</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sz w:val="14"/>
                <w:szCs w:val="14"/>
              </w:rPr>
              <w:t>20 087 973 280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Други специални инструменти</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587 763 000</w:t>
            </w:r>
          </w:p>
        </w:tc>
        <w:tc>
          <w:tcPr>
            <w:tcW w:w="136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418 500 000</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587 763 000</w:t>
            </w:r>
          </w:p>
        </w:tc>
        <w:tc>
          <w:tcPr>
            <w:tcW w:w="136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418 500 000</w:t>
            </w:r>
          </w:p>
        </w:tc>
      </w:tr>
      <w:tr>
        <w:trPr>
          <w:trHeight w:val="225"/>
          <w:jc w:val="center"/>
        </w:trPr>
        <w:tc>
          <w:tcPr>
            <w:tcW w:w="2740"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Общо всичко</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168 688 122 110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153 566 205 917</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567 400 000</w:t>
            </w:r>
          </w:p>
        </w:tc>
        <w:tc>
          <w:tcPr>
            <w:tcW w:w="120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 xml:space="preserve"> 77 400 000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169 255 522 110</w:t>
            </w:r>
          </w:p>
        </w:tc>
        <w:tc>
          <w:tcPr>
            <w:tcW w:w="136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sz w:val="14"/>
                <w:szCs w:val="14"/>
              </w:rPr>
              <w:t>153 643 605 917</w:t>
            </w:r>
          </w:p>
        </w:tc>
      </w:tr>
    </w:tbl>
    <w:p>
      <w:pPr>
        <w:pStyle w:val="Text1"/>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10</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8"/>
          <w:szCs w:val="18"/>
        </w:rPr>
        <w:t>ОВ L 193, 30.7.2018 г.</w:t>
      </w:r>
    </w:p>
  </w:footnote>
  <w:footnote w:id="2">
    <w:p>
      <w:pPr>
        <w:pStyle w:val="FootnoteText"/>
      </w:pPr>
      <w:r>
        <w:rPr>
          <w:rStyle w:val="FootnoteReference"/>
        </w:rPr>
        <w:footnoteRef/>
      </w:r>
      <w:r>
        <w:t xml:space="preserve"> </w:t>
      </w:r>
      <w:r>
        <w:tab/>
      </w:r>
      <w:r>
        <w:rPr>
          <w:sz w:val="18"/>
          <w:szCs w:val="18"/>
        </w:rPr>
        <w:t>ОВ L 57, 27.2.2020 г.</w:t>
      </w:r>
    </w:p>
  </w:footnote>
  <w:footnote w:id="3">
    <w:p>
      <w:pPr>
        <w:pStyle w:val="FootnoteText"/>
        <w:rPr>
          <w:sz w:val="18"/>
          <w:szCs w:val="18"/>
        </w:rPr>
      </w:pPr>
      <w:r>
        <w:rPr>
          <w:rStyle w:val="FootnoteReference"/>
          <w:sz w:val="18"/>
          <w:szCs w:val="18"/>
        </w:rPr>
        <w:footnoteRef/>
      </w:r>
      <w:r>
        <w:rPr>
          <w:sz w:val="18"/>
          <w:szCs w:val="18"/>
        </w:rPr>
        <w:t xml:space="preserve"> </w:t>
      </w:r>
      <w:r>
        <w:rPr>
          <w:sz w:val="18"/>
          <w:szCs w:val="18"/>
        </w:rPr>
        <w:tab/>
        <w:t>Последната бърза оценка на риска, изготвена от Европейския център за профилактика и контрол върху заболяванията (ECDC), оцени като висок риска от широко разпространение на заразата в ЕС/ЕИП и Обединеното кралство през идните седмици, което увеличава потенциалните нужди от медицинско оборудване и мерки за противодействие на засегнатите държави.</w:t>
      </w:r>
      <w:r>
        <w:t xml:space="preserve"> </w:t>
      </w:r>
      <w:r>
        <w:rPr>
          <w:sz w:val="18"/>
          <w:szCs w:val="18"/>
        </w:rPr>
        <w:t xml:space="preserve"> </w:t>
      </w:r>
      <w:hyperlink r:id="rId1" w:history="1">
        <w:r>
          <w:rPr>
            <w:rStyle w:val="Hyperlink"/>
            <w:sz w:val="18"/>
            <w:szCs w:val="18"/>
          </w:rPr>
          <w:t>https://www.ecdc.europa.eu/en/publications-data/rapid-risk-assessment-novel-coronavirus-disease-2019-covid-19-pandemic-increased</w:t>
        </w:r>
      </w:hyperlink>
      <w:r>
        <w:rPr>
          <w:sz w:val="18"/>
          <w:szCs w:val="18"/>
        </w:rPr>
        <w:t xml:space="preserve"> </w:t>
      </w:r>
    </w:p>
  </w:footnote>
  <w:footnote w:id="4">
    <w:p>
      <w:pPr>
        <w:pStyle w:val="FootnoteText"/>
      </w:pPr>
      <w:r>
        <w:rPr>
          <w:rStyle w:val="FootnoteReference"/>
        </w:rPr>
        <w:footnoteRef/>
      </w:r>
      <w:r>
        <w:tab/>
        <w:t>През 2020 г. инструментът е получил 40 заявления за безвъзмездни средства и средният брой безвъзмездни средства за превоз, обработени през последните три години, възлиза на 42 безвъзмездни средства (50 през 2017 г., 26 през 2018 г. и 49 през 2019 г.).</w:t>
      </w:r>
    </w:p>
  </w:footnote>
  <w:footnote w:id="5">
    <w:p>
      <w:pPr>
        <w:pStyle w:val="FootnoteText"/>
      </w:pPr>
      <w:r>
        <w:rPr>
          <w:rStyle w:val="FootnoteReference"/>
        </w:rPr>
        <w:footnoteRef/>
      </w:r>
      <w:r>
        <w:rPr>
          <w:sz w:val="16"/>
        </w:rPr>
        <w:t xml:space="preserve"> </w:t>
      </w:r>
      <w:r>
        <w:tab/>
        <w:t>Според последната информация само на Малдивските острови има около 37 000 блокирани европейски граждани. Оценката се основава на неточни данни и ще бъде преразгледана през следващите дни.</w:t>
      </w:r>
    </w:p>
  </w:footnote>
  <w:footnote w:id="6">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w:t>
      </w:r>
    </w:p>
  </w:footnote>
  <w:footnote w:id="7">
    <w:p>
      <w:pPr>
        <w:pStyle w:val="FootnoteText"/>
      </w:pPr>
      <w:r>
        <w:rPr>
          <w:rStyle w:val="FootnoteReference"/>
        </w:rPr>
        <w:footnoteRef/>
      </w:r>
      <w:r>
        <w:t xml:space="preserve"> </w:t>
      </w:r>
      <w:r>
        <w:tab/>
        <w:t>Решение (ЕС) 2020/265 на Европейския парламент и на Съвета от 27 ноември 2019 година относно мобилизирането на средства по линия на Инструмента за гъвкавост за финансиране на незабавни бюджетни мерки за справяне с текущите предизвикателства на миграцията, притоците на бежанци и заплахите за сигурността (OВ L 58 27.2.2020 г., стр.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4"/>
  </w:num>
  <w:num w:numId="4">
    <w:abstractNumId w:val="17"/>
  </w:num>
  <w:num w:numId="5">
    <w:abstractNumId w:val="22"/>
  </w:num>
  <w:num w:numId="6">
    <w:abstractNumId w:val="14"/>
  </w:num>
  <w:num w:numId="7">
    <w:abstractNumId w:val="9"/>
  </w:num>
  <w:num w:numId="8">
    <w:abstractNumId w:val="26"/>
  </w:num>
  <w:num w:numId="9">
    <w:abstractNumId w:val="20"/>
  </w:num>
  <w:num w:numId="10">
    <w:abstractNumId w:val="27"/>
  </w:num>
  <w:num w:numId="11">
    <w:abstractNumId w:val="21"/>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5"/>
  </w:num>
  <w:num w:numId="24">
    <w:abstractNumId w:val="23"/>
  </w:num>
  <w:num w:numId="25">
    <w:abstractNumId w:val="11"/>
  </w:num>
  <w:num w:numId="26">
    <w:abstractNumId w:val="19"/>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181F5A-78F8-4058-9944-EF8F7DBE0B8A"/>
    <w:docVar w:name="LW_COVERPAGE_TYPE" w:val="1"/>
    <w:docVar w:name="LW_CROSSREFERENCE" w:val="&lt;UNUSED&gt;"/>
    <w:docVar w:name="LW_DocType" w:val="NORMAL"/>
    <w:docVar w:name="LW_EMISSION" w:val="27.3.2020"/>
    <w:docVar w:name="LW_EMISSION_ISODATE" w:val="2020-03-27"/>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6?\u1084?\u1086?\u1097? \u1079?\u1072? \u1043?\u1098?\u1088?\u1094?\u1080?\u1103? \u1074? \u1086?\u1090?\u1075?\u1086?\u1074?\u1086?\u1088? \u1085?\u1072? \u1085?\u1072?\u1088?\u1072?\u1089?\u1090?\u1074?\u1072?\u1097?\u1080?\u1103? \u1084?\u1080?\u1075?\u1088?\u1072?\u1094?\u1080?\u1086?\u1085?\u1077?\u1085? \u1085?\u1072?\u1090?\u1080?\u1089?\u1082?_x000d__x000d__x000d__x000d__x000d__x000b_\u1057?\u1087?\u1077?\u1096?\u1085?\u1080? \u1084?\u1077?\u1088?\u1082?\u1080? \u1074? \u1082?\u1086?\u1085?\u1090?\u1077?\u1082?\u1089?\u1090?\u1072? \u1085?\u1072? \u1077?\u1087?\u1080?\u1076?\u1077?\u1084?\u1080?\u1095?\u1085?\u1080?\u1103? \u1074?\u1079?\u1088?\u1080?\u1074? \u1086?\u1090? COVID-19 _x000d__x000d__x000d__x000d__x000d__x000b_\u1055?\u1086?\u1076?\u1082?\u1088?\u1077?\u1087?\u1072? \u1079?\u1072? \u1074?\u1098?\u1079?\u1089?\u1090?\u1072?\u1085?\u1086?\u1074?\u1103?\u1074?\u1072?\u1085?\u1077? \u1089?\u1083?\u1077?\u1076? \u1079?\u1077?\u1084?\u1077?\u1090?\u1088?\u1077?\u1089?\u1077?\u1085?\u1080?\u1077?\u1090?\u1086? \u1074? \u1040?\u1083?\u1073?\u1072?\u1085?\u1080?\u1103? _x000d__x000d__x000d__x000d__x000d__x000b_\u1044?\u1088?\u1091?\u1075?\u1080? \u1082?\u1086?\u1088?\u1077?\u1082?\u1094?\u1080?\u1080?_x000d__x000d__x000d__x000d__x000d__x000b__x000d__x000d__x000d__x000d__x000d__x000b_"/>
    <w:docVar w:name="LW_TYPE.DOC.CP" w:val="\u1055?\u1056?\u1054?\u1045?\u1050?\u1058? \u1053?\u1040? \u1050?\u1054?\u1056?\u1048?\u1043?\u1048?\u1056?\u1040?\u1065? \u1041?\u1070?\u1044?\u1046?\u1045?\u1058? \u8470? 1_x000b_\u1050?\u1066?\u1052? \u1054?\u1041?\u1065?\u1048?\u1071? \u1041?\u1070?\u1044?\u1046?\u1045?\u1058? \u1047?\u1040? 2020 \u1075?.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publications-data/rapid-risk-assessment-novel-coronavirus-disease-2019-covid-19-pandemic-incr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DF99-466E-4398-B826-A1D2CA17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3821</Words>
  <Characters>19912</Characters>
  <Application>Microsoft Office Word</Application>
  <DocSecurity>0</DocSecurity>
  <Lines>765</Lines>
  <Paragraphs>439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40</cp:revision>
  <dcterms:created xsi:type="dcterms:W3CDTF">2020-03-25T10:55:00Z</dcterms:created>
  <dcterms:modified xsi:type="dcterms:W3CDTF">2020-04-06T15:32:00Z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ies>
</file>