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C60F70CB-12EA-49DE-9586-D901C45BB96F" style="width:450.75pt;height:34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ManualHeading1"/>
        <w:numPr>
          <w:ilvl w:val="0"/>
          <w:numId w:val="1"/>
        </w:numPr>
        <w:rPr>
          <w:noProof/>
        </w:rPr>
      </w:pPr>
      <w:bookmarkStart w:id="1" w:name="_GoBack"/>
      <w:bookmarkEnd w:id="1"/>
      <w:r>
        <w:rPr>
          <w:noProof/>
        </w:rPr>
        <w:lastRenderedPageBreak/>
        <w:t>Въведение</w:t>
      </w:r>
    </w:p>
    <w:p>
      <w:pPr>
        <w:pStyle w:val="Text1"/>
        <w:rPr>
          <w:noProof/>
        </w:rPr>
      </w:pPr>
      <w:r>
        <w:rPr>
          <w:noProof/>
        </w:rPr>
        <w:t>В регламента за определяне на многогодишната финансова рамка (Регламент за МФР) за периода 2014—2020 г., последно изменен с Регламент (ЕС, Евратом) 2017/1123 на Съвета от 20 юни 2017 г.</w:t>
      </w:r>
      <w:r>
        <w:rPr>
          <w:rStyle w:val="FootnoteReference"/>
          <w:noProof/>
        </w:rPr>
        <w:footnoteReference w:id="2"/>
      </w:r>
      <w:r>
        <w:rPr>
          <w:noProof/>
        </w:rPr>
        <w:t xml:space="preserve"> и коригиран в съответствие с посоченото в съобщението относно техническата корекция за 2020 г.</w:t>
      </w:r>
      <w:r>
        <w:rPr>
          <w:rStyle w:val="FootnoteReference"/>
          <w:noProof/>
        </w:rPr>
        <w:footnoteReference w:id="3"/>
      </w:r>
      <w:r>
        <w:rPr>
          <w:noProof/>
        </w:rPr>
        <w:t xml:space="preserve">, се съдържа таблицата с финансовата рамка за периода 2014—2020 г., изразена по цени от 2011 г. (таблица 1). </w:t>
      </w:r>
    </w:p>
    <w:p>
      <w:pPr>
        <w:pStyle w:val="Text1"/>
        <w:rPr>
          <w:noProof/>
        </w:rPr>
      </w:pPr>
      <w:r>
        <w:rPr>
          <w:noProof/>
        </w:rPr>
        <w:t xml:space="preserve">Съгласно член 6, параграф 1 от Регламента за МФР всяка година преди началото на бюджетната процедура за година n+1 Комисията извършва техническа корекция на многогодишната финансова рамка (МФР) в съответствие с промените в брутния национален доход (БНД) на ЕС и в цените и съобщава резултатите на Съвета и Европейския парламент. Корекцията на таваните в съответствие с член 6, параграф 1 беше направена през май 2019 г. в техническата корекция за 2020 г. и съгласно член 6, параграф 4 тя не се актуализира. </w:t>
      </w:r>
    </w:p>
    <w:p>
      <w:pPr>
        <w:pStyle w:val="Text1"/>
        <w:rPr>
          <w:noProof/>
        </w:rPr>
      </w:pPr>
      <w:r>
        <w:rPr>
          <w:noProof/>
        </w:rPr>
        <w:t xml:space="preserve">В съобщението относно техническата корекция за 2020 г. се посочва, че специалните инструменти за 2019 г. и 2020 г. са на разположение съгласно член 6, параграф 1, букви д) и е) от Регламента за МФР съответно за наличието на общия марж за поетите задължения и на Инструмента за гъвкавост, както е било известно през пролетта на 2019 г. Целта на настоящото съобщение е да представи на Съвета и на Европейския парламент допълнителните налични средства за специалните инструменти съгласно член 6, параграф 1, букви д) и е) от Регламента за МФР за общия марж за поетите задължения и за Инструмента за гъвкавост за 2020 г., които са станали налични в края на 2019 г. </w:t>
      </w:r>
    </w:p>
    <w:p>
      <w:pPr>
        <w:pStyle w:val="Text1"/>
        <w:rPr>
          <w:noProof/>
        </w:rPr>
      </w:pPr>
      <w:r>
        <w:rPr>
          <w:noProof/>
        </w:rPr>
        <w:t>В съобщението се посочват и наличните суми от всички специални инструменти и тяхното оползотворяване от 2014 г. насам.</w:t>
      </w:r>
    </w:p>
    <w:p>
      <w:pPr>
        <w:pStyle w:val="ManualHeading1"/>
        <w:rPr>
          <w:noProof/>
        </w:rPr>
      </w:pPr>
      <w:r>
        <w:rPr>
          <w:noProof/>
        </w:rPr>
        <w:t>2.</w:t>
      </w:r>
      <w:r>
        <w:rPr>
          <w:noProof/>
        </w:rPr>
        <w:tab/>
        <w:t>Общ марж за плащанията (ОМП)</w:t>
      </w:r>
    </w:p>
    <w:p>
      <w:pPr>
        <w:pStyle w:val="Text1"/>
        <w:rPr>
          <w:noProof/>
        </w:rPr>
      </w:pPr>
      <w:r>
        <w:rPr>
          <w:noProof/>
        </w:rPr>
        <w:t>Съгласно член 5 от Регламента за МФР Комисията коригира тавана на плащанията за годините 2015—2020, като го увеличава със сума, равна на разликата между извършените плащания и тавана на МФР за плащанията за година n-1. Всяка корекция в посока увеличаване се компенсира изцяло чрез равностойно намаление на тавана на плащанията за година n-1 по постоянни цени от 2011 г.</w:t>
      </w:r>
    </w:p>
    <w:p>
      <w:pPr>
        <w:pStyle w:val="Text1"/>
        <w:rPr>
          <w:noProof/>
        </w:rPr>
      </w:pPr>
      <w:r>
        <w:rPr>
          <w:noProof/>
        </w:rPr>
        <w:t>Не се прави преизчисляване на ОМП за 2020 г., тъй като прагът, определен в член 5, параграф 2 от Регламента за МФР, беше достигнат в техническата корекция за 2020 г., приета през май 2019 г.</w:t>
      </w:r>
    </w:p>
    <w:p>
      <w:pPr>
        <w:pStyle w:val="ManualHeading1"/>
        <w:rPr>
          <w:noProof/>
        </w:rPr>
      </w:pPr>
      <w:r>
        <w:rPr>
          <w:noProof/>
        </w:rPr>
        <w:t>3.</w:t>
      </w:r>
      <w:r>
        <w:rPr>
          <w:noProof/>
        </w:rPr>
        <w:tab/>
        <w:t>Специални инструменти</w:t>
      </w:r>
    </w:p>
    <w:p>
      <w:pPr>
        <w:pStyle w:val="Text1"/>
        <w:rPr>
          <w:noProof/>
        </w:rPr>
      </w:pPr>
      <w:r>
        <w:rPr>
          <w:noProof/>
        </w:rPr>
        <w:t>Съществуват редица инструменти извън разходните тавани, определени във финансовата рамка за периода 2014—2020 г. Тези инструменти имат за цел да осигурят бърза реакция при извънредни или непредвидени събития и осигуряват известна гъвкавост извън договорените разходни тавани в определени граници.</w:t>
      </w:r>
    </w:p>
    <w:p>
      <w:pPr>
        <w:pStyle w:val="ManualHeading2"/>
        <w:rPr>
          <w:noProof/>
        </w:rPr>
      </w:pPr>
      <w:r>
        <w:rPr>
          <w:noProof/>
        </w:rPr>
        <w:t>3.1.</w:t>
      </w:r>
      <w:r>
        <w:rPr>
          <w:noProof/>
        </w:rPr>
        <w:tab/>
        <w:t>Резерв за спешна помощ (РСП)</w:t>
      </w:r>
    </w:p>
    <w:p>
      <w:pPr>
        <w:pStyle w:val="Text1"/>
        <w:rPr>
          <w:noProof/>
        </w:rPr>
      </w:pPr>
      <w:r>
        <w:rPr>
          <w:noProof/>
        </w:rPr>
        <w:t xml:space="preserve">Съгласно член 9 от изменения Регламент за МФР </w:t>
      </w:r>
      <w:r>
        <w:rPr>
          <w:i/>
          <w:noProof/>
        </w:rPr>
        <w:t>резервът за спешна помощ</w:t>
      </w:r>
      <w:r>
        <w:rPr>
          <w:noProof/>
        </w:rPr>
        <w:t xml:space="preserve"> може да бъде мобилизиран за сума в размер на максимум 300 милиона евро годишно по цени от 2011 г. или 358,5 милиона евро през 2020 г. по текущи цени (2 301,4 милиона евро за целия период по текущи цени). Частта от неусвоените средства от предходната година може да бъде пренесена в следващата година. Пренесените от 2019 г. към 2020 г. суми възлизат на 45,6 милиона евро.</w:t>
      </w:r>
    </w:p>
    <w:p>
      <w:pPr>
        <w:pStyle w:val="Text1"/>
        <w:rPr>
          <w:noProof/>
        </w:rPr>
      </w:pPr>
      <w:r>
        <w:rPr>
          <w:noProof/>
        </w:rPr>
        <w:t>Таблицата по-долу съдържа информация за годишните наличности и използването на резерва за спешна помощ от 2014 г. насам.</w:t>
      </w:r>
    </w:p>
    <w:tbl>
      <w:tblPr>
        <w:tblW w:w="9431" w:type="dxa"/>
        <w:jc w:val="center"/>
        <w:tblCellMar>
          <w:left w:w="70" w:type="dxa"/>
          <w:right w:w="70" w:type="dxa"/>
        </w:tblCellMar>
        <w:tblLook w:val="04A0" w:firstRow="1" w:lastRow="0" w:firstColumn="1" w:lastColumn="0" w:noHBand="0" w:noVBand="1"/>
      </w:tblPr>
      <w:tblGrid>
        <w:gridCol w:w="2801"/>
        <w:gridCol w:w="875"/>
        <w:gridCol w:w="842"/>
        <w:gridCol w:w="809"/>
        <w:gridCol w:w="776"/>
        <w:gridCol w:w="783"/>
        <w:gridCol w:w="803"/>
        <w:gridCol w:w="875"/>
        <w:gridCol w:w="858"/>
        <w:gridCol w:w="9"/>
      </w:tblGrid>
      <w:tr>
        <w:trPr>
          <w:trHeight w:val="240"/>
          <w:jc w:val="center"/>
        </w:trPr>
        <w:tc>
          <w:tcPr>
            <w:tcW w:w="9431"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pPr>
              <w:spacing w:before="0" w:after="0"/>
              <w:jc w:val="center"/>
              <w:rPr>
                <w:b/>
                <w:bCs/>
                <w:noProof/>
                <w:sz w:val="18"/>
                <w:szCs w:val="18"/>
              </w:rPr>
            </w:pPr>
            <w:r>
              <w:rPr>
                <w:b/>
                <w:bCs/>
                <w:noProof/>
                <w:sz w:val="18"/>
                <w:szCs w:val="18"/>
              </w:rPr>
              <w:t>Резерв за спешна помощ</w:t>
            </w:r>
          </w:p>
        </w:tc>
      </w:tr>
      <w:tr>
        <w:trPr>
          <w:trHeight w:val="240"/>
          <w:jc w:val="center"/>
        </w:trPr>
        <w:tc>
          <w:tcPr>
            <w:tcW w:w="9431"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pPr>
              <w:spacing w:before="0" w:after="0"/>
              <w:jc w:val="right"/>
              <w:rPr>
                <w:i/>
                <w:iCs/>
                <w:noProof/>
                <w:sz w:val="18"/>
                <w:szCs w:val="18"/>
              </w:rPr>
            </w:pPr>
            <w:r>
              <w:rPr>
                <w:i/>
                <w:iCs/>
                <w:noProof/>
                <w:sz w:val="18"/>
                <w:szCs w:val="18"/>
              </w:rPr>
              <w:t>(млн. евро)</w:t>
            </w:r>
          </w:p>
        </w:tc>
      </w:tr>
      <w:tr>
        <w:trPr>
          <w:gridAfter w:val="1"/>
          <w:wAfter w:w="9" w:type="dxa"/>
          <w:trHeight w:val="240"/>
          <w:jc w:val="center"/>
        </w:trPr>
        <w:tc>
          <w:tcPr>
            <w:tcW w:w="2801" w:type="dxa"/>
            <w:tcBorders>
              <w:top w:val="nil"/>
              <w:left w:val="single" w:sz="4" w:space="0" w:color="auto"/>
              <w:bottom w:val="nil"/>
              <w:right w:val="single" w:sz="4" w:space="0" w:color="auto"/>
            </w:tcBorders>
            <w:shd w:val="clear" w:color="auto" w:fill="auto"/>
            <w:noWrap/>
            <w:vAlign w:val="bottom"/>
            <w:hideMark/>
          </w:tcPr>
          <w:p>
            <w:pPr>
              <w:spacing w:before="0" w:after="0"/>
              <w:jc w:val="left"/>
              <w:rPr>
                <w:noProof/>
                <w:sz w:val="18"/>
                <w:szCs w:val="18"/>
              </w:rPr>
            </w:pPr>
            <w:r>
              <w:rPr>
                <w:noProof/>
                <w:sz w:val="18"/>
                <w:szCs w:val="18"/>
              </w:rPr>
              <w:t> </w:t>
            </w:r>
          </w:p>
        </w:tc>
        <w:tc>
          <w:tcPr>
            <w:tcW w:w="875"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rPr>
            </w:pPr>
            <w:r>
              <w:rPr>
                <w:noProof/>
                <w:sz w:val="18"/>
                <w:szCs w:val="18"/>
              </w:rPr>
              <w:t>2014 г.</w:t>
            </w:r>
          </w:p>
        </w:tc>
        <w:tc>
          <w:tcPr>
            <w:tcW w:w="842"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rPr>
            </w:pPr>
            <w:r>
              <w:rPr>
                <w:noProof/>
                <w:sz w:val="18"/>
                <w:szCs w:val="18"/>
              </w:rPr>
              <w:t>2015 г.</w:t>
            </w:r>
          </w:p>
        </w:tc>
        <w:tc>
          <w:tcPr>
            <w:tcW w:w="809"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rPr>
            </w:pPr>
            <w:r>
              <w:rPr>
                <w:noProof/>
                <w:sz w:val="18"/>
                <w:szCs w:val="18"/>
              </w:rPr>
              <w:t>2016 г.</w:t>
            </w:r>
          </w:p>
        </w:tc>
        <w:tc>
          <w:tcPr>
            <w:tcW w:w="776"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rPr>
            </w:pPr>
            <w:r>
              <w:rPr>
                <w:noProof/>
                <w:sz w:val="18"/>
                <w:szCs w:val="18"/>
              </w:rPr>
              <w:t>2017 г.</w:t>
            </w:r>
          </w:p>
        </w:tc>
        <w:tc>
          <w:tcPr>
            <w:tcW w:w="783"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rPr>
            </w:pPr>
            <w:r>
              <w:rPr>
                <w:noProof/>
                <w:sz w:val="18"/>
                <w:szCs w:val="18"/>
              </w:rPr>
              <w:t>2018 г.</w:t>
            </w:r>
          </w:p>
        </w:tc>
        <w:tc>
          <w:tcPr>
            <w:tcW w:w="803"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rPr>
            </w:pPr>
            <w:r>
              <w:rPr>
                <w:noProof/>
                <w:sz w:val="18"/>
                <w:szCs w:val="18"/>
              </w:rPr>
              <w:t>2019 г.</w:t>
            </w:r>
          </w:p>
        </w:tc>
        <w:tc>
          <w:tcPr>
            <w:tcW w:w="875"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rPr>
            </w:pPr>
            <w:r>
              <w:rPr>
                <w:noProof/>
                <w:sz w:val="18"/>
                <w:szCs w:val="18"/>
              </w:rPr>
              <w:t>2020 г.</w:t>
            </w:r>
          </w:p>
        </w:tc>
        <w:tc>
          <w:tcPr>
            <w:tcW w:w="858" w:type="dxa"/>
            <w:tcBorders>
              <w:top w:val="nil"/>
              <w:left w:val="nil"/>
              <w:bottom w:val="single" w:sz="4" w:space="0" w:color="auto"/>
              <w:right w:val="single" w:sz="4" w:space="0" w:color="auto"/>
            </w:tcBorders>
            <w:shd w:val="clear" w:color="auto" w:fill="auto"/>
            <w:noWrap/>
            <w:vAlign w:val="bottom"/>
            <w:hideMark/>
          </w:tcPr>
          <w:p>
            <w:pPr>
              <w:spacing w:before="0" w:after="0"/>
              <w:jc w:val="center"/>
              <w:rPr>
                <w:b/>
                <w:bCs/>
                <w:noProof/>
                <w:sz w:val="18"/>
                <w:szCs w:val="18"/>
              </w:rPr>
            </w:pPr>
            <w:r>
              <w:rPr>
                <w:b/>
                <w:bCs/>
                <w:noProof/>
                <w:sz w:val="18"/>
                <w:szCs w:val="18"/>
              </w:rPr>
              <w:t>Общо</w:t>
            </w:r>
          </w:p>
        </w:tc>
      </w:tr>
      <w:tr>
        <w:trPr>
          <w:gridAfter w:val="1"/>
          <w:wAfter w:w="9" w:type="dxa"/>
          <w:trHeight w:val="240"/>
          <w:jc w:val="center"/>
        </w:trPr>
        <w:tc>
          <w:tcPr>
            <w:tcW w:w="2801" w:type="dxa"/>
            <w:tcBorders>
              <w:top w:val="nil"/>
              <w:left w:val="single" w:sz="4" w:space="0" w:color="auto"/>
              <w:bottom w:val="nil"/>
              <w:right w:val="single" w:sz="4" w:space="0" w:color="auto"/>
            </w:tcBorders>
            <w:shd w:val="clear" w:color="auto" w:fill="auto"/>
            <w:noWrap/>
            <w:vAlign w:val="bottom"/>
            <w:hideMark/>
          </w:tcPr>
          <w:p>
            <w:pPr>
              <w:spacing w:before="0" w:after="0"/>
              <w:jc w:val="left"/>
              <w:rPr>
                <w:noProof/>
                <w:sz w:val="18"/>
                <w:szCs w:val="18"/>
              </w:rPr>
            </w:pPr>
            <w:r>
              <w:rPr>
                <w:noProof/>
                <w:sz w:val="18"/>
                <w:szCs w:val="18"/>
              </w:rPr>
              <w:t>Годишни суми по цени от 2011 г.</w:t>
            </w:r>
          </w:p>
        </w:tc>
        <w:tc>
          <w:tcPr>
            <w:tcW w:w="875"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280</w:t>
            </w:r>
          </w:p>
        </w:tc>
        <w:tc>
          <w:tcPr>
            <w:tcW w:w="842"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280</w:t>
            </w:r>
          </w:p>
        </w:tc>
        <w:tc>
          <w:tcPr>
            <w:tcW w:w="809"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280</w:t>
            </w:r>
          </w:p>
        </w:tc>
        <w:tc>
          <w:tcPr>
            <w:tcW w:w="776"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300</w:t>
            </w:r>
          </w:p>
        </w:tc>
        <w:tc>
          <w:tcPr>
            <w:tcW w:w="783"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300</w:t>
            </w:r>
          </w:p>
        </w:tc>
        <w:tc>
          <w:tcPr>
            <w:tcW w:w="803"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300</w:t>
            </w:r>
          </w:p>
        </w:tc>
        <w:tc>
          <w:tcPr>
            <w:tcW w:w="875"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300</w:t>
            </w:r>
          </w:p>
        </w:tc>
        <w:tc>
          <w:tcPr>
            <w:tcW w:w="858" w:type="dxa"/>
            <w:tcBorders>
              <w:top w:val="nil"/>
              <w:left w:val="nil"/>
              <w:bottom w:val="nil"/>
              <w:right w:val="single" w:sz="4" w:space="0" w:color="auto"/>
            </w:tcBorders>
            <w:shd w:val="clear" w:color="auto" w:fill="auto"/>
            <w:noWrap/>
            <w:vAlign w:val="bottom"/>
            <w:hideMark/>
          </w:tcPr>
          <w:p>
            <w:pPr>
              <w:spacing w:before="0" w:after="0"/>
              <w:jc w:val="right"/>
              <w:rPr>
                <w:b/>
                <w:bCs/>
                <w:noProof/>
                <w:sz w:val="18"/>
                <w:szCs w:val="18"/>
              </w:rPr>
            </w:pPr>
            <w:r>
              <w:rPr>
                <w:b/>
                <w:bCs/>
                <w:noProof/>
                <w:sz w:val="18"/>
                <w:szCs w:val="18"/>
              </w:rPr>
              <w:t>2 040</w:t>
            </w:r>
          </w:p>
        </w:tc>
      </w:tr>
      <w:tr>
        <w:trPr>
          <w:gridAfter w:val="1"/>
          <w:wAfter w:w="9" w:type="dxa"/>
          <w:trHeight w:val="240"/>
          <w:jc w:val="center"/>
        </w:trPr>
        <w:tc>
          <w:tcPr>
            <w:tcW w:w="2801" w:type="dxa"/>
            <w:tcBorders>
              <w:top w:val="nil"/>
              <w:left w:val="single" w:sz="4" w:space="0" w:color="auto"/>
              <w:bottom w:val="nil"/>
              <w:right w:val="single" w:sz="4" w:space="0" w:color="auto"/>
            </w:tcBorders>
            <w:shd w:val="clear" w:color="auto" w:fill="auto"/>
            <w:noWrap/>
            <w:vAlign w:val="bottom"/>
            <w:hideMark/>
          </w:tcPr>
          <w:p>
            <w:pPr>
              <w:spacing w:before="0" w:after="0"/>
              <w:jc w:val="left"/>
              <w:rPr>
                <w:noProof/>
                <w:sz w:val="18"/>
                <w:szCs w:val="18"/>
              </w:rPr>
            </w:pPr>
            <w:r>
              <w:rPr>
                <w:noProof/>
                <w:sz w:val="18"/>
                <w:szCs w:val="18"/>
              </w:rPr>
              <w:t>Годишни суми по текущи цени</w:t>
            </w:r>
          </w:p>
        </w:tc>
        <w:tc>
          <w:tcPr>
            <w:tcW w:w="875"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297,0</w:t>
            </w:r>
          </w:p>
        </w:tc>
        <w:tc>
          <w:tcPr>
            <w:tcW w:w="842"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303,0</w:t>
            </w:r>
          </w:p>
        </w:tc>
        <w:tc>
          <w:tcPr>
            <w:tcW w:w="809"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309,0</w:t>
            </w:r>
          </w:p>
        </w:tc>
        <w:tc>
          <w:tcPr>
            <w:tcW w:w="776"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337,8</w:t>
            </w:r>
          </w:p>
        </w:tc>
        <w:tc>
          <w:tcPr>
            <w:tcW w:w="783"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344,6</w:t>
            </w:r>
          </w:p>
        </w:tc>
        <w:tc>
          <w:tcPr>
            <w:tcW w:w="803"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351,5</w:t>
            </w:r>
          </w:p>
        </w:tc>
        <w:tc>
          <w:tcPr>
            <w:tcW w:w="875"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358,5</w:t>
            </w:r>
          </w:p>
        </w:tc>
        <w:tc>
          <w:tcPr>
            <w:tcW w:w="858" w:type="dxa"/>
            <w:tcBorders>
              <w:top w:val="nil"/>
              <w:left w:val="nil"/>
              <w:bottom w:val="nil"/>
              <w:right w:val="single" w:sz="4" w:space="0" w:color="auto"/>
            </w:tcBorders>
            <w:shd w:val="clear" w:color="auto" w:fill="auto"/>
            <w:noWrap/>
            <w:vAlign w:val="bottom"/>
            <w:hideMark/>
          </w:tcPr>
          <w:p>
            <w:pPr>
              <w:spacing w:before="0" w:after="0"/>
              <w:jc w:val="right"/>
              <w:rPr>
                <w:b/>
                <w:bCs/>
                <w:noProof/>
                <w:sz w:val="18"/>
                <w:szCs w:val="18"/>
              </w:rPr>
            </w:pPr>
            <w:r>
              <w:rPr>
                <w:b/>
                <w:bCs/>
                <w:noProof/>
                <w:sz w:val="18"/>
                <w:szCs w:val="18"/>
              </w:rPr>
              <w:t>2 301,4</w:t>
            </w:r>
          </w:p>
        </w:tc>
      </w:tr>
      <w:tr>
        <w:trPr>
          <w:gridAfter w:val="1"/>
          <w:wAfter w:w="9" w:type="dxa"/>
          <w:trHeight w:val="240"/>
          <w:jc w:val="center"/>
        </w:trPr>
        <w:tc>
          <w:tcPr>
            <w:tcW w:w="2801" w:type="dxa"/>
            <w:tcBorders>
              <w:top w:val="nil"/>
              <w:left w:val="single" w:sz="4" w:space="0" w:color="auto"/>
              <w:bottom w:val="nil"/>
              <w:right w:val="single" w:sz="4" w:space="0" w:color="auto"/>
            </w:tcBorders>
            <w:shd w:val="clear" w:color="auto" w:fill="auto"/>
            <w:noWrap/>
            <w:vAlign w:val="bottom"/>
            <w:hideMark/>
          </w:tcPr>
          <w:p>
            <w:pPr>
              <w:spacing w:before="0" w:after="0"/>
              <w:jc w:val="left"/>
              <w:rPr>
                <w:noProof/>
                <w:sz w:val="18"/>
                <w:szCs w:val="18"/>
              </w:rPr>
            </w:pPr>
            <w:r>
              <w:rPr>
                <w:noProof/>
                <w:sz w:val="18"/>
                <w:szCs w:val="18"/>
              </w:rPr>
              <w:t>Пренесени от предходната година</w:t>
            </w:r>
          </w:p>
        </w:tc>
        <w:tc>
          <w:tcPr>
            <w:tcW w:w="875"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0,0</w:t>
            </w:r>
          </w:p>
        </w:tc>
        <w:tc>
          <w:tcPr>
            <w:tcW w:w="842"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198,9</w:t>
            </w:r>
          </w:p>
        </w:tc>
        <w:tc>
          <w:tcPr>
            <w:tcW w:w="809"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219,4</w:t>
            </w:r>
          </w:p>
        </w:tc>
        <w:tc>
          <w:tcPr>
            <w:tcW w:w="776"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98,6</w:t>
            </w:r>
          </w:p>
        </w:tc>
        <w:tc>
          <w:tcPr>
            <w:tcW w:w="783"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61,7</w:t>
            </w:r>
          </w:p>
        </w:tc>
        <w:tc>
          <w:tcPr>
            <w:tcW w:w="803"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34,1</w:t>
            </w:r>
          </w:p>
        </w:tc>
        <w:tc>
          <w:tcPr>
            <w:tcW w:w="875"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45,6</w:t>
            </w:r>
          </w:p>
        </w:tc>
        <w:tc>
          <w:tcPr>
            <w:tcW w:w="858" w:type="dxa"/>
            <w:tcBorders>
              <w:top w:val="nil"/>
              <w:left w:val="nil"/>
              <w:bottom w:val="nil"/>
              <w:right w:val="single" w:sz="4" w:space="0" w:color="auto"/>
            </w:tcBorders>
            <w:shd w:val="clear" w:color="auto" w:fill="auto"/>
            <w:noWrap/>
            <w:vAlign w:val="bottom"/>
            <w:hideMark/>
          </w:tcPr>
          <w:p>
            <w:pPr>
              <w:spacing w:before="0" w:after="0"/>
              <w:jc w:val="left"/>
              <w:rPr>
                <w:b/>
                <w:bCs/>
                <w:noProof/>
                <w:sz w:val="18"/>
                <w:szCs w:val="18"/>
              </w:rPr>
            </w:pPr>
            <w:r>
              <w:rPr>
                <w:b/>
                <w:bCs/>
                <w:noProof/>
                <w:sz w:val="18"/>
                <w:szCs w:val="18"/>
              </w:rPr>
              <w:t> </w:t>
            </w:r>
          </w:p>
        </w:tc>
      </w:tr>
      <w:tr>
        <w:trPr>
          <w:gridAfter w:val="1"/>
          <w:wAfter w:w="9" w:type="dxa"/>
          <w:trHeight w:val="240"/>
          <w:jc w:val="center"/>
        </w:trPr>
        <w:tc>
          <w:tcPr>
            <w:tcW w:w="2801" w:type="dxa"/>
            <w:tcBorders>
              <w:top w:val="nil"/>
              <w:left w:val="single" w:sz="4" w:space="0" w:color="auto"/>
              <w:bottom w:val="nil"/>
              <w:right w:val="single" w:sz="4" w:space="0" w:color="auto"/>
            </w:tcBorders>
            <w:shd w:val="clear" w:color="auto" w:fill="auto"/>
            <w:noWrap/>
            <w:vAlign w:val="bottom"/>
            <w:hideMark/>
          </w:tcPr>
          <w:p>
            <w:pPr>
              <w:spacing w:before="0" w:after="0"/>
              <w:jc w:val="left"/>
              <w:rPr>
                <w:noProof/>
                <w:sz w:val="18"/>
                <w:szCs w:val="18"/>
              </w:rPr>
            </w:pPr>
            <w:r>
              <w:rPr>
                <w:noProof/>
                <w:sz w:val="18"/>
                <w:szCs w:val="18"/>
              </w:rPr>
              <w:t>Годишно използване</w:t>
            </w:r>
          </w:p>
        </w:tc>
        <w:tc>
          <w:tcPr>
            <w:tcW w:w="875"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98,1</w:t>
            </w:r>
          </w:p>
        </w:tc>
        <w:tc>
          <w:tcPr>
            <w:tcW w:w="842"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282,5</w:t>
            </w:r>
          </w:p>
        </w:tc>
        <w:tc>
          <w:tcPr>
            <w:tcW w:w="809"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429,8</w:t>
            </w:r>
          </w:p>
        </w:tc>
        <w:tc>
          <w:tcPr>
            <w:tcW w:w="776"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374,7</w:t>
            </w:r>
          </w:p>
        </w:tc>
        <w:tc>
          <w:tcPr>
            <w:tcW w:w="783"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372,2</w:t>
            </w:r>
          </w:p>
        </w:tc>
        <w:tc>
          <w:tcPr>
            <w:tcW w:w="803"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340,0</w:t>
            </w:r>
          </w:p>
        </w:tc>
        <w:tc>
          <w:tcPr>
            <w:tcW w:w="875" w:type="dxa"/>
            <w:tcBorders>
              <w:top w:val="nil"/>
              <w:left w:val="nil"/>
              <w:bottom w:val="nil"/>
              <w:right w:val="single" w:sz="4" w:space="0" w:color="auto"/>
            </w:tcBorders>
            <w:shd w:val="clear" w:color="auto" w:fill="auto"/>
            <w:noWrap/>
            <w:vAlign w:val="bottom"/>
            <w:hideMark/>
          </w:tcPr>
          <w:p>
            <w:pPr>
              <w:spacing w:before="0" w:after="0"/>
              <w:jc w:val="left"/>
              <w:rPr>
                <w:noProof/>
                <w:sz w:val="18"/>
                <w:szCs w:val="18"/>
              </w:rPr>
            </w:pPr>
            <w:r>
              <w:rPr>
                <w:noProof/>
                <w:sz w:val="18"/>
                <w:szCs w:val="18"/>
              </w:rPr>
              <w:t> </w:t>
            </w:r>
          </w:p>
        </w:tc>
        <w:tc>
          <w:tcPr>
            <w:tcW w:w="858" w:type="dxa"/>
            <w:tcBorders>
              <w:top w:val="nil"/>
              <w:left w:val="nil"/>
              <w:bottom w:val="nil"/>
              <w:right w:val="single" w:sz="4" w:space="0" w:color="auto"/>
            </w:tcBorders>
            <w:shd w:val="clear" w:color="auto" w:fill="auto"/>
            <w:noWrap/>
            <w:vAlign w:val="bottom"/>
            <w:hideMark/>
          </w:tcPr>
          <w:p>
            <w:pPr>
              <w:spacing w:before="0" w:after="0"/>
              <w:jc w:val="right"/>
              <w:rPr>
                <w:b/>
                <w:bCs/>
                <w:noProof/>
                <w:sz w:val="18"/>
                <w:szCs w:val="18"/>
              </w:rPr>
            </w:pPr>
            <w:r>
              <w:rPr>
                <w:b/>
                <w:bCs/>
                <w:noProof/>
                <w:sz w:val="18"/>
                <w:szCs w:val="18"/>
              </w:rPr>
              <w:t>1 897,3</w:t>
            </w:r>
          </w:p>
        </w:tc>
      </w:tr>
      <w:tr>
        <w:trPr>
          <w:gridAfter w:val="1"/>
          <w:wAfter w:w="9" w:type="dxa"/>
          <w:trHeight w:val="240"/>
          <w:jc w:val="center"/>
        </w:trPr>
        <w:tc>
          <w:tcPr>
            <w:tcW w:w="2801" w:type="dxa"/>
            <w:tcBorders>
              <w:top w:val="nil"/>
              <w:left w:val="single" w:sz="4" w:space="0" w:color="auto"/>
              <w:bottom w:val="nil"/>
              <w:right w:val="single" w:sz="4" w:space="0" w:color="auto"/>
            </w:tcBorders>
            <w:shd w:val="clear" w:color="auto" w:fill="auto"/>
            <w:noWrap/>
            <w:vAlign w:val="bottom"/>
            <w:hideMark/>
          </w:tcPr>
          <w:p>
            <w:pPr>
              <w:spacing w:before="0" w:after="0"/>
              <w:jc w:val="left"/>
              <w:rPr>
                <w:noProof/>
                <w:sz w:val="18"/>
                <w:szCs w:val="18"/>
              </w:rPr>
            </w:pPr>
            <w:r>
              <w:rPr>
                <w:noProof/>
                <w:sz w:val="18"/>
                <w:szCs w:val="18"/>
              </w:rPr>
              <w:t>Пренесени в следващата година</w:t>
            </w:r>
          </w:p>
        </w:tc>
        <w:tc>
          <w:tcPr>
            <w:tcW w:w="875"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198,9</w:t>
            </w:r>
          </w:p>
        </w:tc>
        <w:tc>
          <w:tcPr>
            <w:tcW w:w="842"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219,4</w:t>
            </w:r>
          </w:p>
        </w:tc>
        <w:tc>
          <w:tcPr>
            <w:tcW w:w="809"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98,6</w:t>
            </w:r>
          </w:p>
        </w:tc>
        <w:tc>
          <w:tcPr>
            <w:tcW w:w="776"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61,7</w:t>
            </w:r>
          </w:p>
        </w:tc>
        <w:tc>
          <w:tcPr>
            <w:tcW w:w="783"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34,1</w:t>
            </w:r>
          </w:p>
        </w:tc>
        <w:tc>
          <w:tcPr>
            <w:tcW w:w="803"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45,6</w:t>
            </w:r>
          </w:p>
        </w:tc>
        <w:tc>
          <w:tcPr>
            <w:tcW w:w="875" w:type="dxa"/>
            <w:tcBorders>
              <w:top w:val="nil"/>
              <w:left w:val="nil"/>
              <w:bottom w:val="nil"/>
              <w:right w:val="single" w:sz="4" w:space="0" w:color="auto"/>
            </w:tcBorders>
            <w:shd w:val="clear" w:color="auto" w:fill="auto"/>
            <w:noWrap/>
            <w:vAlign w:val="bottom"/>
            <w:hideMark/>
          </w:tcPr>
          <w:p>
            <w:pPr>
              <w:spacing w:before="0" w:after="0"/>
              <w:jc w:val="left"/>
              <w:rPr>
                <w:noProof/>
                <w:sz w:val="18"/>
                <w:szCs w:val="18"/>
              </w:rPr>
            </w:pPr>
            <w:r>
              <w:rPr>
                <w:noProof/>
                <w:sz w:val="18"/>
                <w:szCs w:val="18"/>
              </w:rPr>
              <w:t> </w:t>
            </w:r>
          </w:p>
        </w:tc>
        <w:tc>
          <w:tcPr>
            <w:tcW w:w="858" w:type="dxa"/>
            <w:tcBorders>
              <w:top w:val="nil"/>
              <w:left w:val="nil"/>
              <w:bottom w:val="nil"/>
              <w:right w:val="single" w:sz="4" w:space="0" w:color="auto"/>
            </w:tcBorders>
            <w:shd w:val="clear" w:color="auto" w:fill="auto"/>
            <w:noWrap/>
            <w:vAlign w:val="bottom"/>
            <w:hideMark/>
          </w:tcPr>
          <w:p>
            <w:pPr>
              <w:spacing w:before="0" w:after="0"/>
              <w:jc w:val="left"/>
              <w:rPr>
                <w:b/>
                <w:bCs/>
                <w:noProof/>
                <w:sz w:val="18"/>
                <w:szCs w:val="18"/>
              </w:rPr>
            </w:pPr>
            <w:r>
              <w:rPr>
                <w:b/>
                <w:bCs/>
                <w:noProof/>
                <w:sz w:val="18"/>
                <w:szCs w:val="18"/>
              </w:rPr>
              <w:t> </w:t>
            </w:r>
          </w:p>
        </w:tc>
      </w:tr>
      <w:tr>
        <w:trPr>
          <w:gridAfter w:val="1"/>
          <w:wAfter w:w="9" w:type="dxa"/>
          <w:trHeight w:val="240"/>
          <w:jc w:val="center"/>
        </w:trPr>
        <w:tc>
          <w:tcPr>
            <w:tcW w:w="280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i/>
                <w:iCs/>
                <w:noProof/>
                <w:sz w:val="18"/>
                <w:szCs w:val="18"/>
              </w:rPr>
            </w:pPr>
            <w:r>
              <w:rPr>
                <w:i/>
                <w:iCs/>
                <w:noProof/>
                <w:sz w:val="18"/>
                <w:szCs w:val="18"/>
              </w:rPr>
              <w:t>Не може да се пренася</w:t>
            </w:r>
          </w:p>
        </w:tc>
        <w:tc>
          <w:tcPr>
            <w:tcW w:w="875" w:type="dxa"/>
            <w:tcBorders>
              <w:top w:val="nil"/>
              <w:left w:val="nil"/>
              <w:bottom w:val="single" w:sz="4" w:space="0" w:color="auto"/>
              <w:right w:val="single" w:sz="4" w:space="0" w:color="auto"/>
            </w:tcBorders>
            <w:shd w:val="clear" w:color="auto" w:fill="auto"/>
            <w:noWrap/>
            <w:vAlign w:val="bottom"/>
            <w:hideMark/>
          </w:tcPr>
          <w:p>
            <w:pPr>
              <w:spacing w:before="0" w:after="0"/>
              <w:jc w:val="right"/>
              <w:rPr>
                <w:i/>
                <w:iCs/>
                <w:noProof/>
                <w:sz w:val="18"/>
                <w:szCs w:val="18"/>
              </w:rPr>
            </w:pPr>
            <w:r>
              <w:rPr>
                <w:i/>
                <w:iCs/>
                <w:noProof/>
                <w:sz w:val="18"/>
                <w:szCs w:val="18"/>
              </w:rPr>
              <w:t>0,0</w:t>
            </w:r>
          </w:p>
        </w:tc>
        <w:tc>
          <w:tcPr>
            <w:tcW w:w="842" w:type="dxa"/>
            <w:tcBorders>
              <w:top w:val="nil"/>
              <w:left w:val="nil"/>
              <w:bottom w:val="single" w:sz="4" w:space="0" w:color="auto"/>
              <w:right w:val="single" w:sz="4" w:space="0" w:color="auto"/>
            </w:tcBorders>
            <w:shd w:val="clear" w:color="auto" w:fill="auto"/>
            <w:noWrap/>
            <w:vAlign w:val="bottom"/>
            <w:hideMark/>
          </w:tcPr>
          <w:p>
            <w:pPr>
              <w:spacing w:before="0" w:after="0"/>
              <w:jc w:val="right"/>
              <w:rPr>
                <w:i/>
                <w:iCs/>
                <w:noProof/>
                <w:sz w:val="18"/>
                <w:szCs w:val="18"/>
              </w:rPr>
            </w:pPr>
            <w:r>
              <w:rPr>
                <w:i/>
                <w:iCs/>
                <w:noProof/>
                <w:sz w:val="18"/>
                <w:szCs w:val="18"/>
              </w:rPr>
              <w:t>0,0</w:t>
            </w:r>
          </w:p>
        </w:tc>
        <w:tc>
          <w:tcPr>
            <w:tcW w:w="809" w:type="dxa"/>
            <w:tcBorders>
              <w:top w:val="nil"/>
              <w:left w:val="nil"/>
              <w:bottom w:val="single" w:sz="4" w:space="0" w:color="auto"/>
              <w:right w:val="single" w:sz="4" w:space="0" w:color="auto"/>
            </w:tcBorders>
            <w:shd w:val="clear" w:color="auto" w:fill="auto"/>
            <w:noWrap/>
            <w:vAlign w:val="bottom"/>
            <w:hideMark/>
          </w:tcPr>
          <w:p>
            <w:pPr>
              <w:spacing w:before="0" w:after="0"/>
              <w:jc w:val="right"/>
              <w:rPr>
                <w:i/>
                <w:iCs/>
                <w:noProof/>
                <w:sz w:val="18"/>
                <w:szCs w:val="18"/>
              </w:rPr>
            </w:pPr>
            <w:r>
              <w:rPr>
                <w:i/>
                <w:iCs/>
                <w:noProof/>
                <w:sz w:val="18"/>
                <w:szCs w:val="18"/>
              </w:rPr>
              <w:t>0,0</w:t>
            </w:r>
          </w:p>
        </w:tc>
        <w:tc>
          <w:tcPr>
            <w:tcW w:w="776" w:type="dxa"/>
            <w:tcBorders>
              <w:top w:val="nil"/>
              <w:left w:val="nil"/>
              <w:bottom w:val="single" w:sz="4" w:space="0" w:color="auto"/>
              <w:right w:val="single" w:sz="4" w:space="0" w:color="auto"/>
            </w:tcBorders>
            <w:shd w:val="clear" w:color="auto" w:fill="auto"/>
            <w:noWrap/>
            <w:vAlign w:val="bottom"/>
            <w:hideMark/>
          </w:tcPr>
          <w:p>
            <w:pPr>
              <w:spacing w:before="0" w:after="0"/>
              <w:jc w:val="right"/>
              <w:rPr>
                <w:i/>
                <w:iCs/>
                <w:noProof/>
                <w:sz w:val="18"/>
                <w:szCs w:val="18"/>
              </w:rPr>
            </w:pPr>
            <w:r>
              <w:rPr>
                <w:i/>
                <w:iCs/>
                <w:noProof/>
                <w:sz w:val="18"/>
                <w:szCs w:val="18"/>
              </w:rPr>
              <w:t>0,0</w:t>
            </w:r>
          </w:p>
        </w:tc>
        <w:tc>
          <w:tcPr>
            <w:tcW w:w="783" w:type="dxa"/>
            <w:tcBorders>
              <w:top w:val="nil"/>
              <w:left w:val="nil"/>
              <w:bottom w:val="single" w:sz="4" w:space="0" w:color="auto"/>
              <w:right w:val="single" w:sz="4" w:space="0" w:color="auto"/>
            </w:tcBorders>
            <w:shd w:val="clear" w:color="auto" w:fill="auto"/>
            <w:noWrap/>
            <w:vAlign w:val="bottom"/>
            <w:hideMark/>
          </w:tcPr>
          <w:p>
            <w:pPr>
              <w:spacing w:before="0" w:after="0"/>
              <w:jc w:val="right"/>
              <w:rPr>
                <w:i/>
                <w:iCs/>
                <w:noProof/>
                <w:sz w:val="18"/>
                <w:szCs w:val="18"/>
              </w:rPr>
            </w:pPr>
            <w:r>
              <w:rPr>
                <w:i/>
                <w:iCs/>
                <w:noProof/>
                <w:sz w:val="18"/>
                <w:szCs w:val="18"/>
              </w:rPr>
              <w:t>0,0</w:t>
            </w:r>
          </w:p>
        </w:tc>
        <w:tc>
          <w:tcPr>
            <w:tcW w:w="803" w:type="dxa"/>
            <w:tcBorders>
              <w:top w:val="nil"/>
              <w:left w:val="nil"/>
              <w:bottom w:val="single" w:sz="4" w:space="0" w:color="auto"/>
              <w:right w:val="single" w:sz="4" w:space="0" w:color="auto"/>
            </w:tcBorders>
            <w:shd w:val="clear" w:color="auto" w:fill="auto"/>
            <w:noWrap/>
            <w:vAlign w:val="bottom"/>
            <w:hideMark/>
          </w:tcPr>
          <w:p>
            <w:pPr>
              <w:spacing w:before="0" w:after="0"/>
              <w:jc w:val="right"/>
              <w:rPr>
                <w:i/>
                <w:iCs/>
                <w:noProof/>
                <w:sz w:val="18"/>
                <w:szCs w:val="18"/>
              </w:rPr>
            </w:pPr>
            <w:r>
              <w:rPr>
                <w:i/>
                <w:iCs/>
                <w:noProof/>
                <w:sz w:val="18"/>
                <w:szCs w:val="18"/>
              </w:rPr>
              <w:t>0,0</w:t>
            </w:r>
          </w:p>
        </w:tc>
        <w:tc>
          <w:tcPr>
            <w:tcW w:w="875" w:type="dxa"/>
            <w:tcBorders>
              <w:top w:val="nil"/>
              <w:left w:val="nil"/>
              <w:bottom w:val="single" w:sz="4" w:space="0" w:color="auto"/>
              <w:right w:val="single" w:sz="4" w:space="0" w:color="auto"/>
            </w:tcBorders>
            <w:shd w:val="clear" w:color="auto" w:fill="auto"/>
            <w:noWrap/>
            <w:vAlign w:val="bottom"/>
            <w:hideMark/>
          </w:tcPr>
          <w:p>
            <w:pPr>
              <w:spacing w:before="0" w:after="0"/>
              <w:jc w:val="left"/>
              <w:rPr>
                <w:i/>
                <w:iCs/>
                <w:noProof/>
                <w:sz w:val="18"/>
                <w:szCs w:val="18"/>
              </w:rPr>
            </w:pPr>
            <w:r>
              <w:rPr>
                <w:i/>
                <w:iCs/>
                <w:noProof/>
                <w:sz w:val="18"/>
                <w:szCs w:val="18"/>
              </w:rPr>
              <w:t> </w:t>
            </w:r>
          </w:p>
        </w:tc>
        <w:tc>
          <w:tcPr>
            <w:tcW w:w="858" w:type="dxa"/>
            <w:tcBorders>
              <w:top w:val="nil"/>
              <w:left w:val="nil"/>
              <w:bottom w:val="single" w:sz="4" w:space="0" w:color="auto"/>
              <w:right w:val="single" w:sz="4" w:space="0" w:color="auto"/>
            </w:tcBorders>
            <w:shd w:val="clear" w:color="auto" w:fill="auto"/>
            <w:noWrap/>
            <w:vAlign w:val="bottom"/>
            <w:hideMark/>
          </w:tcPr>
          <w:p>
            <w:pPr>
              <w:spacing w:before="0" w:after="0"/>
              <w:jc w:val="right"/>
              <w:rPr>
                <w:b/>
                <w:bCs/>
                <w:i/>
                <w:iCs/>
                <w:noProof/>
                <w:sz w:val="18"/>
                <w:szCs w:val="18"/>
              </w:rPr>
            </w:pPr>
            <w:r>
              <w:rPr>
                <w:b/>
                <w:bCs/>
                <w:i/>
                <w:iCs/>
                <w:noProof/>
                <w:sz w:val="18"/>
                <w:szCs w:val="18"/>
              </w:rPr>
              <w:t>0,0</w:t>
            </w:r>
          </w:p>
        </w:tc>
      </w:tr>
    </w:tbl>
    <w:p>
      <w:pPr>
        <w:pStyle w:val="ManualHeading2"/>
        <w:ind w:left="0" w:firstLine="0"/>
        <w:rPr>
          <w:noProof/>
        </w:rPr>
      </w:pPr>
      <w:r>
        <w:rPr>
          <w:noProof/>
        </w:rPr>
        <w:t>3.2.</w:t>
      </w:r>
      <w:r>
        <w:rPr>
          <w:noProof/>
        </w:rPr>
        <w:tab/>
        <w:t>Фонд „Солидарност“ на Европейския съюз (ФСЕС)</w:t>
      </w:r>
    </w:p>
    <w:p>
      <w:pPr>
        <w:pStyle w:val="Text1"/>
        <w:rPr>
          <w:noProof/>
        </w:rPr>
      </w:pPr>
      <w:r>
        <w:rPr>
          <w:noProof/>
        </w:rPr>
        <w:t xml:space="preserve">Съгласно член 10 от Регламента за МФР </w:t>
      </w:r>
      <w:r>
        <w:rPr>
          <w:i/>
          <w:noProof/>
        </w:rPr>
        <w:t>фонд „Солидарност“ на ЕС</w:t>
      </w:r>
      <w:r>
        <w:rPr>
          <w:noProof/>
        </w:rPr>
        <w:t xml:space="preserve"> може да бъде мобилизиран за сума в размер на максимум 500 милиона евро годишно по цени от 2011 г. или 597,5 милиона евро през 2020 г. по текущи цени (3 944,7 милиона евро за целия период по текущи цени). Частта от неусвоените средства от предходната година може да бъде пренесена в следващата година. Пренесените от 2019 г. към 2020 г. суми възлизаха на 553,0 милиона евро. В края на 2019 г. няма суми, които повече не могат да се пренасят.</w:t>
      </w:r>
    </w:p>
    <w:p>
      <w:pPr>
        <w:pStyle w:val="Text1"/>
        <w:rPr>
          <w:noProof/>
        </w:rPr>
      </w:pPr>
      <w:r>
        <w:rPr>
          <w:noProof/>
        </w:rPr>
        <w:t>Таблицата по-долу съдържа информация за годишните наличности и използването на фонд „Солидарност“ на ЕС от 2014 г. насам:</w:t>
      </w:r>
    </w:p>
    <w:tbl>
      <w:tblPr>
        <w:tblW w:w="9511" w:type="dxa"/>
        <w:jc w:val="center"/>
        <w:tblCellMar>
          <w:left w:w="70" w:type="dxa"/>
          <w:right w:w="70" w:type="dxa"/>
        </w:tblCellMar>
        <w:tblLook w:val="04A0" w:firstRow="1" w:lastRow="0" w:firstColumn="1" w:lastColumn="0" w:noHBand="0" w:noVBand="1"/>
      </w:tblPr>
      <w:tblGrid>
        <w:gridCol w:w="2712"/>
        <w:gridCol w:w="850"/>
        <w:gridCol w:w="930"/>
        <w:gridCol w:w="850"/>
        <w:gridCol w:w="822"/>
        <w:gridCol w:w="850"/>
        <w:gridCol w:w="851"/>
        <w:gridCol w:w="850"/>
        <w:gridCol w:w="796"/>
      </w:tblGrid>
      <w:tr>
        <w:trPr>
          <w:trHeight w:val="240"/>
          <w:jc w:val="center"/>
        </w:trPr>
        <w:tc>
          <w:tcPr>
            <w:tcW w:w="9511"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pPr>
              <w:spacing w:before="0" w:after="0"/>
              <w:jc w:val="center"/>
              <w:rPr>
                <w:b/>
                <w:bCs/>
                <w:noProof/>
                <w:sz w:val="18"/>
                <w:szCs w:val="18"/>
              </w:rPr>
            </w:pPr>
            <w:r>
              <w:rPr>
                <w:b/>
                <w:bCs/>
                <w:noProof/>
                <w:sz w:val="18"/>
                <w:szCs w:val="18"/>
              </w:rPr>
              <w:t>Фонд „Солидарност“ на Европейския съюз</w:t>
            </w:r>
          </w:p>
        </w:tc>
      </w:tr>
      <w:tr>
        <w:trPr>
          <w:trHeight w:val="240"/>
          <w:jc w:val="center"/>
        </w:trPr>
        <w:tc>
          <w:tcPr>
            <w:tcW w:w="9511"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pPr>
              <w:spacing w:before="0" w:after="0"/>
              <w:jc w:val="right"/>
              <w:rPr>
                <w:i/>
                <w:iCs/>
                <w:noProof/>
                <w:sz w:val="18"/>
                <w:szCs w:val="18"/>
              </w:rPr>
            </w:pPr>
            <w:r>
              <w:rPr>
                <w:i/>
                <w:iCs/>
                <w:noProof/>
                <w:sz w:val="18"/>
                <w:szCs w:val="18"/>
              </w:rPr>
              <w:t>(млн. евро)</w:t>
            </w:r>
          </w:p>
        </w:tc>
      </w:tr>
      <w:tr>
        <w:trPr>
          <w:trHeight w:val="240"/>
          <w:jc w:val="center"/>
        </w:trPr>
        <w:tc>
          <w:tcPr>
            <w:tcW w:w="2712" w:type="dxa"/>
            <w:tcBorders>
              <w:top w:val="nil"/>
              <w:left w:val="single" w:sz="4" w:space="0" w:color="auto"/>
              <w:bottom w:val="nil"/>
              <w:right w:val="single" w:sz="4" w:space="0" w:color="auto"/>
            </w:tcBorders>
            <w:shd w:val="clear" w:color="auto" w:fill="auto"/>
            <w:noWrap/>
            <w:vAlign w:val="bottom"/>
            <w:hideMark/>
          </w:tcPr>
          <w:p>
            <w:pPr>
              <w:spacing w:before="0" w:after="0"/>
              <w:jc w:val="left"/>
              <w:rPr>
                <w:noProof/>
                <w:sz w:val="18"/>
                <w:szCs w:val="18"/>
              </w:rPr>
            </w:pPr>
            <w:r>
              <w:rPr>
                <w:noProof/>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rPr>
            </w:pPr>
            <w:r>
              <w:rPr>
                <w:noProof/>
                <w:sz w:val="18"/>
                <w:szCs w:val="18"/>
              </w:rPr>
              <w:t>2014 г.</w:t>
            </w:r>
          </w:p>
        </w:tc>
        <w:tc>
          <w:tcPr>
            <w:tcW w:w="930"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rPr>
            </w:pPr>
            <w:r>
              <w:rPr>
                <w:noProof/>
                <w:sz w:val="18"/>
                <w:szCs w:val="18"/>
              </w:rPr>
              <w:t>2015 г.</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rPr>
            </w:pPr>
            <w:r>
              <w:rPr>
                <w:noProof/>
                <w:sz w:val="18"/>
                <w:szCs w:val="18"/>
              </w:rPr>
              <w:t>2016 г.</w:t>
            </w:r>
          </w:p>
        </w:tc>
        <w:tc>
          <w:tcPr>
            <w:tcW w:w="822"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rPr>
            </w:pPr>
            <w:r>
              <w:rPr>
                <w:noProof/>
                <w:sz w:val="18"/>
                <w:szCs w:val="18"/>
              </w:rPr>
              <w:t>2017 г.</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rPr>
            </w:pPr>
            <w:r>
              <w:rPr>
                <w:noProof/>
                <w:sz w:val="18"/>
                <w:szCs w:val="18"/>
              </w:rPr>
              <w:t>2018 г.</w:t>
            </w:r>
          </w:p>
        </w:tc>
        <w:tc>
          <w:tcPr>
            <w:tcW w:w="851"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rPr>
            </w:pPr>
            <w:r>
              <w:rPr>
                <w:noProof/>
                <w:sz w:val="18"/>
                <w:szCs w:val="18"/>
              </w:rPr>
              <w:t>2019 г.</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rPr>
            </w:pPr>
            <w:r>
              <w:rPr>
                <w:noProof/>
                <w:sz w:val="18"/>
                <w:szCs w:val="18"/>
              </w:rPr>
              <w:t>2020 г.</w:t>
            </w:r>
          </w:p>
        </w:tc>
        <w:tc>
          <w:tcPr>
            <w:tcW w:w="796" w:type="dxa"/>
            <w:tcBorders>
              <w:top w:val="nil"/>
              <w:left w:val="nil"/>
              <w:bottom w:val="single" w:sz="4" w:space="0" w:color="auto"/>
              <w:right w:val="single" w:sz="4" w:space="0" w:color="auto"/>
            </w:tcBorders>
            <w:shd w:val="clear" w:color="auto" w:fill="auto"/>
            <w:noWrap/>
            <w:vAlign w:val="bottom"/>
            <w:hideMark/>
          </w:tcPr>
          <w:p>
            <w:pPr>
              <w:spacing w:before="0" w:after="0"/>
              <w:jc w:val="center"/>
              <w:rPr>
                <w:b/>
                <w:bCs/>
                <w:noProof/>
                <w:sz w:val="18"/>
                <w:szCs w:val="18"/>
              </w:rPr>
            </w:pPr>
            <w:r>
              <w:rPr>
                <w:b/>
                <w:bCs/>
                <w:noProof/>
                <w:sz w:val="18"/>
                <w:szCs w:val="18"/>
              </w:rPr>
              <w:t>Общо</w:t>
            </w:r>
          </w:p>
        </w:tc>
      </w:tr>
      <w:tr>
        <w:trPr>
          <w:trHeight w:val="240"/>
          <w:jc w:val="center"/>
        </w:trPr>
        <w:tc>
          <w:tcPr>
            <w:tcW w:w="2712" w:type="dxa"/>
            <w:tcBorders>
              <w:top w:val="nil"/>
              <w:left w:val="single" w:sz="4" w:space="0" w:color="auto"/>
              <w:bottom w:val="nil"/>
              <w:right w:val="single" w:sz="4" w:space="0" w:color="auto"/>
            </w:tcBorders>
            <w:shd w:val="clear" w:color="auto" w:fill="auto"/>
            <w:noWrap/>
            <w:vAlign w:val="bottom"/>
            <w:hideMark/>
          </w:tcPr>
          <w:p>
            <w:pPr>
              <w:spacing w:before="0" w:after="0"/>
              <w:jc w:val="left"/>
              <w:rPr>
                <w:noProof/>
                <w:sz w:val="18"/>
                <w:szCs w:val="18"/>
              </w:rPr>
            </w:pPr>
            <w:r>
              <w:rPr>
                <w:noProof/>
                <w:sz w:val="18"/>
                <w:szCs w:val="18"/>
              </w:rPr>
              <w:t>Годишни суми по цени от 2011 г.</w:t>
            </w:r>
          </w:p>
        </w:tc>
        <w:tc>
          <w:tcPr>
            <w:tcW w:w="85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500</w:t>
            </w:r>
          </w:p>
        </w:tc>
        <w:tc>
          <w:tcPr>
            <w:tcW w:w="93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500</w:t>
            </w:r>
          </w:p>
        </w:tc>
        <w:tc>
          <w:tcPr>
            <w:tcW w:w="85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500</w:t>
            </w:r>
          </w:p>
        </w:tc>
        <w:tc>
          <w:tcPr>
            <w:tcW w:w="822"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500</w:t>
            </w:r>
          </w:p>
        </w:tc>
        <w:tc>
          <w:tcPr>
            <w:tcW w:w="85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500</w:t>
            </w:r>
          </w:p>
        </w:tc>
        <w:tc>
          <w:tcPr>
            <w:tcW w:w="851"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500</w:t>
            </w:r>
          </w:p>
        </w:tc>
        <w:tc>
          <w:tcPr>
            <w:tcW w:w="85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500</w:t>
            </w:r>
          </w:p>
        </w:tc>
        <w:tc>
          <w:tcPr>
            <w:tcW w:w="796" w:type="dxa"/>
            <w:tcBorders>
              <w:top w:val="nil"/>
              <w:left w:val="nil"/>
              <w:bottom w:val="nil"/>
              <w:right w:val="single" w:sz="4" w:space="0" w:color="auto"/>
            </w:tcBorders>
            <w:shd w:val="clear" w:color="auto" w:fill="auto"/>
            <w:noWrap/>
            <w:vAlign w:val="bottom"/>
            <w:hideMark/>
          </w:tcPr>
          <w:p>
            <w:pPr>
              <w:spacing w:before="0" w:after="0"/>
              <w:jc w:val="right"/>
              <w:rPr>
                <w:b/>
                <w:bCs/>
                <w:noProof/>
                <w:sz w:val="18"/>
                <w:szCs w:val="18"/>
              </w:rPr>
            </w:pPr>
            <w:r>
              <w:rPr>
                <w:b/>
                <w:bCs/>
                <w:noProof/>
                <w:sz w:val="18"/>
                <w:szCs w:val="18"/>
              </w:rPr>
              <w:t>3 500</w:t>
            </w:r>
          </w:p>
        </w:tc>
      </w:tr>
      <w:tr>
        <w:trPr>
          <w:trHeight w:val="240"/>
          <w:jc w:val="center"/>
        </w:trPr>
        <w:tc>
          <w:tcPr>
            <w:tcW w:w="2712" w:type="dxa"/>
            <w:tcBorders>
              <w:top w:val="nil"/>
              <w:left w:val="single" w:sz="4" w:space="0" w:color="auto"/>
              <w:bottom w:val="nil"/>
              <w:right w:val="single" w:sz="4" w:space="0" w:color="auto"/>
            </w:tcBorders>
            <w:shd w:val="clear" w:color="auto" w:fill="auto"/>
            <w:noWrap/>
            <w:vAlign w:val="bottom"/>
            <w:hideMark/>
          </w:tcPr>
          <w:p>
            <w:pPr>
              <w:spacing w:before="0" w:after="0"/>
              <w:jc w:val="left"/>
              <w:rPr>
                <w:noProof/>
                <w:sz w:val="18"/>
                <w:szCs w:val="18"/>
              </w:rPr>
            </w:pPr>
            <w:r>
              <w:rPr>
                <w:noProof/>
                <w:sz w:val="18"/>
                <w:szCs w:val="18"/>
              </w:rPr>
              <w:t>Годишни суми по текущи цени</w:t>
            </w:r>
          </w:p>
        </w:tc>
        <w:tc>
          <w:tcPr>
            <w:tcW w:w="85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530,6</w:t>
            </w:r>
          </w:p>
        </w:tc>
        <w:tc>
          <w:tcPr>
            <w:tcW w:w="93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541,2</w:t>
            </w:r>
          </w:p>
        </w:tc>
        <w:tc>
          <w:tcPr>
            <w:tcW w:w="85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552,0</w:t>
            </w:r>
          </w:p>
        </w:tc>
        <w:tc>
          <w:tcPr>
            <w:tcW w:w="822"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563,1</w:t>
            </w:r>
          </w:p>
        </w:tc>
        <w:tc>
          <w:tcPr>
            <w:tcW w:w="85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574,3</w:t>
            </w:r>
          </w:p>
        </w:tc>
        <w:tc>
          <w:tcPr>
            <w:tcW w:w="851"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585,8</w:t>
            </w:r>
          </w:p>
        </w:tc>
        <w:tc>
          <w:tcPr>
            <w:tcW w:w="85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597,5</w:t>
            </w:r>
          </w:p>
        </w:tc>
        <w:tc>
          <w:tcPr>
            <w:tcW w:w="796" w:type="dxa"/>
            <w:tcBorders>
              <w:top w:val="nil"/>
              <w:left w:val="nil"/>
              <w:bottom w:val="nil"/>
              <w:right w:val="single" w:sz="4" w:space="0" w:color="auto"/>
            </w:tcBorders>
            <w:shd w:val="clear" w:color="auto" w:fill="auto"/>
            <w:noWrap/>
            <w:vAlign w:val="bottom"/>
            <w:hideMark/>
          </w:tcPr>
          <w:p>
            <w:pPr>
              <w:spacing w:before="0" w:after="0"/>
              <w:jc w:val="right"/>
              <w:rPr>
                <w:b/>
                <w:bCs/>
                <w:noProof/>
                <w:sz w:val="18"/>
                <w:szCs w:val="18"/>
              </w:rPr>
            </w:pPr>
            <w:r>
              <w:rPr>
                <w:b/>
                <w:bCs/>
                <w:noProof/>
                <w:sz w:val="18"/>
                <w:szCs w:val="18"/>
              </w:rPr>
              <w:t>3 944,7</w:t>
            </w:r>
          </w:p>
        </w:tc>
      </w:tr>
      <w:tr>
        <w:trPr>
          <w:trHeight w:val="240"/>
          <w:jc w:val="center"/>
        </w:trPr>
        <w:tc>
          <w:tcPr>
            <w:tcW w:w="2712" w:type="dxa"/>
            <w:tcBorders>
              <w:top w:val="nil"/>
              <w:left w:val="single" w:sz="4" w:space="0" w:color="auto"/>
              <w:bottom w:val="nil"/>
              <w:right w:val="single" w:sz="4" w:space="0" w:color="auto"/>
            </w:tcBorders>
            <w:shd w:val="clear" w:color="auto" w:fill="auto"/>
            <w:noWrap/>
            <w:vAlign w:val="bottom"/>
            <w:hideMark/>
          </w:tcPr>
          <w:p>
            <w:pPr>
              <w:spacing w:before="0" w:after="0"/>
              <w:jc w:val="left"/>
              <w:rPr>
                <w:noProof/>
                <w:sz w:val="18"/>
                <w:szCs w:val="18"/>
              </w:rPr>
            </w:pPr>
            <w:r>
              <w:rPr>
                <w:noProof/>
                <w:sz w:val="18"/>
                <w:szCs w:val="18"/>
              </w:rPr>
              <w:t>Пренесени от предходната година</w:t>
            </w:r>
          </w:p>
        </w:tc>
        <w:tc>
          <w:tcPr>
            <w:tcW w:w="85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0,0</w:t>
            </w:r>
          </w:p>
        </w:tc>
        <w:tc>
          <w:tcPr>
            <w:tcW w:w="93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403,9</w:t>
            </w:r>
          </w:p>
        </w:tc>
        <w:tc>
          <w:tcPr>
            <w:tcW w:w="85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541,2</w:t>
            </w:r>
          </w:p>
        </w:tc>
        <w:tc>
          <w:tcPr>
            <w:tcW w:w="822"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552,0</w:t>
            </w:r>
          </w:p>
        </w:tc>
        <w:tc>
          <w:tcPr>
            <w:tcW w:w="85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140,8</w:t>
            </w:r>
          </w:p>
        </w:tc>
        <w:tc>
          <w:tcPr>
            <w:tcW w:w="851"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265,3</w:t>
            </w:r>
          </w:p>
        </w:tc>
        <w:tc>
          <w:tcPr>
            <w:tcW w:w="85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553,0</w:t>
            </w:r>
          </w:p>
        </w:tc>
        <w:tc>
          <w:tcPr>
            <w:tcW w:w="796" w:type="dxa"/>
            <w:tcBorders>
              <w:top w:val="nil"/>
              <w:left w:val="nil"/>
              <w:bottom w:val="nil"/>
              <w:right w:val="single" w:sz="4" w:space="0" w:color="auto"/>
            </w:tcBorders>
            <w:shd w:val="clear" w:color="auto" w:fill="auto"/>
            <w:noWrap/>
            <w:vAlign w:val="bottom"/>
            <w:hideMark/>
          </w:tcPr>
          <w:p>
            <w:pPr>
              <w:spacing w:before="0" w:after="0"/>
              <w:jc w:val="left"/>
              <w:rPr>
                <w:b/>
                <w:bCs/>
                <w:noProof/>
                <w:sz w:val="18"/>
                <w:szCs w:val="18"/>
              </w:rPr>
            </w:pPr>
            <w:r>
              <w:rPr>
                <w:b/>
                <w:bCs/>
                <w:noProof/>
                <w:sz w:val="18"/>
                <w:szCs w:val="18"/>
              </w:rPr>
              <w:t> </w:t>
            </w:r>
          </w:p>
        </w:tc>
      </w:tr>
      <w:tr>
        <w:trPr>
          <w:trHeight w:val="240"/>
          <w:jc w:val="center"/>
        </w:trPr>
        <w:tc>
          <w:tcPr>
            <w:tcW w:w="2712" w:type="dxa"/>
            <w:tcBorders>
              <w:top w:val="nil"/>
              <w:left w:val="single" w:sz="4" w:space="0" w:color="auto"/>
              <w:bottom w:val="nil"/>
              <w:right w:val="single" w:sz="4" w:space="0" w:color="auto"/>
            </w:tcBorders>
            <w:shd w:val="clear" w:color="auto" w:fill="auto"/>
            <w:noWrap/>
            <w:vAlign w:val="bottom"/>
            <w:hideMark/>
          </w:tcPr>
          <w:p>
            <w:pPr>
              <w:spacing w:before="0" w:after="0"/>
              <w:jc w:val="left"/>
              <w:rPr>
                <w:noProof/>
                <w:sz w:val="18"/>
                <w:szCs w:val="18"/>
              </w:rPr>
            </w:pPr>
            <w:r>
              <w:rPr>
                <w:noProof/>
                <w:sz w:val="18"/>
                <w:szCs w:val="18"/>
              </w:rPr>
              <w:t>Предварително отпуснати от следващата година</w:t>
            </w:r>
          </w:p>
        </w:tc>
        <w:tc>
          <w:tcPr>
            <w:tcW w:w="85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0,0</w:t>
            </w:r>
          </w:p>
        </w:tc>
        <w:tc>
          <w:tcPr>
            <w:tcW w:w="93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0,0</w:t>
            </w:r>
          </w:p>
        </w:tc>
        <w:tc>
          <w:tcPr>
            <w:tcW w:w="85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0,0</w:t>
            </w:r>
          </w:p>
        </w:tc>
        <w:tc>
          <w:tcPr>
            <w:tcW w:w="822"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294,0</w:t>
            </w:r>
          </w:p>
        </w:tc>
        <w:tc>
          <w:tcPr>
            <w:tcW w:w="85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-294,0</w:t>
            </w:r>
          </w:p>
        </w:tc>
        <w:tc>
          <w:tcPr>
            <w:tcW w:w="851"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0,0</w:t>
            </w:r>
          </w:p>
        </w:tc>
        <w:tc>
          <w:tcPr>
            <w:tcW w:w="85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0,0</w:t>
            </w:r>
          </w:p>
        </w:tc>
        <w:tc>
          <w:tcPr>
            <w:tcW w:w="796" w:type="dxa"/>
            <w:tcBorders>
              <w:top w:val="nil"/>
              <w:left w:val="nil"/>
              <w:bottom w:val="nil"/>
              <w:right w:val="single" w:sz="4" w:space="0" w:color="auto"/>
            </w:tcBorders>
            <w:shd w:val="clear" w:color="auto" w:fill="auto"/>
            <w:noWrap/>
            <w:vAlign w:val="bottom"/>
            <w:hideMark/>
          </w:tcPr>
          <w:p>
            <w:pPr>
              <w:spacing w:before="0" w:after="0"/>
              <w:jc w:val="left"/>
              <w:rPr>
                <w:b/>
                <w:bCs/>
                <w:noProof/>
                <w:sz w:val="18"/>
                <w:szCs w:val="18"/>
              </w:rPr>
            </w:pPr>
            <w:r>
              <w:rPr>
                <w:b/>
                <w:bCs/>
                <w:noProof/>
                <w:sz w:val="18"/>
                <w:szCs w:val="18"/>
              </w:rPr>
              <w:t> </w:t>
            </w:r>
          </w:p>
        </w:tc>
      </w:tr>
      <w:tr>
        <w:trPr>
          <w:trHeight w:val="240"/>
          <w:jc w:val="center"/>
        </w:trPr>
        <w:tc>
          <w:tcPr>
            <w:tcW w:w="2712" w:type="dxa"/>
            <w:tcBorders>
              <w:top w:val="nil"/>
              <w:left w:val="single" w:sz="4" w:space="0" w:color="auto"/>
              <w:bottom w:val="nil"/>
              <w:right w:val="single" w:sz="4" w:space="0" w:color="auto"/>
            </w:tcBorders>
            <w:shd w:val="clear" w:color="auto" w:fill="auto"/>
            <w:noWrap/>
            <w:vAlign w:val="bottom"/>
            <w:hideMark/>
          </w:tcPr>
          <w:p>
            <w:pPr>
              <w:spacing w:before="0" w:after="0"/>
              <w:jc w:val="left"/>
              <w:rPr>
                <w:noProof/>
                <w:sz w:val="18"/>
                <w:szCs w:val="18"/>
              </w:rPr>
            </w:pPr>
            <w:r>
              <w:rPr>
                <w:noProof/>
                <w:sz w:val="18"/>
                <w:szCs w:val="18"/>
              </w:rPr>
              <w:t>Годишно използване</w:t>
            </w:r>
          </w:p>
        </w:tc>
        <w:tc>
          <w:tcPr>
            <w:tcW w:w="85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126,7</w:t>
            </w:r>
          </w:p>
        </w:tc>
        <w:tc>
          <w:tcPr>
            <w:tcW w:w="93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82,8</w:t>
            </w:r>
          </w:p>
        </w:tc>
        <w:tc>
          <w:tcPr>
            <w:tcW w:w="85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33,1</w:t>
            </w:r>
          </w:p>
        </w:tc>
        <w:tc>
          <w:tcPr>
            <w:tcW w:w="822"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1 268,3</w:t>
            </w:r>
          </w:p>
        </w:tc>
        <w:tc>
          <w:tcPr>
            <w:tcW w:w="85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155,9</w:t>
            </w:r>
          </w:p>
        </w:tc>
        <w:tc>
          <w:tcPr>
            <w:tcW w:w="851"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298,1</w:t>
            </w:r>
          </w:p>
        </w:tc>
        <w:tc>
          <w:tcPr>
            <w:tcW w:w="850" w:type="dxa"/>
            <w:tcBorders>
              <w:top w:val="nil"/>
              <w:left w:val="nil"/>
              <w:bottom w:val="nil"/>
              <w:right w:val="single" w:sz="4" w:space="0" w:color="auto"/>
            </w:tcBorders>
            <w:shd w:val="clear" w:color="auto" w:fill="auto"/>
            <w:noWrap/>
            <w:vAlign w:val="bottom"/>
            <w:hideMark/>
          </w:tcPr>
          <w:p>
            <w:pPr>
              <w:spacing w:before="0" w:after="0"/>
              <w:jc w:val="left"/>
              <w:rPr>
                <w:noProof/>
                <w:sz w:val="18"/>
                <w:szCs w:val="18"/>
              </w:rPr>
            </w:pPr>
            <w:r>
              <w:rPr>
                <w:noProof/>
                <w:sz w:val="18"/>
                <w:szCs w:val="18"/>
              </w:rPr>
              <w:t> </w:t>
            </w:r>
          </w:p>
        </w:tc>
        <w:tc>
          <w:tcPr>
            <w:tcW w:w="796" w:type="dxa"/>
            <w:tcBorders>
              <w:top w:val="nil"/>
              <w:left w:val="nil"/>
              <w:bottom w:val="nil"/>
              <w:right w:val="single" w:sz="4" w:space="0" w:color="auto"/>
            </w:tcBorders>
            <w:shd w:val="clear" w:color="auto" w:fill="auto"/>
            <w:noWrap/>
            <w:vAlign w:val="bottom"/>
            <w:hideMark/>
          </w:tcPr>
          <w:p>
            <w:pPr>
              <w:spacing w:before="0" w:after="0"/>
              <w:jc w:val="right"/>
              <w:rPr>
                <w:b/>
                <w:bCs/>
                <w:noProof/>
                <w:sz w:val="18"/>
                <w:szCs w:val="18"/>
              </w:rPr>
            </w:pPr>
            <w:r>
              <w:rPr>
                <w:b/>
                <w:bCs/>
                <w:noProof/>
                <w:sz w:val="18"/>
                <w:szCs w:val="18"/>
              </w:rPr>
              <w:t>1 964,9</w:t>
            </w:r>
          </w:p>
        </w:tc>
      </w:tr>
      <w:tr>
        <w:trPr>
          <w:trHeight w:val="240"/>
          <w:jc w:val="center"/>
        </w:trPr>
        <w:tc>
          <w:tcPr>
            <w:tcW w:w="2712" w:type="dxa"/>
            <w:tcBorders>
              <w:top w:val="nil"/>
              <w:left w:val="single" w:sz="4" w:space="0" w:color="auto"/>
              <w:bottom w:val="nil"/>
              <w:right w:val="single" w:sz="4" w:space="0" w:color="auto"/>
            </w:tcBorders>
            <w:shd w:val="clear" w:color="auto" w:fill="auto"/>
            <w:noWrap/>
            <w:vAlign w:val="bottom"/>
            <w:hideMark/>
          </w:tcPr>
          <w:p>
            <w:pPr>
              <w:spacing w:before="0" w:after="0"/>
              <w:jc w:val="left"/>
              <w:rPr>
                <w:noProof/>
                <w:sz w:val="18"/>
                <w:szCs w:val="18"/>
              </w:rPr>
            </w:pPr>
            <w:r>
              <w:rPr>
                <w:noProof/>
                <w:sz w:val="18"/>
                <w:szCs w:val="18"/>
              </w:rPr>
              <w:t>Пренесени в следващата година</w:t>
            </w:r>
          </w:p>
        </w:tc>
        <w:tc>
          <w:tcPr>
            <w:tcW w:w="85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403,9</w:t>
            </w:r>
          </w:p>
        </w:tc>
        <w:tc>
          <w:tcPr>
            <w:tcW w:w="93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541,2</w:t>
            </w:r>
          </w:p>
        </w:tc>
        <w:tc>
          <w:tcPr>
            <w:tcW w:w="85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552,0</w:t>
            </w:r>
          </w:p>
        </w:tc>
        <w:tc>
          <w:tcPr>
            <w:tcW w:w="822"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140,8</w:t>
            </w:r>
          </w:p>
        </w:tc>
        <w:tc>
          <w:tcPr>
            <w:tcW w:w="85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265,3</w:t>
            </w:r>
          </w:p>
        </w:tc>
        <w:tc>
          <w:tcPr>
            <w:tcW w:w="851"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553,0</w:t>
            </w:r>
          </w:p>
        </w:tc>
        <w:tc>
          <w:tcPr>
            <w:tcW w:w="850" w:type="dxa"/>
            <w:tcBorders>
              <w:top w:val="nil"/>
              <w:left w:val="nil"/>
              <w:bottom w:val="nil"/>
              <w:right w:val="single" w:sz="4" w:space="0" w:color="auto"/>
            </w:tcBorders>
            <w:shd w:val="clear" w:color="auto" w:fill="auto"/>
            <w:noWrap/>
            <w:vAlign w:val="bottom"/>
            <w:hideMark/>
          </w:tcPr>
          <w:p>
            <w:pPr>
              <w:spacing w:before="0" w:after="0"/>
              <w:jc w:val="left"/>
              <w:rPr>
                <w:noProof/>
                <w:sz w:val="18"/>
                <w:szCs w:val="18"/>
              </w:rPr>
            </w:pPr>
            <w:r>
              <w:rPr>
                <w:noProof/>
                <w:sz w:val="18"/>
                <w:szCs w:val="18"/>
              </w:rPr>
              <w:t> </w:t>
            </w:r>
          </w:p>
        </w:tc>
        <w:tc>
          <w:tcPr>
            <w:tcW w:w="796" w:type="dxa"/>
            <w:tcBorders>
              <w:top w:val="nil"/>
              <w:left w:val="nil"/>
              <w:bottom w:val="nil"/>
              <w:right w:val="single" w:sz="4" w:space="0" w:color="auto"/>
            </w:tcBorders>
            <w:shd w:val="clear" w:color="auto" w:fill="auto"/>
            <w:noWrap/>
            <w:vAlign w:val="bottom"/>
            <w:hideMark/>
          </w:tcPr>
          <w:p>
            <w:pPr>
              <w:spacing w:before="0" w:after="0"/>
              <w:jc w:val="left"/>
              <w:rPr>
                <w:b/>
                <w:bCs/>
                <w:noProof/>
                <w:sz w:val="18"/>
                <w:szCs w:val="18"/>
              </w:rPr>
            </w:pPr>
            <w:r>
              <w:rPr>
                <w:b/>
                <w:bCs/>
                <w:noProof/>
                <w:sz w:val="18"/>
                <w:szCs w:val="18"/>
              </w:rPr>
              <w:t> </w:t>
            </w:r>
          </w:p>
        </w:tc>
      </w:tr>
      <w:tr>
        <w:trPr>
          <w:trHeight w:val="240"/>
          <w:jc w:val="center"/>
        </w:trPr>
        <w:tc>
          <w:tcPr>
            <w:tcW w:w="2712"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i/>
                <w:iCs/>
                <w:noProof/>
                <w:sz w:val="18"/>
                <w:szCs w:val="18"/>
              </w:rPr>
            </w:pPr>
            <w:r>
              <w:rPr>
                <w:i/>
                <w:iCs/>
                <w:noProof/>
                <w:sz w:val="18"/>
                <w:szCs w:val="18"/>
              </w:rPr>
              <w:t>Изгубили сила преноси</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jc w:val="right"/>
              <w:rPr>
                <w:i/>
                <w:iCs/>
                <w:noProof/>
                <w:sz w:val="18"/>
                <w:szCs w:val="18"/>
              </w:rPr>
            </w:pPr>
            <w:r>
              <w:rPr>
                <w:i/>
                <w:iCs/>
                <w:noProof/>
                <w:sz w:val="18"/>
                <w:szCs w:val="18"/>
              </w:rPr>
              <w:t>0,0</w:t>
            </w:r>
          </w:p>
        </w:tc>
        <w:tc>
          <w:tcPr>
            <w:tcW w:w="930" w:type="dxa"/>
            <w:tcBorders>
              <w:top w:val="nil"/>
              <w:left w:val="nil"/>
              <w:bottom w:val="single" w:sz="4" w:space="0" w:color="auto"/>
              <w:right w:val="single" w:sz="4" w:space="0" w:color="auto"/>
            </w:tcBorders>
            <w:shd w:val="clear" w:color="auto" w:fill="auto"/>
            <w:noWrap/>
            <w:vAlign w:val="bottom"/>
            <w:hideMark/>
          </w:tcPr>
          <w:p>
            <w:pPr>
              <w:spacing w:before="0" w:after="0"/>
              <w:jc w:val="right"/>
              <w:rPr>
                <w:i/>
                <w:iCs/>
                <w:noProof/>
                <w:sz w:val="18"/>
                <w:szCs w:val="18"/>
              </w:rPr>
            </w:pPr>
            <w:r>
              <w:rPr>
                <w:i/>
                <w:iCs/>
                <w:noProof/>
                <w:sz w:val="18"/>
                <w:szCs w:val="18"/>
              </w:rPr>
              <w:t>321,1</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jc w:val="right"/>
              <w:rPr>
                <w:i/>
                <w:iCs/>
                <w:noProof/>
                <w:sz w:val="18"/>
                <w:szCs w:val="18"/>
              </w:rPr>
            </w:pPr>
            <w:r>
              <w:rPr>
                <w:i/>
                <w:iCs/>
                <w:noProof/>
                <w:sz w:val="18"/>
                <w:szCs w:val="18"/>
              </w:rPr>
              <w:t>508,1</w:t>
            </w:r>
          </w:p>
        </w:tc>
        <w:tc>
          <w:tcPr>
            <w:tcW w:w="822" w:type="dxa"/>
            <w:tcBorders>
              <w:top w:val="nil"/>
              <w:left w:val="nil"/>
              <w:bottom w:val="single" w:sz="4" w:space="0" w:color="auto"/>
              <w:right w:val="single" w:sz="4" w:space="0" w:color="auto"/>
            </w:tcBorders>
            <w:shd w:val="clear" w:color="auto" w:fill="auto"/>
            <w:noWrap/>
            <w:vAlign w:val="bottom"/>
            <w:hideMark/>
          </w:tcPr>
          <w:p>
            <w:pPr>
              <w:spacing w:before="0" w:after="0"/>
              <w:jc w:val="right"/>
              <w:rPr>
                <w:i/>
                <w:iCs/>
                <w:noProof/>
                <w:sz w:val="18"/>
                <w:szCs w:val="18"/>
              </w:rPr>
            </w:pPr>
            <w:r>
              <w:rPr>
                <w:i/>
                <w:iCs/>
                <w:noProof/>
                <w:sz w:val="18"/>
                <w:szCs w:val="18"/>
              </w:rPr>
              <w:t>0,0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jc w:val="right"/>
              <w:rPr>
                <w:i/>
                <w:iCs/>
                <w:noProof/>
                <w:sz w:val="18"/>
                <w:szCs w:val="18"/>
              </w:rPr>
            </w:pPr>
            <w:r>
              <w:rPr>
                <w:i/>
                <w:iCs/>
                <w:noProof/>
                <w:sz w:val="18"/>
                <w:szCs w:val="18"/>
              </w:rPr>
              <w:t>0,0</w:t>
            </w:r>
          </w:p>
        </w:tc>
        <w:tc>
          <w:tcPr>
            <w:tcW w:w="851" w:type="dxa"/>
            <w:tcBorders>
              <w:top w:val="nil"/>
              <w:left w:val="nil"/>
              <w:bottom w:val="single" w:sz="4" w:space="0" w:color="auto"/>
              <w:right w:val="single" w:sz="4" w:space="0" w:color="auto"/>
            </w:tcBorders>
            <w:shd w:val="clear" w:color="auto" w:fill="auto"/>
            <w:noWrap/>
            <w:vAlign w:val="bottom"/>
            <w:hideMark/>
          </w:tcPr>
          <w:p>
            <w:pPr>
              <w:spacing w:before="0" w:after="0"/>
              <w:jc w:val="right"/>
              <w:rPr>
                <w:i/>
                <w:iCs/>
                <w:noProof/>
                <w:sz w:val="18"/>
                <w:szCs w:val="18"/>
              </w:rPr>
            </w:pPr>
            <w:r>
              <w:rPr>
                <w:i/>
                <w:iCs/>
                <w:noProof/>
                <w:sz w:val="18"/>
                <w:szCs w:val="18"/>
              </w:rPr>
              <w:t>0,0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jc w:val="left"/>
              <w:rPr>
                <w:i/>
                <w:iCs/>
                <w:noProof/>
                <w:sz w:val="18"/>
                <w:szCs w:val="18"/>
              </w:rPr>
            </w:pPr>
            <w:r>
              <w:rPr>
                <w:i/>
                <w:iCs/>
                <w:noProof/>
                <w:sz w:val="18"/>
                <w:szCs w:val="18"/>
              </w:rPr>
              <w:t> </w:t>
            </w:r>
          </w:p>
        </w:tc>
        <w:tc>
          <w:tcPr>
            <w:tcW w:w="796" w:type="dxa"/>
            <w:tcBorders>
              <w:top w:val="nil"/>
              <w:left w:val="nil"/>
              <w:bottom w:val="single" w:sz="4" w:space="0" w:color="auto"/>
              <w:right w:val="single" w:sz="4" w:space="0" w:color="auto"/>
            </w:tcBorders>
            <w:shd w:val="clear" w:color="auto" w:fill="auto"/>
            <w:noWrap/>
            <w:vAlign w:val="bottom"/>
            <w:hideMark/>
          </w:tcPr>
          <w:p>
            <w:pPr>
              <w:spacing w:before="0" w:after="0"/>
              <w:jc w:val="right"/>
              <w:rPr>
                <w:b/>
                <w:bCs/>
                <w:i/>
                <w:iCs/>
                <w:noProof/>
                <w:sz w:val="18"/>
                <w:szCs w:val="18"/>
              </w:rPr>
            </w:pPr>
            <w:r>
              <w:rPr>
                <w:b/>
                <w:bCs/>
                <w:i/>
                <w:iCs/>
                <w:noProof/>
                <w:sz w:val="18"/>
                <w:szCs w:val="18"/>
              </w:rPr>
              <w:t>829,2</w:t>
            </w:r>
          </w:p>
        </w:tc>
      </w:tr>
    </w:tbl>
    <w:p>
      <w:pPr>
        <w:pStyle w:val="ManualHeading2"/>
        <w:rPr>
          <w:noProof/>
        </w:rPr>
      </w:pPr>
      <w:r>
        <w:rPr>
          <w:noProof/>
        </w:rPr>
        <w:t>3.3.</w:t>
      </w:r>
      <w:r>
        <w:rPr>
          <w:noProof/>
        </w:rPr>
        <w:tab/>
        <w:t>Инструмент за гъвкавост</w:t>
      </w:r>
    </w:p>
    <w:p>
      <w:pPr>
        <w:pStyle w:val="Text1"/>
        <w:rPr>
          <w:noProof/>
        </w:rPr>
      </w:pPr>
      <w:r>
        <w:rPr>
          <w:noProof/>
        </w:rPr>
        <w:t xml:space="preserve">Съгласно член 11 от изменения Регламент за МФР </w:t>
      </w:r>
      <w:r>
        <w:rPr>
          <w:i/>
          <w:noProof/>
        </w:rPr>
        <w:t>Инструментът за гъвкавост</w:t>
      </w:r>
      <w:r>
        <w:rPr>
          <w:noProof/>
        </w:rPr>
        <w:t xml:space="preserve"> може да бъде мобилизиран за сума в размер на максимум 600 милиона евро годишно по цени от 2011 г. или 717 милиона евро през 2020 г. по текущи цени (4 315 милиона евро за целия период по текущи цени). Частта от неусвоените годишни суми от предходните 3 години може да бъде пренесена.</w:t>
      </w:r>
    </w:p>
    <w:p>
      <w:pPr>
        <w:pStyle w:val="Text1"/>
        <w:rPr>
          <w:noProof/>
        </w:rPr>
      </w:pPr>
      <w:r>
        <w:rPr>
          <w:noProof/>
        </w:rPr>
        <w:t xml:space="preserve">Съгласно член 6, параграф 1, буква е), който се позовава на член 11, параграф 1, втора алинея, </w:t>
      </w:r>
      <w:r>
        <w:rPr>
          <w:i/>
          <w:noProof/>
        </w:rPr>
        <w:t>всяка година, като се започне от 2017 г., годишната сума, предоставена на Инструмента за гъвкавост, се увеличава със</w:t>
      </w:r>
      <w:r>
        <w:rPr>
          <w:noProof/>
        </w:rPr>
        <w:t xml:space="preserve"> сумите, равностойни на частта от годишната сума за фонд „Солидарност“ на Европейския съюз и на Европейския фонд за приспособяване към глобализацията, които не могат да се пренасят повече от предходната година. </w:t>
      </w:r>
    </w:p>
    <w:p>
      <w:pPr>
        <w:pStyle w:val="Text1"/>
        <w:rPr>
          <w:noProof/>
        </w:rPr>
      </w:pPr>
      <w:r>
        <w:rPr>
          <w:noProof/>
        </w:rPr>
        <w:t>Таблицата по-долу съдържа информация за годишните наличности и използването на Инструмента за гъвкавост от 2014 г. насам:</w:t>
      </w:r>
    </w:p>
    <w:tbl>
      <w:tblPr>
        <w:tblW w:w="9600" w:type="dxa"/>
        <w:jc w:val="center"/>
        <w:tblCellMar>
          <w:left w:w="70" w:type="dxa"/>
          <w:right w:w="70" w:type="dxa"/>
        </w:tblCellMar>
        <w:tblLook w:val="04A0" w:firstRow="1" w:lastRow="0" w:firstColumn="1" w:lastColumn="0" w:noHBand="0" w:noVBand="1"/>
      </w:tblPr>
      <w:tblGrid>
        <w:gridCol w:w="3020"/>
        <w:gridCol w:w="889"/>
        <w:gridCol w:w="867"/>
        <w:gridCol w:w="867"/>
        <w:gridCol w:w="745"/>
        <w:gridCol w:w="756"/>
        <w:gridCol w:w="796"/>
        <w:gridCol w:w="819"/>
        <w:gridCol w:w="841"/>
      </w:tblGrid>
      <w:tr>
        <w:trPr>
          <w:trHeight w:val="240"/>
          <w:jc w:val="center"/>
        </w:trPr>
        <w:tc>
          <w:tcPr>
            <w:tcW w:w="9600"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pPr>
              <w:spacing w:before="0" w:after="0"/>
              <w:jc w:val="center"/>
              <w:rPr>
                <w:b/>
                <w:bCs/>
                <w:noProof/>
                <w:sz w:val="18"/>
                <w:szCs w:val="18"/>
              </w:rPr>
            </w:pPr>
            <w:r>
              <w:rPr>
                <w:b/>
                <w:bCs/>
                <w:noProof/>
                <w:sz w:val="18"/>
                <w:szCs w:val="18"/>
              </w:rPr>
              <w:t>Инструмент за гъвкавост</w:t>
            </w:r>
          </w:p>
        </w:tc>
      </w:tr>
      <w:tr>
        <w:trPr>
          <w:trHeight w:val="104"/>
          <w:jc w:val="center"/>
        </w:trPr>
        <w:tc>
          <w:tcPr>
            <w:tcW w:w="9600"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pPr>
              <w:spacing w:before="0" w:after="0"/>
              <w:jc w:val="right"/>
              <w:rPr>
                <w:i/>
                <w:iCs/>
                <w:noProof/>
                <w:sz w:val="18"/>
                <w:szCs w:val="18"/>
              </w:rPr>
            </w:pPr>
            <w:r>
              <w:rPr>
                <w:i/>
                <w:iCs/>
                <w:noProof/>
                <w:sz w:val="18"/>
                <w:szCs w:val="18"/>
              </w:rPr>
              <w:t>(млн. евро)</w:t>
            </w:r>
          </w:p>
        </w:tc>
      </w:tr>
      <w:tr>
        <w:trPr>
          <w:trHeight w:val="240"/>
          <w:jc w:val="center"/>
        </w:trPr>
        <w:tc>
          <w:tcPr>
            <w:tcW w:w="3020" w:type="dxa"/>
            <w:tcBorders>
              <w:top w:val="nil"/>
              <w:left w:val="single" w:sz="4" w:space="0" w:color="auto"/>
              <w:bottom w:val="nil"/>
              <w:right w:val="single" w:sz="4" w:space="0" w:color="auto"/>
            </w:tcBorders>
            <w:shd w:val="clear" w:color="auto" w:fill="auto"/>
            <w:noWrap/>
            <w:vAlign w:val="bottom"/>
            <w:hideMark/>
          </w:tcPr>
          <w:p>
            <w:pPr>
              <w:spacing w:before="0" w:after="0"/>
              <w:jc w:val="left"/>
              <w:rPr>
                <w:noProof/>
                <w:sz w:val="18"/>
                <w:szCs w:val="18"/>
              </w:rPr>
            </w:pPr>
            <w:r>
              <w:rPr>
                <w:noProof/>
                <w:sz w:val="18"/>
                <w:szCs w:val="18"/>
              </w:rPr>
              <w:t> </w:t>
            </w:r>
          </w:p>
        </w:tc>
        <w:tc>
          <w:tcPr>
            <w:tcW w:w="889"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rPr>
            </w:pPr>
            <w:r>
              <w:rPr>
                <w:noProof/>
                <w:sz w:val="18"/>
                <w:szCs w:val="18"/>
              </w:rPr>
              <w:t>2014 г.</w:t>
            </w:r>
          </w:p>
        </w:tc>
        <w:tc>
          <w:tcPr>
            <w:tcW w:w="867"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rPr>
            </w:pPr>
            <w:r>
              <w:rPr>
                <w:noProof/>
                <w:sz w:val="18"/>
                <w:szCs w:val="18"/>
              </w:rPr>
              <w:t>2015 г.</w:t>
            </w:r>
          </w:p>
        </w:tc>
        <w:tc>
          <w:tcPr>
            <w:tcW w:w="867"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rPr>
            </w:pPr>
            <w:r>
              <w:rPr>
                <w:noProof/>
                <w:sz w:val="18"/>
                <w:szCs w:val="18"/>
              </w:rPr>
              <w:t>2016</w:t>
            </w:r>
          </w:p>
        </w:tc>
        <w:tc>
          <w:tcPr>
            <w:tcW w:w="745"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rPr>
            </w:pPr>
            <w:r>
              <w:rPr>
                <w:noProof/>
                <w:sz w:val="18"/>
                <w:szCs w:val="18"/>
              </w:rPr>
              <w:t>2017 г.</w:t>
            </w:r>
          </w:p>
        </w:tc>
        <w:tc>
          <w:tcPr>
            <w:tcW w:w="756"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rPr>
            </w:pPr>
            <w:r>
              <w:rPr>
                <w:noProof/>
                <w:sz w:val="18"/>
                <w:szCs w:val="18"/>
              </w:rPr>
              <w:t>2018 г.</w:t>
            </w:r>
          </w:p>
        </w:tc>
        <w:tc>
          <w:tcPr>
            <w:tcW w:w="796"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rPr>
            </w:pPr>
            <w:r>
              <w:rPr>
                <w:noProof/>
                <w:sz w:val="18"/>
                <w:szCs w:val="18"/>
              </w:rPr>
              <w:t>2019 г.</w:t>
            </w:r>
          </w:p>
        </w:tc>
        <w:tc>
          <w:tcPr>
            <w:tcW w:w="819"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rPr>
            </w:pPr>
            <w:r>
              <w:rPr>
                <w:noProof/>
                <w:sz w:val="18"/>
                <w:szCs w:val="18"/>
              </w:rPr>
              <w:t>2020 г.</w:t>
            </w:r>
          </w:p>
        </w:tc>
        <w:tc>
          <w:tcPr>
            <w:tcW w:w="841" w:type="dxa"/>
            <w:tcBorders>
              <w:top w:val="nil"/>
              <w:left w:val="nil"/>
              <w:bottom w:val="single" w:sz="4" w:space="0" w:color="auto"/>
              <w:right w:val="single" w:sz="4" w:space="0" w:color="auto"/>
            </w:tcBorders>
            <w:shd w:val="clear" w:color="auto" w:fill="auto"/>
            <w:noWrap/>
            <w:vAlign w:val="bottom"/>
            <w:hideMark/>
          </w:tcPr>
          <w:p>
            <w:pPr>
              <w:spacing w:before="0" w:after="0"/>
              <w:jc w:val="center"/>
              <w:rPr>
                <w:b/>
                <w:bCs/>
                <w:noProof/>
                <w:sz w:val="18"/>
                <w:szCs w:val="18"/>
              </w:rPr>
            </w:pPr>
            <w:r>
              <w:rPr>
                <w:b/>
                <w:bCs/>
                <w:noProof/>
                <w:sz w:val="18"/>
                <w:szCs w:val="18"/>
              </w:rPr>
              <w:t>Общо</w:t>
            </w:r>
          </w:p>
        </w:tc>
      </w:tr>
      <w:tr>
        <w:trPr>
          <w:trHeight w:val="240"/>
          <w:jc w:val="center"/>
        </w:trPr>
        <w:tc>
          <w:tcPr>
            <w:tcW w:w="3020" w:type="dxa"/>
            <w:tcBorders>
              <w:top w:val="nil"/>
              <w:left w:val="single" w:sz="4" w:space="0" w:color="auto"/>
              <w:bottom w:val="nil"/>
              <w:right w:val="single" w:sz="4" w:space="0" w:color="auto"/>
            </w:tcBorders>
            <w:shd w:val="clear" w:color="auto" w:fill="auto"/>
            <w:noWrap/>
            <w:vAlign w:val="bottom"/>
            <w:hideMark/>
          </w:tcPr>
          <w:p>
            <w:pPr>
              <w:spacing w:before="0" w:after="0"/>
              <w:jc w:val="left"/>
              <w:rPr>
                <w:noProof/>
                <w:sz w:val="18"/>
                <w:szCs w:val="18"/>
              </w:rPr>
            </w:pPr>
            <w:r>
              <w:rPr>
                <w:noProof/>
                <w:sz w:val="18"/>
                <w:szCs w:val="18"/>
              </w:rPr>
              <w:t>Годишни суми по цени от 2011 г.</w:t>
            </w:r>
          </w:p>
        </w:tc>
        <w:tc>
          <w:tcPr>
            <w:tcW w:w="889"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471</w:t>
            </w:r>
          </w:p>
        </w:tc>
        <w:tc>
          <w:tcPr>
            <w:tcW w:w="867"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471</w:t>
            </w:r>
          </w:p>
        </w:tc>
        <w:tc>
          <w:tcPr>
            <w:tcW w:w="867"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471</w:t>
            </w:r>
          </w:p>
        </w:tc>
        <w:tc>
          <w:tcPr>
            <w:tcW w:w="745"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600</w:t>
            </w:r>
          </w:p>
        </w:tc>
        <w:tc>
          <w:tcPr>
            <w:tcW w:w="756"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600</w:t>
            </w:r>
          </w:p>
        </w:tc>
        <w:tc>
          <w:tcPr>
            <w:tcW w:w="796"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600</w:t>
            </w:r>
          </w:p>
        </w:tc>
        <w:tc>
          <w:tcPr>
            <w:tcW w:w="819"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600</w:t>
            </w:r>
          </w:p>
        </w:tc>
        <w:tc>
          <w:tcPr>
            <w:tcW w:w="841" w:type="dxa"/>
            <w:tcBorders>
              <w:top w:val="nil"/>
              <w:left w:val="nil"/>
              <w:bottom w:val="nil"/>
              <w:right w:val="single" w:sz="4" w:space="0" w:color="auto"/>
            </w:tcBorders>
            <w:shd w:val="clear" w:color="auto" w:fill="auto"/>
            <w:noWrap/>
            <w:vAlign w:val="bottom"/>
            <w:hideMark/>
          </w:tcPr>
          <w:p>
            <w:pPr>
              <w:spacing w:before="0" w:after="0"/>
              <w:jc w:val="right"/>
              <w:rPr>
                <w:b/>
                <w:bCs/>
                <w:noProof/>
                <w:sz w:val="18"/>
                <w:szCs w:val="18"/>
              </w:rPr>
            </w:pPr>
            <w:r>
              <w:rPr>
                <w:b/>
                <w:bCs/>
                <w:noProof/>
                <w:sz w:val="18"/>
                <w:szCs w:val="18"/>
              </w:rPr>
              <w:t>3 813</w:t>
            </w:r>
          </w:p>
        </w:tc>
      </w:tr>
      <w:tr>
        <w:trPr>
          <w:trHeight w:val="240"/>
          <w:jc w:val="center"/>
        </w:trPr>
        <w:tc>
          <w:tcPr>
            <w:tcW w:w="3020" w:type="dxa"/>
            <w:tcBorders>
              <w:top w:val="nil"/>
              <w:left w:val="single" w:sz="4" w:space="0" w:color="auto"/>
              <w:bottom w:val="nil"/>
              <w:right w:val="single" w:sz="4" w:space="0" w:color="auto"/>
            </w:tcBorders>
            <w:shd w:val="clear" w:color="auto" w:fill="auto"/>
            <w:noWrap/>
            <w:vAlign w:val="bottom"/>
            <w:hideMark/>
          </w:tcPr>
          <w:p>
            <w:pPr>
              <w:spacing w:before="0" w:after="0"/>
              <w:jc w:val="left"/>
              <w:rPr>
                <w:noProof/>
                <w:sz w:val="18"/>
                <w:szCs w:val="18"/>
              </w:rPr>
            </w:pPr>
            <w:r>
              <w:rPr>
                <w:noProof/>
                <w:sz w:val="18"/>
                <w:szCs w:val="18"/>
              </w:rPr>
              <w:t>Годишни суми по текущи цени</w:t>
            </w:r>
          </w:p>
        </w:tc>
        <w:tc>
          <w:tcPr>
            <w:tcW w:w="889"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500</w:t>
            </w:r>
          </w:p>
        </w:tc>
        <w:tc>
          <w:tcPr>
            <w:tcW w:w="867"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510</w:t>
            </w:r>
          </w:p>
        </w:tc>
        <w:tc>
          <w:tcPr>
            <w:tcW w:w="867"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520</w:t>
            </w:r>
          </w:p>
        </w:tc>
        <w:tc>
          <w:tcPr>
            <w:tcW w:w="745"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676</w:t>
            </w:r>
          </w:p>
        </w:tc>
        <w:tc>
          <w:tcPr>
            <w:tcW w:w="756"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689</w:t>
            </w:r>
          </w:p>
        </w:tc>
        <w:tc>
          <w:tcPr>
            <w:tcW w:w="796"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703</w:t>
            </w:r>
          </w:p>
        </w:tc>
        <w:tc>
          <w:tcPr>
            <w:tcW w:w="819"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717</w:t>
            </w:r>
          </w:p>
        </w:tc>
        <w:tc>
          <w:tcPr>
            <w:tcW w:w="841" w:type="dxa"/>
            <w:tcBorders>
              <w:top w:val="nil"/>
              <w:left w:val="nil"/>
              <w:bottom w:val="nil"/>
              <w:right w:val="single" w:sz="4" w:space="0" w:color="auto"/>
            </w:tcBorders>
            <w:shd w:val="clear" w:color="auto" w:fill="auto"/>
            <w:noWrap/>
            <w:vAlign w:val="bottom"/>
            <w:hideMark/>
          </w:tcPr>
          <w:p>
            <w:pPr>
              <w:spacing w:before="0" w:after="0"/>
              <w:jc w:val="right"/>
              <w:rPr>
                <w:b/>
                <w:bCs/>
                <w:noProof/>
                <w:sz w:val="18"/>
                <w:szCs w:val="18"/>
              </w:rPr>
            </w:pPr>
            <w:r>
              <w:rPr>
                <w:b/>
                <w:bCs/>
                <w:noProof/>
                <w:sz w:val="18"/>
                <w:szCs w:val="18"/>
              </w:rPr>
              <w:t>4 315</w:t>
            </w:r>
          </w:p>
        </w:tc>
      </w:tr>
      <w:tr>
        <w:trPr>
          <w:trHeight w:val="240"/>
          <w:jc w:val="center"/>
        </w:trPr>
        <w:tc>
          <w:tcPr>
            <w:tcW w:w="3020" w:type="dxa"/>
            <w:tcBorders>
              <w:top w:val="nil"/>
              <w:left w:val="single" w:sz="4" w:space="0" w:color="auto"/>
              <w:bottom w:val="nil"/>
              <w:right w:val="single" w:sz="4" w:space="0" w:color="auto"/>
            </w:tcBorders>
            <w:shd w:val="clear" w:color="auto" w:fill="auto"/>
            <w:noWrap/>
            <w:vAlign w:val="bottom"/>
            <w:hideMark/>
          </w:tcPr>
          <w:p>
            <w:pPr>
              <w:spacing w:before="0" w:after="0"/>
              <w:jc w:val="left"/>
              <w:rPr>
                <w:noProof/>
                <w:sz w:val="18"/>
                <w:szCs w:val="18"/>
              </w:rPr>
            </w:pPr>
            <w:r>
              <w:rPr>
                <w:noProof/>
                <w:sz w:val="18"/>
                <w:szCs w:val="18"/>
              </w:rPr>
              <w:t>Пренесени от предходната година</w:t>
            </w:r>
          </w:p>
        </w:tc>
        <w:tc>
          <w:tcPr>
            <w:tcW w:w="889"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276,0</w:t>
            </w:r>
          </w:p>
        </w:tc>
        <w:tc>
          <w:tcPr>
            <w:tcW w:w="867"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686,7</w:t>
            </w:r>
          </w:p>
        </w:tc>
        <w:tc>
          <w:tcPr>
            <w:tcW w:w="867"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1010,0</w:t>
            </w:r>
          </w:p>
        </w:tc>
        <w:tc>
          <w:tcPr>
            <w:tcW w:w="745"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0,0</w:t>
            </w:r>
          </w:p>
        </w:tc>
        <w:tc>
          <w:tcPr>
            <w:tcW w:w="756"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517,0</w:t>
            </w:r>
          </w:p>
        </w:tc>
        <w:tc>
          <w:tcPr>
            <w:tcW w:w="796"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519,8</w:t>
            </w:r>
          </w:p>
        </w:tc>
        <w:tc>
          <w:tcPr>
            <w:tcW w:w="819"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202,4</w:t>
            </w:r>
          </w:p>
        </w:tc>
        <w:tc>
          <w:tcPr>
            <w:tcW w:w="841" w:type="dxa"/>
            <w:tcBorders>
              <w:top w:val="nil"/>
              <w:left w:val="nil"/>
              <w:bottom w:val="nil"/>
              <w:right w:val="single" w:sz="4" w:space="0" w:color="auto"/>
            </w:tcBorders>
            <w:shd w:val="clear" w:color="auto" w:fill="auto"/>
            <w:noWrap/>
            <w:vAlign w:val="bottom"/>
            <w:hideMark/>
          </w:tcPr>
          <w:p>
            <w:pPr>
              <w:spacing w:before="0" w:after="0"/>
              <w:jc w:val="left"/>
              <w:rPr>
                <w:b/>
                <w:bCs/>
                <w:noProof/>
                <w:sz w:val="18"/>
                <w:szCs w:val="18"/>
              </w:rPr>
            </w:pPr>
            <w:r>
              <w:rPr>
                <w:b/>
                <w:bCs/>
                <w:noProof/>
                <w:sz w:val="18"/>
                <w:szCs w:val="18"/>
              </w:rPr>
              <w:t> </w:t>
            </w:r>
          </w:p>
        </w:tc>
      </w:tr>
      <w:tr>
        <w:trPr>
          <w:trHeight w:val="240"/>
          <w:jc w:val="center"/>
        </w:trPr>
        <w:tc>
          <w:tcPr>
            <w:tcW w:w="3020" w:type="dxa"/>
            <w:tcBorders>
              <w:top w:val="nil"/>
              <w:left w:val="single" w:sz="4" w:space="0" w:color="auto"/>
              <w:bottom w:val="nil"/>
              <w:right w:val="single" w:sz="4" w:space="0" w:color="auto"/>
            </w:tcBorders>
            <w:shd w:val="clear" w:color="auto" w:fill="auto"/>
            <w:noWrap/>
            <w:vAlign w:val="bottom"/>
            <w:hideMark/>
          </w:tcPr>
          <w:p>
            <w:pPr>
              <w:spacing w:before="0" w:after="0"/>
              <w:jc w:val="left"/>
              <w:rPr>
                <w:i/>
                <w:iCs/>
                <w:noProof/>
                <w:sz w:val="18"/>
                <w:szCs w:val="18"/>
              </w:rPr>
            </w:pPr>
            <w:r>
              <w:rPr>
                <w:i/>
                <w:iCs/>
                <w:noProof/>
                <w:sz w:val="18"/>
                <w:szCs w:val="18"/>
              </w:rPr>
              <w:t>Увеличени със сумата, която не може да се пренася, по ЕФПГ</w:t>
            </w:r>
          </w:p>
        </w:tc>
        <w:tc>
          <w:tcPr>
            <w:tcW w:w="889" w:type="dxa"/>
            <w:tcBorders>
              <w:top w:val="nil"/>
              <w:left w:val="nil"/>
              <w:bottom w:val="nil"/>
              <w:right w:val="single" w:sz="4" w:space="0" w:color="auto"/>
            </w:tcBorders>
            <w:shd w:val="clear" w:color="000000" w:fill="D9D9D9"/>
            <w:noWrap/>
            <w:vAlign w:val="bottom"/>
            <w:hideMark/>
          </w:tcPr>
          <w:p>
            <w:pPr>
              <w:spacing w:before="0" w:after="0"/>
              <w:jc w:val="left"/>
              <w:rPr>
                <w:i/>
                <w:iCs/>
                <w:noProof/>
                <w:sz w:val="18"/>
                <w:szCs w:val="18"/>
              </w:rPr>
            </w:pPr>
            <w:r>
              <w:rPr>
                <w:i/>
                <w:iCs/>
                <w:noProof/>
                <w:sz w:val="18"/>
                <w:szCs w:val="18"/>
              </w:rPr>
              <w:t> </w:t>
            </w:r>
          </w:p>
        </w:tc>
        <w:tc>
          <w:tcPr>
            <w:tcW w:w="867" w:type="dxa"/>
            <w:tcBorders>
              <w:top w:val="nil"/>
              <w:left w:val="nil"/>
              <w:bottom w:val="nil"/>
              <w:right w:val="single" w:sz="4" w:space="0" w:color="auto"/>
            </w:tcBorders>
            <w:shd w:val="clear" w:color="000000" w:fill="D9D9D9"/>
            <w:noWrap/>
            <w:vAlign w:val="bottom"/>
            <w:hideMark/>
          </w:tcPr>
          <w:p>
            <w:pPr>
              <w:spacing w:before="0" w:after="0"/>
              <w:jc w:val="left"/>
              <w:rPr>
                <w:i/>
                <w:iCs/>
                <w:noProof/>
                <w:sz w:val="18"/>
                <w:szCs w:val="18"/>
              </w:rPr>
            </w:pPr>
            <w:r>
              <w:rPr>
                <w:i/>
                <w:iCs/>
                <w:noProof/>
                <w:sz w:val="18"/>
                <w:szCs w:val="18"/>
              </w:rPr>
              <w:t> </w:t>
            </w:r>
          </w:p>
        </w:tc>
        <w:tc>
          <w:tcPr>
            <w:tcW w:w="867" w:type="dxa"/>
            <w:tcBorders>
              <w:top w:val="nil"/>
              <w:left w:val="nil"/>
              <w:bottom w:val="nil"/>
              <w:right w:val="single" w:sz="4" w:space="0" w:color="auto"/>
            </w:tcBorders>
            <w:shd w:val="clear" w:color="000000" w:fill="D9D9D9"/>
            <w:noWrap/>
            <w:vAlign w:val="bottom"/>
            <w:hideMark/>
          </w:tcPr>
          <w:p>
            <w:pPr>
              <w:spacing w:before="0" w:after="0"/>
              <w:jc w:val="left"/>
              <w:rPr>
                <w:i/>
                <w:iCs/>
                <w:noProof/>
                <w:sz w:val="18"/>
                <w:szCs w:val="18"/>
              </w:rPr>
            </w:pPr>
            <w:r>
              <w:rPr>
                <w:i/>
                <w:iCs/>
                <w:noProof/>
                <w:sz w:val="18"/>
                <w:szCs w:val="18"/>
              </w:rPr>
              <w:t> </w:t>
            </w:r>
          </w:p>
        </w:tc>
        <w:tc>
          <w:tcPr>
            <w:tcW w:w="745" w:type="dxa"/>
            <w:tcBorders>
              <w:top w:val="nil"/>
              <w:left w:val="nil"/>
              <w:bottom w:val="nil"/>
              <w:right w:val="single" w:sz="4" w:space="0" w:color="auto"/>
            </w:tcBorders>
            <w:shd w:val="clear" w:color="auto" w:fill="auto"/>
            <w:noWrap/>
            <w:vAlign w:val="bottom"/>
            <w:hideMark/>
          </w:tcPr>
          <w:p>
            <w:pPr>
              <w:spacing w:before="0" w:after="0"/>
              <w:jc w:val="right"/>
              <w:rPr>
                <w:i/>
                <w:iCs/>
                <w:noProof/>
                <w:sz w:val="18"/>
                <w:szCs w:val="18"/>
              </w:rPr>
            </w:pPr>
            <w:r>
              <w:rPr>
                <w:i/>
                <w:iCs/>
                <w:noProof/>
                <w:sz w:val="18"/>
                <w:szCs w:val="18"/>
              </w:rPr>
              <w:t>138</w:t>
            </w:r>
          </w:p>
        </w:tc>
        <w:tc>
          <w:tcPr>
            <w:tcW w:w="756" w:type="dxa"/>
            <w:tcBorders>
              <w:top w:val="nil"/>
              <w:left w:val="nil"/>
              <w:bottom w:val="nil"/>
              <w:right w:val="single" w:sz="4" w:space="0" w:color="auto"/>
            </w:tcBorders>
            <w:shd w:val="clear" w:color="auto" w:fill="auto"/>
            <w:noWrap/>
            <w:vAlign w:val="bottom"/>
            <w:hideMark/>
          </w:tcPr>
          <w:p>
            <w:pPr>
              <w:spacing w:before="0" w:after="0"/>
              <w:jc w:val="right"/>
              <w:rPr>
                <w:i/>
                <w:iCs/>
                <w:noProof/>
                <w:sz w:val="18"/>
                <w:szCs w:val="18"/>
              </w:rPr>
            </w:pPr>
            <w:r>
              <w:rPr>
                <w:i/>
                <w:iCs/>
                <w:noProof/>
                <w:sz w:val="18"/>
                <w:szCs w:val="18"/>
              </w:rPr>
              <w:t>151</w:t>
            </w:r>
          </w:p>
        </w:tc>
        <w:tc>
          <w:tcPr>
            <w:tcW w:w="796" w:type="dxa"/>
            <w:tcBorders>
              <w:top w:val="nil"/>
              <w:left w:val="nil"/>
              <w:bottom w:val="nil"/>
              <w:right w:val="single" w:sz="4" w:space="0" w:color="auto"/>
            </w:tcBorders>
            <w:shd w:val="clear" w:color="auto" w:fill="auto"/>
            <w:noWrap/>
            <w:vAlign w:val="bottom"/>
            <w:hideMark/>
          </w:tcPr>
          <w:p>
            <w:pPr>
              <w:spacing w:before="0" w:after="0"/>
              <w:jc w:val="right"/>
              <w:rPr>
                <w:i/>
                <w:iCs/>
                <w:noProof/>
                <w:sz w:val="18"/>
                <w:szCs w:val="18"/>
              </w:rPr>
            </w:pPr>
            <w:r>
              <w:rPr>
                <w:i/>
                <w:iCs/>
                <w:noProof/>
                <w:sz w:val="18"/>
                <w:szCs w:val="18"/>
              </w:rPr>
              <w:t>144</w:t>
            </w:r>
          </w:p>
        </w:tc>
        <w:tc>
          <w:tcPr>
            <w:tcW w:w="819" w:type="dxa"/>
            <w:tcBorders>
              <w:top w:val="nil"/>
              <w:left w:val="nil"/>
              <w:bottom w:val="nil"/>
              <w:right w:val="single" w:sz="4" w:space="0" w:color="auto"/>
            </w:tcBorders>
            <w:shd w:val="clear" w:color="auto" w:fill="auto"/>
            <w:noWrap/>
            <w:vAlign w:val="bottom"/>
            <w:hideMark/>
          </w:tcPr>
          <w:p>
            <w:pPr>
              <w:spacing w:before="0" w:after="0"/>
              <w:jc w:val="right"/>
              <w:rPr>
                <w:i/>
                <w:iCs/>
                <w:noProof/>
                <w:sz w:val="18"/>
                <w:szCs w:val="18"/>
              </w:rPr>
            </w:pPr>
            <w:r>
              <w:rPr>
                <w:i/>
                <w:iCs/>
                <w:noProof/>
                <w:sz w:val="18"/>
                <w:szCs w:val="18"/>
              </w:rPr>
              <w:t>175</w:t>
            </w:r>
          </w:p>
        </w:tc>
        <w:tc>
          <w:tcPr>
            <w:tcW w:w="841" w:type="dxa"/>
            <w:tcBorders>
              <w:top w:val="nil"/>
              <w:left w:val="nil"/>
              <w:bottom w:val="nil"/>
              <w:right w:val="single" w:sz="4" w:space="0" w:color="auto"/>
            </w:tcBorders>
            <w:shd w:val="clear" w:color="auto" w:fill="auto"/>
            <w:noWrap/>
            <w:vAlign w:val="bottom"/>
            <w:hideMark/>
          </w:tcPr>
          <w:p>
            <w:pPr>
              <w:spacing w:before="0" w:after="0"/>
              <w:jc w:val="right"/>
              <w:rPr>
                <w:b/>
                <w:bCs/>
                <w:i/>
                <w:iCs/>
                <w:noProof/>
                <w:sz w:val="18"/>
                <w:szCs w:val="18"/>
              </w:rPr>
            </w:pPr>
            <w:r>
              <w:rPr>
                <w:b/>
                <w:bCs/>
                <w:i/>
                <w:iCs/>
                <w:noProof/>
                <w:sz w:val="18"/>
                <w:szCs w:val="18"/>
              </w:rPr>
              <w:t>608</w:t>
            </w:r>
          </w:p>
        </w:tc>
      </w:tr>
      <w:tr>
        <w:trPr>
          <w:trHeight w:val="240"/>
          <w:jc w:val="center"/>
        </w:trPr>
        <w:tc>
          <w:tcPr>
            <w:tcW w:w="3020" w:type="dxa"/>
            <w:tcBorders>
              <w:top w:val="nil"/>
              <w:left w:val="single" w:sz="4" w:space="0" w:color="auto"/>
              <w:bottom w:val="nil"/>
              <w:right w:val="single" w:sz="4" w:space="0" w:color="auto"/>
            </w:tcBorders>
            <w:shd w:val="clear" w:color="auto" w:fill="auto"/>
            <w:noWrap/>
            <w:vAlign w:val="bottom"/>
            <w:hideMark/>
          </w:tcPr>
          <w:p>
            <w:pPr>
              <w:spacing w:before="0" w:after="0"/>
              <w:jc w:val="left"/>
              <w:rPr>
                <w:i/>
                <w:iCs/>
                <w:noProof/>
                <w:sz w:val="18"/>
                <w:szCs w:val="18"/>
              </w:rPr>
            </w:pPr>
            <w:r>
              <w:rPr>
                <w:i/>
                <w:iCs/>
                <w:noProof/>
                <w:sz w:val="18"/>
                <w:szCs w:val="18"/>
              </w:rPr>
              <w:t>Увеличени със сумата, която не може да се пренася, по ФСЕС</w:t>
            </w:r>
          </w:p>
        </w:tc>
        <w:tc>
          <w:tcPr>
            <w:tcW w:w="889" w:type="dxa"/>
            <w:tcBorders>
              <w:top w:val="nil"/>
              <w:left w:val="nil"/>
              <w:bottom w:val="nil"/>
              <w:right w:val="single" w:sz="4" w:space="0" w:color="auto"/>
            </w:tcBorders>
            <w:shd w:val="clear" w:color="000000" w:fill="D9D9D9"/>
            <w:noWrap/>
            <w:vAlign w:val="bottom"/>
            <w:hideMark/>
          </w:tcPr>
          <w:p>
            <w:pPr>
              <w:spacing w:before="0" w:after="0"/>
              <w:jc w:val="left"/>
              <w:rPr>
                <w:i/>
                <w:iCs/>
                <w:noProof/>
                <w:sz w:val="18"/>
                <w:szCs w:val="18"/>
              </w:rPr>
            </w:pPr>
            <w:r>
              <w:rPr>
                <w:i/>
                <w:iCs/>
                <w:noProof/>
                <w:sz w:val="18"/>
                <w:szCs w:val="18"/>
              </w:rPr>
              <w:t> </w:t>
            </w:r>
          </w:p>
        </w:tc>
        <w:tc>
          <w:tcPr>
            <w:tcW w:w="867" w:type="dxa"/>
            <w:tcBorders>
              <w:top w:val="nil"/>
              <w:left w:val="nil"/>
              <w:bottom w:val="nil"/>
              <w:right w:val="single" w:sz="4" w:space="0" w:color="auto"/>
            </w:tcBorders>
            <w:shd w:val="clear" w:color="000000" w:fill="D9D9D9"/>
            <w:noWrap/>
            <w:vAlign w:val="bottom"/>
            <w:hideMark/>
          </w:tcPr>
          <w:p>
            <w:pPr>
              <w:spacing w:before="0" w:after="0"/>
              <w:jc w:val="left"/>
              <w:rPr>
                <w:i/>
                <w:iCs/>
                <w:noProof/>
                <w:sz w:val="18"/>
                <w:szCs w:val="18"/>
              </w:rPr>
            </w:pPr>
            <w:r>
              <w:rPr>
                <w:i/>
                <w:iCs/>
                <w:noProof/>
                <w:sz w:val="18"/>
                <w:szCs w:val="18"/>
              </w:rPr>
              <w:t> </w:t>
            </w:r>
          </w:p>
        </w:tc>
        <w:tc>
          <w:tcPr>
            <w:tcW w:w="867" w:type="dxa"/>
            <w:tcBorders>
              <w:top w:val="nil"/>
              <w:left w:val="nil"/>
              <w:bottom w:val="nil"/>
              <w:right w:val="single" w:sz="4" w:space="0" w:color="auto"/>
            </w:tcBorders>
            <w:shd w:val="clear" w:color="000000" w:fill="D9D9D9"/>
            <w:noWrap/>
            <w:vAlign w:val="bottom"/>
            <w:hideMark/>
          </w:tcPr>
          <w:p>
            <w:pPr>
              <w:spacing w:before="0" w:after="0"/>
              <w:jc w:val="left"/>
              <w:rPr>
                <w:i/>
                <w:iCs/>
                <w:noProof/>
                <w:sz w:val="18"/>
                <w:szCs w:val="18"/>
              </w:rPr>
            </w:pPr>
            <w:r>
              <w:rPr>
                <w:i/>
                <w:iCs/>
                <w:noProof/>
                <w:sz w:val="18"/>
                <w:szCs w:val="18"/>
              </w:rPr>
              <w:t> </w:t>
            </w:r>
          </w:p>
        </w:tc>
        <w:tc>
          <w:tcPr>
            <w:tcW w:w="745" w:type="dxa"/>
            <w:tcBorders>
              <w:top w:val="nil"/>
              <w:left w:val="nil"/>
              <w:bottom w:val="nil"/>
              <w:right w:val="single" w:sz="4" w:space="0" w:color="auto"/>
            </w:tcBorders>
            <w:shd w:val="clear" w:color="auto" w:fill="auto"/>
            <w:noWrap/>
            <w:vAlign w:val="bottom"/>
            <w:hideMark/>
          </w:tcPr>
          <w:p>
            <w:pPr>
              <w:spacing w:before="0" w:after="0"/>
              <w:jc w:val="right"/>
              <w:rPr>
                <w:i/>
                <w:iCs/>
                <w:noProof/>
                <w:sz w:val="18"/>
                <w:szCs w:val="18"/>
              </w:rPr>
            </w:pPr>
            <w:r>
              <w:rPr>
                <w:i/>
                <w:iCs/>
                <w:noProof/>
                <w:sz w:val="18"/>
                <w:szCs w:val="18"/>
              </w:rPr>
              <w:t>508</w:t>
            </w:r>
          </w:p>
        </w:tc>
        <w:tc>
          <w:tcPr>
            <w:tcW w:w="756" w:type="dxa"/>
            <w:tcBorders>
              <w:top w:val="nil"/>
              <w:left w:val="nil"/>
              <w:bottom w:val="nil"/>
              <w:right w:val="single" w:sz="4" w:space="0" w:color="auto"/>
            </w:tcBorders>
            <w:shd w:val="clear" w:color="auto" w:fill="auto"/>
            <w:noWrap/>
            <w:vAlign w:val="bottom"/>
            <w:hideMark/>
          </w:tcPr>
          <w:p>
            <w:pPr>
              <w:spacing w:before="0" w:after="0"/>
              <w:jc w:val="right"/>
              <w:rPr>
                <w:i/>
                <w:iCs/>
                <w:noProof/>
                <w:sz w:val="18"/>
                <w:szCs w:val="18"/>
              </w:rPr>
            </w:pPr>
            <w:r>
              <w:rPr>
                <w:i/>
                <w:iCs/>
                <w:noProof/>
                <w:sz w:val="18"/>
                <w:szCs w:val="18"/>
              </w:rPr>
              <w:t>0</w:t>
            </w:r>
          </w:p>
        </w:tc>
        <w:tc>
          <w:tcPr>
            <w:tcW w:w="796" w:type="dxa"/>
            <w:tcBorders>
              <w:top w:val="nil"/>
              <w:left w:val="nil"/>
              <w:bottom w:val="nil"/>
              <w:right w:val="single" w:sz="4" w:space="0" w:color="auto"/>
            </w:tcBorders>
            <w:shd w:val="clear" w:color="auto" w:fill="auto"/>
            <w:noWrap/>
            <w:vAlign w:val="bottom"/>
            <w:hideMark/>
          </w:tcPr>
          <w:p>
            <w:pPr>
              <w:spacing w:before="0" w:after="0"/>
              <w:jc w:val="right"/>
              <w:rPr>
                <w:i/>
                <w:iCs/>
                <w:noProof/>
                <w:sz w:val="18"/>
                <w:szCs w:val="18"/>
              </w:rPr>
            </w:pPr>
            <w:r>
              <w:rPr>
                <w:i/>
                <w:iCs/>
                <w:noProof/>
                <w:sz w:val="18"/>
                <w:szCs w:val="18"/>
              </w:rPr>
              <w:t>0</w:t>
            </w:r>
          </w:p>
        </w:tc>
        <w:tc>
          <w:tcPr>
            <w:tcW w:w="819" w:type="dxa"/>
            <w:tcBorders>
              <w:top w:val="nil"/>
              <w:left w:val="nil"/>
              <w:bottom w:val="nil"/>
              <w:right w:val="single" w:sz="4" w:space="0" w:color="auto"/>
            </w:tcBorders>
            <w:shd w:val="clear" w:color="auto" w:fill="auto"/>
            <w:noWrap/>
            <w:vAlign w:val="bottom"/>
            <w:hideMark/>
          </w:tcPr>
          <w:p>
            <w:pPr>
              <w:spacing w:before="0" w:after="0"/>
              <w:jc w:val="right"/>
              <w:rPr>
                <w:i/>
                <w:iCs/>
                <w:noProof/>
                <w:sz w:val="18"/>
                <w:szCs w:val="18"/>
              </w:rPr>
            </w:pPr>
            <w:r>
              <w:rPr>
                <w:i/>
                <w:iCs/>
                <w:noProof/>
                <w:sz w:val="18"/>
                <w:szCs w:val="18"/>
              </w:rPr>
              <w:t>0</w:t>
            </w:r>
          </w:p>
        </w:tc>
        <w:tc>
          <w:tcPr>
            <w:tcW w:w="841" w:type="dxa"/>
            <w:tcBorders>
              <w:top w:val="nil"/>
              <w:left w:val="nil"/>
              <w:bottom w:val="nil"/>
              <w:right w:val="single" w:sz="4" w:space="0" w:color="auto"/>
            </w:tcBorders>
            <w:shd w:val="clear" w:color="auto" w:fill="auto"/>
            <w:noWrap/>
            <w:vAlign w:val="bottom"/>
            <w:hideMark/>
          </w:tcPr>
          <w:p>
            <w:pPr>
              <w:spacing w:before="0" w:after="0"/>
              <w:jc w:val="right"/>
              <w:rPr>
                <w:b/>
                <w:bCs/>
                <w:i/>
                <w:iCs/>
                <w:noProof/>
                <w:sz w:val="18"/>
                <w:szCs w:val="18"/>
              </w:rPr>
            </w:pPr>
            <w:r>
              <w:rPr>
                <w:b/>
                <w:bCs/>
                <w:i/>
                <w:iCs/>
                <w:noProof/>
                <w:sz w:val="18"/>
                <w:szCs w:val="18"/>
              </w:rPr>
              <w:t>508</w:t>
            </w:r>
          </w:p>
        </w:tc>
      </w:tr>
      <w:tr>
        <w:trPr>
          <w:trHeight w:val="240"/>
          <w:jc w:val="center"/>
        </w:trPr>
        <w:tc>
          <w:tcPr>
            <w:tcW w:w="3020" w:type="dxa"/>
            <w:tcBorders>
              <w:top w:val="nil"/>
              <w:left w:val="single" w:sz="4" w:space="0" w:color="auto"/>
              <w:bottom w:val="nil"/>
              <w:right w:val="single" w:sz="4" w:space="0" w:color="auto"/>
            </w:tcBorders>
            <w:shd w:val="clear" w:color="auto" w:fill="auto"/>
            <w:noWrap/>
            <w:vAlign w:val="bottom"/>
            <w:hideMark/>
          </w:tcPr>
          <w:p>
            <w:pPr>
              <w:spacing w:before="0" w:after="0"/>
              <w:jc w:val="left"/>
              <w:rPr>
                <w:noProof/>
                <w:sz w:val="18"/>
                <w:szCs w:val="18"/>
              </w:rPr>
            </w:pPr>
            <w:r>
              <w:rPr>
                <w:noProof/>
                <w:sz w:val="18"/>
                <w:szCs w:val="18"/>
              </w:rPr>
              <w:t>Годишно използване</w:t>
            </w:r>
          </w:p>
        </w:tc>
        <w:tc>
          <w:tcPr>
            <w:tcW w:w="889"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89,3</w:t>
            </w:r>
          </w:p>
        </w:tc>
        <w:tc>
          <w:tcPr>
            <w:tcW w:w="867"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149,4</w:t>
            </w:r>
          </w:p>
        </w:tc>
        <w:tc>
          <w:tcPr>
            <w:tcW w:w="867"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1 530,0</w:t>
            </w:r>
          </w:p>
        </w:tc>
        <w:tc>
          <w:tcPr>
            <w:tcW w:w="745"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805,0</w:t>
            </w:r>
          </w:p>
        </w:tc>
        <w:tc>
          <w:tcPr>
            <w:tcW w:w="756"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837,2</w:t>
            </w:r>
          </w:p>
        </w:tc>
        <w:tc>
          <w:tcPr>
            <w:tcW w:w="796"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1 164,3</w:t>
            </w:r>
          </w:p>
        </w:tc>
        <w:tc>
          <w:tcPr>
            <w:tcW w:w="819"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778,1</w:t>
            </w:r>
          </w:p>
        </w:tc>
        <w:tc>
          <w:tcPr>
            <w:tcW w:w="841" w:type="dxa"/>
            <w:tcBorders>
              <w:top w:val="nil"/>
              <w:left w:val="nil"/>
              <w:bottom w:val="nil"/>
              <w:right w:val="single" w:sz="4" w:space="0" w:color="auto"/>
            </w:tcBorders>
            <w:shd w:val="clear" w:color="auto" w:fill="auto"/>
            <w:noWrap/>
            <w:vAlign w:val="bottom"/>
            <w:hideMark/>
          </w:tcPr>
          <w:p>
            <w:pPr>
              <w:spacing w:before="0" w:after="0"/>
              <w:jc w:val="right"/>
              <w:rPr>
                <w:b/>
                <w:bCs/>
                <w:noProof/>
                <w:sz w:val="18"/>
                <w:szCs w:val="18"/>
              </w:rPr>
            </w:pPr>
            <w:r>
              <w:rPr>
                <w:b/>
                <w:bCs/>
                <w:noProof/>
                <w:sz w:val="18"/>
                <w:szCs w:val="18"/>
              </w:rPr>
              <w:t>5 353,4</w:t>
            </w:r>
          </w:p>
        </w:tc>
      </w:tr>
      <w:tr>
        <w:trPr>
          <w:trHeight w:val="240"/>
          <w:jc w:val="center"/>
        </w:trPr>
        <w:tc>
          <w:tcPr>
            <w:tcW w:w="3020" w:type="dxa"/>
            <w:tcBorders>
              <w:top w:val="nil"/>
              <w:left w:val="single" w:sz="4" w:space="0" w:color="auto"/>
              <w:bottom w:val="nil"/>
              <w:right w:val="single" w:sz="4" w:space="0" w:color="auto"/>
            </w:tcBorders>
            <w:shd w:val="clear" w:color="auto" w:fill="auto"/>
            <w:noWrap/>
            <w:vAlign w:val="bottom"/>
            <w:hideMark/>
          </w:tcPr>
          <w:p>
            <w:pPr>
              <w:spacing w:before="0" w:after="0"/>
              <w:jc w:val="left"/>
              <w:rPr>
                <w:noProof/>
                <w:sz w:val="18"/>
                <w:szCs w:val="18"/>
              </w:rPr>
            </w:pPr>
            <w:r>
              <w:rPr>
                <w:noProof/>
                <w:sz w:val="18"/>
                <w:szCs w:val="18"/>
              </w:rPr>
              <w:t>Пренесени в следващата година</w:t>
            </w:r>
          </w:p>
        </w:tc>
        <w:tc>
          <w:tcPr>
            <w:tcW w:w="889"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686,7</w:t>
            </w:r>
          </w:p>
        </w:tc>
        <w:tc>
          <w:tcPr>
            <w:tcW w:w="867"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1 010,0</w:t>
            </w:r>
          </w:p>
        </w:tc>
        <w:tc>
          <w:tcPr>
            <w:tcW w:w="867"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0,0</w:t>
            </w:r>
          </w:p>
        </w:tc>
        <w:tc>
          <w:tcPr>
            <w:tcW w:w="745"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517,0</w:t>
            </w:r>
          </w:p>
        </w:tc>
        <w:tc>
          <w:tcPr>
            <w:tcW w:w="756"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519,8</w:t>
            </w:r>
          </w:p>
        </w:tc>
        <w:tc>
          <w:tcPr>
            <w:tcW w:w="796"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202,4</w:t>
            </w:r>
          </w:p>
        </w:tc>
        <w:tc>
          <w:tcPr>
            <w:tcW w:w="819"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0,0</w:t>
            </w:r>
          </w:p>
        </w:tc>
        <w:tc>
          <w:tcPr>
            <w:tcW w:w="841" w:type="dxa"/>
            <w:tcBorders>
              <w:top w:val="nil"/>
              <w:left w:val="nil"/>
              <w:bottom w:val="nil"/>
              <w:right w:val="single" w:sz="4" w:space="0" w:color="auto"/>
            </w:tcBorders>
            <w:shd w:val="clear" w:color="auto" w:fill="auto"/>
            <w:noWrap/>
            <w:vAlign w:val="bottom"/>
            <w:hideMark/>
          </w:tcPr>
          <w:p>
            <w:pPr>
              <w:spacing w:before="0" w:after="0"/>
              <w:jc w:val="left"/>
              <w:rPr>
                <w:b/>
                <w:bCs/>
                <w:noProof/>
                <w:sz w:val="18"/>
                <w:szCs w:val="18"/>
              </w:rPr>
            </w:pPr>
            <w:r>
              <w:rPr>
                <w:b/>
                <w:bCs/>
                <w:noProof/>
                <w:sz w:val="18"/>
                <w:szCs w:val="18"/>
              </w:rPr>
              <w:t> </w:t>
            </w:r>
          </w:p>
        </w:tc>
      </w:tr>
      <w:tr>
        <w:trPr>
          <w:trHeight w:val="240"/>
          <w:jc w:val="center"/>
        </w:trPr>
        <w:tc>
          <w:tcPr>
            <w:tcW w:w="3020" w:type="dxa"/>
            <w:tcBorders>
              <w:top w:val="nil"/>
              <w:left w:val="single" w:sz="4" w:space="0" w:color="auto"/>
              <w:bottom w:val="nil"/>
              <w:right w:val="single" w:sz="4" w:space="0" w:color="auto"/>
            </w:tcBorders>
            <w:shd w:val="clear" w:color="auto" w:fill="auto"/>
            <w:noWrap/>
            <w:vAlign w:val="bottom"/>
            <w:hideMark/>
          </w:tcPr>
          <w:p>
            <w:pPr>
              <w:spacing w:before="0" w:after="0"/>
              <w:jc w:val="left"/>
              <w:rPr>
                <w:noProof/>
                <w:sz w:val="18"/>
                <w:szCs w:val="18"/>
              </w:rPr>
            </w:pPr>
            <w:r>
              <w:rPr>
                <w:noProof/>
                <w:sz w:val="18"/>
                <w:szCs w:val="18"/>
              </w:rPr>
              <w:t>Налични</w:t>
            </w:r>
          </w:p>
        </w:tc>
        <w:tc>
          <w:tcPr>
            <w:tcW w:w="889"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0,0</w:t>
            </w:r>
          </w:p>
        </w:tc>
        <w:tc>
          <w:tcPr>
            <w:tcW w:w="867"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0,0</w:t>
            </w:r>
          </w:p>
        </w:tc>
        <w:tc>
          <w:tcPr>
            <w:tcW w:w="867"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0,0</w:t>
            </w:r>
          </w:p>
        </w:tc>
        <w:tc>
          <w:tcPr>
            <w:tcW w:w="745"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0,0</w:t>
            </w:r>
          </w:p>
        </w:tc>
        <w:tc>
          <w:tcPr>
            <w:tcW w:w="756"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0,0</w:t>
            </w:r>
          </w:p>
        </w:tc>
        <w:tc>
          <w:tcPr>
            <w:tcW w:w="796"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0,0</w:t>
            </w:r>
          </w:p>
        </w:tc>
        <w:tc>
          <w:tcPr>
            <w:tcW w:w="819"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316,3</w:t>
            </w:r>
          </w:p>
        </w:tc>
        <w:tc>
          <w:tcPr>
            <w:tcW w:w="841" w:type="dxa"/>
            <w:tcBorders>
              <w:top w:val="nil"/>
              <w:left w:val="nil"/>
              <w:bottom w:val="nil"/>
              <w:right w:val="single" w:sz="4" w:space="0" w:color="auto"/>
            </w:tcBorders>
            <w:shd w:val="clear" w:color="auto" w:fill="auto"/>
            <w:noWrap/>
            <w:vAlign w:val="bottom"/>
            <w:hideMark/>
          </w:tcPr>
          <w:p>
            <w:pPr>
              <w:spacing w:before="0" w:after="0"/>
              <w:jc w:val="right"/>
              <w:rPr>
                <w:b/>
                <w:bCs/>
                <w:noProof/>
                <w:sz w:val="18"/>
                <w:szCs w:val="18"/>
              </w:rPr>
            </w:pPr>
            <w:r>
              <w:rPr>
                <w:b/>
                <w:bCs/>
                <w:noProof/>
                <w:sz w:val="18"/>
                <w:szCs w:val="18"/>
              </w:rPr>
              <w:t>316,3</w:t>
            </w:r>
          </w:p>
        </w:tc>
      </w:tr>
      <w:tr>
        <w:trPr>
          <w:trHeight w:val="240"/>
          <w:jc w:val="center"/>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i/>
                <w:iCs/>
                <w:noProof/>
                <w:sz w:val="18"/>
                <w:szCs w:val="18"/>
              </w:rPr>
            </w:pPr>
            <w:r>
              <w:rPr>
                <w:i/>
                <w:iCs/>
                <w:noProof/>
                <w:sz w:val="18"/>
                <w:szCs w:val="18"/>
              </w:rPr>
              <w:t>Изгубили сила преноси</w:t>
            </w:r>
          </w:p>
        </w:tc>
        <w:tc>
          <w:tcPr>
            <w:tcW w:w="889" w:type="dxa"/>
            <w:tcBorders>
              <w:top w:val="nil"/>
              <w:left w:val="nil"/>
              <w:bottom w:val="single" w:sz="4" w:space="0" w:color="auto"/>
              <w:right w:val="single" w:sz="4" w:space="0" w:color="auto"/>
            </w:tcBorders>
            <w:shd w:val="clear" w:color="auto" w:fill="auto"/>
            <w:noWrap/>
            <w:vAlign w:val="bottom"/>
            <w:hideMark/>
          </w:tcPr>
          <w:p>
            <w:pPr>
              <w:spacing w:before="0" w:after="0"/>
              <w:jc w:val="right"/>
              <w:rPr>
                <w:i/>
                <w:iCs/>
                <w:noProof/>
                <w:sz w:val="18"/>
                <w:szCs w:val="18"/>
              </w:rPr>
            </w:pPr>
            <w:r>
              <w:rPr>
                <w:i/>
                <w:iCs/>
                <w:noProof/>
                <w:sz w:val="18"/>
                <w:szCs w:val="18"/>
              </w:rPr>
              <w:t>0,0</w:t>
            </w:r>
          </w:p>
        </w:tc>
        <w:tc>
          <w:tcPr>
            <w:tcW w:w="867" w:type="dxa"/>
            <w:tcBorders>
              <w:top w:val="nil"/>
              <w:left w:val="nil"/>
              <w:bottom w:val="single" w:sz="4" w:space="0" w:color="auto"/>
              <w:right w:val="single" w:sz="4" w:space="0" w:color="auto"/>
            </w:tcBorders>
            <w:shd w:val="clear" w:color="auto" w:fill="auto"/>
            <w:noWrap/>
            <w:vAlign w:val="bottom"/>
            <w:hideMark/>
          </w:tcPr>
          <w:p>
            <w:pPr>
              <w:spacing w:before="0" w:after="0"/>
              <w:jc w:val="right"/>
              <w:rPr>
                <w:i/>
                <w:iCs/>
                <w:noProof/>
                <w:sz w:val="18"/>
                <w:szCs w:val="18"/>
              </w:rPr>
            </w:pPr>
            <w:r>
              <w:rPr>
                <w:i/>
                <w:iCs/>
                <w:noProof/>
                <w:sz w:val="18"/>
                <w:szCs w:val="18"/>
              </w:rPr>
              <w:t>37,2</w:t>
            </w:r>
          </w:p>
        </w:tc>
        <w:tc>
          <w:tcPr>
            <w:tcW w:w="867" w:type="dxa"/>
            <w:tcBorders>
              <w:top w:val="nil"/>
              <w:left w:val="nil"/>
              <w:bottom w:val="single" w:sz="4" w:space="0" w:color="auto"/>
              <w:right w:val="single" w:sz="4" w:space="0" w:color="auto"/>
            </w:tcBorders>
            <w:shd w:val="clear" w:color="auto" w:fill="auto"/>
            <w:noWrap/>
            <w:vAlign w:val="bottom"/>
            <w:hideMark/>
          </w:tcPr>
          <w:p>
            <w:pPr>
              <w:spacing w:before="0" w:after="0"/>
              <w:jc w:val="right"/>
              <w:rPr>
                <w:i/>
                <w:iCs/>
                <w:noProof/>
                <w:sz w:val="18"/>
                <w:szCs w:val="18"/>
              </w:rPr>
            </w:pPr>
            <w:r>
              <w:rPr>
                <w:i/>
                <w:iCs/>
                <w:noProof/>
                <w:sz w:val="18"/>
                <w:szCs w:val="18"/>
              </w:rPr>
              <w:t>0,0</w:t>
            </w:r>
          </w:p>
        </w:tc>
        <w:tc>
          <w:tcPr>
            <w:tcW w:w="745" w:type="dxa"/>
            <w:tcBorders>
              <w:top w:val="nil"/>
              <w:left w:val="nil"/>
              <w:bottom w:val="single" w:sz="4" w:space="0" w:color="auto"/>
              <w:right w:val="single" w:sz="4" w:space="0" w:color="auto"/>
            </w:tcBorders>
            <w:shd w:val="clear" w:color="auto" w:fill="auto"/>
            <w:noWrap/>
            <w:vAlign w:val="bottom"/>
            <w:hideMark/>
          </w:tcPr>
          <w:p>
            <w:pPr>
              <w:spacing w:before="0" w:after="0"/>
              <w:jc w:val="right"/>
              <w:rPr>
                <w:i/>
                <w:iCs/>
                <w:noProof/>
                <w:sz w:val="18"/>
                <w:szCs w:val="18"/>
              </w:rPr>
            </w:pPr>
            <w:r>
              <w:rPr>
                <w:i/>
                <w:iCs/>
                <w:noProof/>
                <w:sz w:val="18"/>
                <w:szCs w:val="18"/>
              </w:rPr>
              <w:t>0,0</w:t>
            </w:r>
          </w:p>
        </w:tc>
        <w:tc>
          <w:tcPr>
            <w:tcW w:w="756" w:type="dxa"/>
            <w:tcBorders>
              <w:top w:val="nil"/>
              <w:left w:val="nil"/>
              <w:bottom w:val="single" w:sz="4" w:space="0" w:color="auto"/>
              <w:right w:val="single" w:sz="4" w:space="0" w:color="auto"/>
            </w:tcBorders>
            <w:shd w:val="clear" w:color="auto" w:fill="auto"/>
            <w:noWrap/>
            <w:vAlign w:val="bottom"/>
            <w:hideMark/>
          </w:tcPr>
          <w:p>
            <w:pPr>
              <w:spacing w:before="0" w:after="0"/>
              <w:jc w:val="right"/>
              <w:rPr>
                <w:i/>
                <w:iCs/>
                <w:noProof/>
                <w:sz w:val="18"/>
                <w:szCs w:val="18"/>
              </w:rPr>
            </w:pPr>
            <w:r>
              <w:rPr>
                <w:i/>
                <w:iCs/>
                <w:noProof/>
                <w:sz w:val="18"/>
                <w:szCs w:val="18"/>
              </w:rPr>
              <w:t>0,0</w:t>
            </w:r>
          </w:p>
        </w:tc>
        <w:tc>
          <w:tcPr>
            <w:tcW w:w="796" w:type="dxa"/>
            <w:tcBorders>
              <w:top w:val="nil"/>
              <w:left w:val="nil"/>
              <w:bottom w:val="single" w:sz="4" w:space="0" w:color="auto"/>
              <w:right w:val="single" w:sz="4" w:space="0" w:color="auto"/>
            </w:tcBorders>
            <w:shd w:val="clear" w:color="auto" w:fill="auto"/>
            <w:noWrap/>
            <w:vAlign w:val="bottom"/>
            <w:hideMark/>
          </w:tcPr>
          <w:p>
            <w:pPr>
              <w:spacing w:before="0" w:after="0"/>
              <w:jc w:val="right"/>
              <w:rPr>
                <w:i/>
                <w:iCs/>
                <w:noProof/>
                <w:sz w:val="18"/>
                <w:szCs w:val="18"/>
              </w:rPr>
            </w:pPr>
            <w:r>
              <w:rPr>
                <w:i/>
                <w:iCs/>
                <w:noProof/>
                <w:sz w:val="18"/>
                <w:szCs w:val="18"/>
              </w:rPr>
              <w:t>0,0</w:t>
            </w:r>
          </w:p>
        </w:tc>
        <w:tc>
          <w:tcPr>
            <w:tcW w:w="819" w:type="dxa"/>
            <w:tcBorders>
              <w:top w:val="nil"/>
              <w:left w:val="nil"/>
              <w:bottom w:val="single" w:sz="4" w:space="0" w:color="auto"/>
              <w:right w:val="single" w:sz="4" w:space="0" w:color="auto"/>
            </w:tcBorders>
            <w:shd w:val="clear" w:color="auto" w:fill="auto"/>
            <w:noWrap/>
            <w:vAlign w:val="bottom"/>
            <w:hideMark/>
          </w:tcPr>
          <w:p>
            <w:pPr>
              <w:spacing w:before="0" w:after="0"/>
              <w:jc w:val="right"/>
              <w:rPr>
                <w:i/>
                <w:iCs/>
                <w:noProof/>
                <w:sz w:val="18"/>
                <w:szCs w:val="18"/>
              </w:rPr>
            </w:pPr>
            <w:r>
              <w:rPr>
                <w:i/>
                <w:iCs/>
                <w:noProof/>
                <w:sz w:val="18"/>
                <w:szCs w:val="18"/>
              </w:rPr>
              <w:t>0,0</w:t>
            </w:r>
          </w:p>
        </w:tc>
        <w:tc>
          <w:tcPr>
            <w:tcW w:w="841" w:type="dxa"/>
            <w:tcBorders>
              <w:top w:val="nil"/>
              <w:left w:val="nil"/>
              <w:bottom w:val="single" w:sz="4" w:space="0" w:color="auto"/>
              <w:right w:val="single" w:sz="4" w:space="0" w:color="auto"/>
            </w:tcBorders>
            <w:shd w:val="clear" w:color="auto" w:fill="auto"/>
            <w:noWrap/>
            <w:vAlign w:val="bottom"/>
            <w:hideMark/>
          </w:tcPr>
          <w:p>
            <w:pPr>
              <w:spacing w:before="0" w:after="0"/>
              <w:jc w:val="right"/>
              <w:rPr>
                <w:b/>
                <w:bCs/>
                <w:i/>
                <w:iCs/>
                <w:noProof/>
                <w:sz w:val="18"/>
                <w:szCs w:val="18"/>
              </w:rPr>
            </w:pPr>
            <w:r>
              <w:rPr>
                <w:b/>
                <w:bCs/>
                <w:i/>
                <w:iCs/>
                <w:noProof/>
                <w:sz w:val="18"/>
                <w:szCs w:val="18"/>
              </w:rPr>
              <w:t>37,2</w:t>
            </w:r>
          </w:p>
        </w:tc>
      </w:tr>
    </w:tbl>
    <w:p>
      <w:pPr>
        <w:pStyle w:val="ManualHeading2"/>
        <w:rPr>
          <w:noProof/>
        </w:rPr>
      </w:pPr>
      <w:r>
        <w:rPr>
          <w:noProof/>
        </w:rPr>
        <w:t>3.4.</w:t>
      </w:r>
      <w:r>
        <w:rPr>
          <w:noProof/>
        </w:rPr>
        <w:tab/>
        <w:t>Европейски фонд за приспособяване към глобализацията (ЕФПГ)</w:t>
      </w:r>
    </w:p>
    <w:p>
      <w:pPr>
        <w:pStyle w:val="Text1"/>
        <w:rPr>
          <w:noProof/>
        </w:rPr>
      </w:pPr>
      <w:r>
        <w:rPr>
          <w:noProof/>
        </w:rPr>
        <w:t xml:space="preserve">Съгласно член 12 от Регламента за МФР </w:t>
      </w:r>
      <w:r>
        <w:rPr>
          <w:i/>
          <w:noProof/>
        </w:rPr>
        <w:t>Европейският фонд за приспособяване към глобализацията</w:t>
      </w:r>
      <w:r>
        <w:rPr>
          <w:noProof/>
        </w:rPr>
        <w:t xml:space="preserve"> може да бъде мобилизиран за сума в размер на максимум 150 милиона евро годишно по цени от 2011 г., или 179,3 милиона евро през 2020 г. по текущи цени (1 183,4 милиона евро за целия период по текущи цени). Неусвоените суми от предходната година не могат да се пренасят. Сумата от 175,1 милиона евро, за която възможността за пренасяне изтече в края на 2019 г., се използва за увеличаване на Инструмента за гъвкавост през 2020 г.</w:t>
      </w:r>
    </w:p>
    <w:p>
      <w:pPr>
        <w:pStyle w:val="Text1"/>
        <w:rPr>
          <w:noProof/>
        </w:rPr>
      </w:pPr>
      <w:r>
        <w:rPr>
          <w:noProof/>
        </w:rPr>
        <w:t xml:space="preserve">Таблицата по-долу съдържа информация за годишните наличности и използването на ЕФПГ от 2014 г. насам: </w:t>
      </w:r>
    </w:p>
    <w:tbl>
      <w:tblPr>
        <w:tblW w:w="9505" w:type="dxa"/>
        <w:jc w:val="center"/>
        <w:tblCellMar>
          <w:left w:w="70" w:type="dxa"/>
          <w:right w:w="70" w:type="dxa"/>
        </w:tblCellMar>
        <w:tblLook w:val="04A0" w:firstRow="1" w:lastRow="0" w:firstColumn="1" w:lastColumn="0" w:noHBand="0" w:noVBand="1"/>
      </w:tblPr>
      <w:tblGrid>
        <w:gridCol w:w="2603"/>
        <w:gridCol w:w="817"/>
        <w:gridCol w:w="870"/>
        <w:gridCol w:w="821"/>
        <w:gridCol w:w="876"/>
        <w:gridCol w:w="766"/>
        <w:gridCol w:w="878"/>
        <w:gridCol w:w="905"/>
        <w:gridCol w:w="969"/>
      </w:tblGrid>
      <w:tr>
        <w:trPr>
          <w:trHeight w:val="240"/>
          <w:jc w:val="center"/>
        </w:trPr>
        <w:tc>
          <w:tcPr>
            <w:tcW w:w="9505"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pPr>
              <w:spacing w:before="0" w:after="0"/>
              <w:jc w:val="center"/>
              <w:rPr>
                <w:b/>
                <w:bCs/>
                <w:noProof/>
                <w:sz w:val="18"/>
                <w:szCs w:val="18"/>
              </w:rPr>
            </w:pPr>
            <w:r>
              <w:rPr>
                <w:b/>
                <w:bCs/>
                <w:noProof/>
                <w:sz w:val="18"/>
                <w:szCs w:val="18"/>
              </w:rPr>
              <w:t>Европейски фонд за приспособяване към глобализацията</w:t>
            </w:r>
          </w:p>
        </w:tc>
      </w:tr>
      <w:tr>
        <w:trPr>
          <w:trHeight w:val="240"/>
          <w:jc w:val="center"/>
        </w:trPr>
        <w:tc>
          <w:tcPr>
            <w:tcW w:w="9505"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pPr>
              <w:spacing w:before="0" w:after="0"/>
              <w:jc w:val="right"/>
              <w:rPr>
                <w:i/>
                <w:iCs/>
                <w:noProof/>
                <w:sz w:val="18"/>
                <w:szCs w:val="18"/>
              </w:rPr>
            </w:pPr>
            <w:r>
              <w:rPr>
                <w:i/>
                <w:iCs/>
                <w:noProof/>
                <w:sz w:val="18"/>
                <w:szCs w:val="18"/>
              </w:rPr>
              <w:t>(млн. евро)</w:t>
            </w:r>
          </w:p>
        </w:tc>
      </w:tr>
      <w:tr>
        <w:trPr>
          <w:trHeight w:val="240"/>
          <w:jc w:val="center"/>
        </w:trPr>
        <w:tc>
          <w:tcPr>
            <w:tcW w:w="2603" w:type="dxa"/>
            <w:tcBorders>
              <w:top w:val="nil"/>
              <w:left w:val="single" w:sz="4" w:space="0" w:color="auto"/>
              <w:bottom w:val="nil"/>
              <w:right w:val="single" w:sz="4" w:space="0" w:color="auto"/>
            </w:tcBorders>
            <w:shd w:val="clear" w:color="auto" w:fill="auto"/>
            <w:noWrap/>
            <w:vAlign w:val="bottom"/>
            <w:hideMark/>
          </w:tcPr>
          <w:p>
            <w:pPr>
              <w:spacing w:before="0" w:after="0"/>
              <w:jc w:val="left"/>
              <w:rPr>
                <w:noProof/>
                <w:sz w:val="18"/>
                <w:szCs w:val="18"/>
              </w:rPr>
            </w:pPr>
            <w:r>
              <w:rPr>
                <w:noProof/>
                <w:sz w:val="18"/>
                <w:szCs w:val="18"/>
              </w:rPr>
              <w:t> </w:t>
            </w:r>
          </w:p>
        </w:tc>
        <w:tc>
          <w:tcPr>
            <w:tcW w:w="817"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rPr>
            </w:pPr>
            <w:r>
              <w:rPr>
                <w:noProof/>
                <w:sz w:val="18"/>
                <w:szCs w:val="18"/>
              </w:rPr>
              <w:t>2014 г.</w:t>
            </w:r>
          </w:p>
        </w:tc>
        <w:tc>
          <w:tcPr>
            <w:tcW w:w="870"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rPr>
            </w:pPr>
            <w:r>
              <w:rPr>
                <w:noProof/>
                <w:sz w:val="18"/>
                <w:szCs w:val="18"/>
              </w:rPr>
              <w:t>2015 г.</w:t>
            </w:r>
          </w:p>
        </w:tc>
        <w:tc>
          <w:tcPr>
            <w:tcW w:w="821"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rPr>
            </w:pPr>
            <w:r>
              <w:rPr>
                <w:noProof/>
                <w:sz w:val="18"/>
                <w:szCs w:val="18"/>
              </w:rPr>
              <w:t>2016 г.</w:t>
            </w:r>
          </w:p>
        </w:tc>
        <w:tc>
          <w:tcPr>
            <w:tcW w:w="876"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rPr>
            </w:pPr>
            <w:r>
              <w:rPr>
                <w:noProof/>
                <w:sz w:val="18"/>
                <w:szCs w:val="18"/>
              </w:rPr>
              <w:t>2017 г.</w:t>
            </w:r>
          </w:p>
        </w:tc>
        <w:tc>
          <w:tcPr>
            <w:tcW w:w="766"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rPr>
            </w:pPr>
            <w:r>
              <w:rPr>
                <w:noProof/>
                <w:sz w:val="18"/>
                <w:szCs w:val="18"/>
              </w:rPr>
              <w:t>2018 г.</w:t>
            </w:r>
          </w:p>
        </w:tc>
        <w:tc>
          <w:tcPr>
            <w:tcW w:w="878"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rPr>
            </w:pPr>
            <w:r>
              <w:rPr>
                <w:noProof/>
                <w:sz w:val="18"/>
                <w:szCs w:val="18"/>
              </w:rPr>
              <w:t>2019 г.</w:t>
            </w:r>
          </w:p>
        </w:tc>
        <w:tc>
          <w:tcPr>
            <w:tcW w:w="905" w:type="dxa"/>
            <w:tcBorders>
              <w:top w:val="nil"/>
              <w:left w:val="nil"/>
              <w:bottom w:val="single" w:sz="4" w:space="0" w:color="auto"/>
              <w:right w:val="single" w:sz="4" w:space="0" w:color="auto"/>
            </w:tcBorders>
            <w:shd w:val="clear" w:color="auto" w:fill="auto"/>
            <w:noWrap/>
            <w:vAlign w:val="bottom"/>
            <w:hideMark/>
          </w:tcPr>
          <w:p>
            <w:pPr>
              <w:spacing w:before="0" w:after="0"/>
              <w:jc w:val="right"/>
              <w:rPr>
                <w:noProof/>
                <w:sz w:val="18"/>
                <w:szCs w:val="18"/>
              </w:rPr>
            </w:pPr>
            <w:r>
              <w:rPr>
                <w:noProof/>
                <w:sz w:val="18"/>
                <w:szCs w:val="18"/>
              </w:rPr>
              <w:t>2020 г.</w:t>
            </w:r>
          </w:p>
        </w:tc>
        <w:tc>
          <w:tcPr>
            <w:tcW w:w="969" w:type="dxa"/>
            <w:tcBorders>
              <w:top w:val="nil"/>
              <w:left w:val="nil"/>
              <w:bottom w:val="single" w:sz="4" w:space="0" w:color="auto"/>
              <w:right w:val="single" w:sz="4" w:space="0" w:color="auto"/>
            </w:tcBorders>
            <w:shd w:val="clear" w:color="auto" w:fill="auto"/>
            <w:noWrap/>
            <w:vAlign w:val="bottom"/>
            <w:hideMark/>
          </w:tcPr>
          <w:p>
            <w:pPr>
              <w:spacing w:before="0" w:after="0"/>
              <w:jc w:val="center"/>
              <w:rPr>
                <w:b/>
                <w:bCs/>
                <w:noProof/>
                <w:sz w:val="18"/>
                <w:szCs w:val="18"/>
              </w:rPr>
            </w:pPr>
            <w:r>
              <w:rPr>
                <w:b/>
                <w:bCs/>
                <w:noProof/>
                <w:sz w:val="18"/>
                <w:szCs w:val="18"/>
              </w:rPr>
              <w:t>Общо</w:t>
            </w:r>
          </w:p>
        </w:tc>
      </w:tr>
      <w:tr>
        <w:trPr>
          <w:trHeight w:val="240"/>
          <w:jc w:val="center"/>
        </w:trPr>
        <w:tc>
          <w:tcPr>
            <w:tcW w:w="2603" w:type="dxa"/>
            <w:tcBorders>
              <w:top w:val="nil"/>
              <w:left w:val="single" w:sz="4" w:space="0" w:color="auto"/>
              <w:bottom w:val="nil"/>
              <w:right w:val="single" w:sz="4" w:space="0" w:color="auto"/>
            </w:tcBorders>
            <w:shd w:val="clear" w:color="auto" w:fill="auto"/>
            <w:noWrap/>
            <w:vAlign w:val="bottom"/>
            <w:hideMark/>
          </w:tcPr>
          <w:p>
            <w:pPr>
              <w:spacing w:before="0" w:after="0"/>
              <w:jc w:val="left"/>
              <w:rPr>
                <w:noProof/>
                <w:sz w:val="18"/>
                <w:szCs w:val="18"/>
              </w:rPr>
            </w:pPr>
            <w:r>
              <w:rPr>
                <w:noProof/>
                <w:sz w:val="18"/>
                <w:szCs w:val="18"/>
              </w:rPr>
              <w:t>Годишни суми по цени от 2011 г.</w:t>
            </w:r>
          </w:p>
        </w:tc>
        <w:tc>
          <w:tcPr>
            <w:tcW w:w="817"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150</w:t>
            </w:r>
          </w:p>
        </w:tc>
        <w:tc>
          <w:tcPr>
            <w:tcW w:w="87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150</w:t>
            </w:r>
          </w:p>
        </w:tc>
        <w:tc>
          <w:tcPr>
            <w:tcW w:w="821"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150</w:t>
            </w:r>
          </w:p>
        </w:tc>
        <w:tc>
          <w:tcPr>
            <w:tcW w:w="876"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150</w:t>
            </w:r>
          </w:p>
        </w:tc>
        <w:tc>
          <w:tcPr>
            <w:tcW w:w="766"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150</w:t>
            </w:r>
          </w:p>
        </w:tc>
        <w:tc>
          <w:tcPr>
            <w:tcW w:w="878"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150</w:t>
            </w:r>
          </w:p>
        </w:tc>
        <w:tc>
          <w:tcPr>
            <w:tcW w:w="905"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150</w:t>
            </w:r>
          </w:p>
        </w:tc>
        <w:tc>
          <w:tcPr>
            <w:tcW w:w="969" w:type="dxa"/>
            <w:tcBorders>
              <w:top w:val="nil"/>
              <w:left w:val="nil"/>
              <w:bottom w:val="nil"/>
              <w:right w:val="single" w:sz="4" w:space="0" w:color="auto"/>
            </w:tcBorders>
            <w:shd w:val="clear" w:color="auto" w:fill="auto"/>
            <w:noWrap/>
            <w:vAlign w:val="bottom"/>
            <w:hideMark/>
          </w:tcPr>
          <w:p>
            <w:pPr>
              <w:spacing w:before="0" w:after="0"/>
              <w:jc w:val="right"/>
              <w:rPr>
                <w:b/>
                <w:bCs/>
                <w:noProof/>
                <w:sz w:val="18"/>
                <w:szCs w:val="18"/>
              </w:rPr>
            </w:pPr>
            <w:r>
              <w:rPr>
                <w:b/>
                <w:bCs/>
                <w:noProof/>
                <w:sz w:val="18"/>
                <w:szCs w:val="18"/>
              </w:rPr>
              <w:t>1 050</w:t>
            </w:r>
          </w:p>
        </w:tc>
      </w:tr>
      <w:tr>
        <w:trPr>
          <w:trHeight w:val="240"/>
          <w:jc w:val="center"/>
        </w:trPr>
        <w:tc>
          <w:tcPr>
            <w:tcW w:w="2603" w:type="dxa"/>
            <w:tcBorders>
              <w:top w:val="nil"/>
              <w:left w:val="single" w:sz="4" w:space="0" w:color="auto"/>
              <w:bottom w:val="nil"/>
              <w:right w:val="single" w:sz="4" w:space="0" w:color="auto"/>
            </w:tcBorders>
            <w:shd w:val="clear" w:color="auto" w:fill="auto"/>
            <w:noWrap/>
            <w:vAlign w:val="bottom"/>
            <w:hideMark/>
          </w:tcPr>
          <w:p>
            <w:pPr>
              <w:spacing w:before="0" w:after="0"/>
              <w:jc w:val="left"/>
              <w:rPr>
                <w:noProof/>
                <w:sz w:val="18"/>
                <w:szCs w:val="18"/>
              </w:rPr>
            </w:pPr>
            <w:r>
              <w:rPr>
                <w:noProof/>
                <w:sz w:val="18"/>
                <w:szCs w:val="18"/>
              </w:rPr>
              <w:t>Годишни суми по текущи цени</w:t>
            </w:r>
          </w:p>
        </w:tc>
        <w:tc>
          <w:tcPr>
            <w:tcW w:w="817"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159,2</w:t>
            </w:r>
          </w:p>
        </w:tc>
        <w:tc>
          <w:tcPr>
            <w:tcW w:w="87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162,4</w:t>
            </w:r>
          </w:p>
        </w:tc>
        <w:tc>
          <w:tcPr>
            <w:tcW w:w="821"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165,6</w:t>
            </w:r>
          </w:p>
        </w:tc>
        <w:tc>
          <w:tcPr>
            <w:tcW w:w="876"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168,9</w:t>
            </w:r>
          </w:p>
        </w:tc>
        <w:tc>
          <w:tcPr>
            <w:tcW w:w="766"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172,3</w:t>
            </w:r>
          </w:p>
        </w:tc>
        <w:tc>
          <w:tcPr>
            <w:tcW w:w="878"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175,7</w:t>
            </w:r>
          </w:p>
        </w:tc>
        <w:tc>
          <w:tcPr>
            <w:tcW w:w="905"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179,3</w:t>
            </w:r>
          </w:p>
        </w:tc>
        <w:tc>
          <w:tcPr>
            <w:tcW w:w="969" w:type="dxa"/>
            <w:tcBorders>
              <w:top w:val="nil"/>
              <w:left w:val="nil"/>
              <w:bottom w:val="nil"/>
              <w:right w:val="single" w:sz="4" w:space="0" w:color="auto"/>
            </w:tcBorders>
            <w:shd w:val="clear" w:color="auto" w:fill="auto"/>
            <w:noWrap/>
            <w:vAlign w:val="bottom"/>
            <w:hideMark/>
          </w:tcPr>
          <w:p>
            <w:pPr>
              <w:spacing w:before="0" w:after="0"/>
              <w:jc w:val="right"/>
              <w:rPr>
                <w:b/>
                <w:bCs/>
                <w:noProof/>
                <w:sz w:val="18"/>
                <w:szCs w:val="18"/>
              </w:rPr>
            </w:pPr>
            <w:r>
              <w:rPr>
                <w:b/>
                <w:bCs/>
                <w:noProof/>
                <w:sz w:val="18"/>
                <w:szCs w:val="18"/>
              </w:rPr>
              <w:t>1 183,4</w:t>
            </w:r>
          </w:p>
        </w:tc>
      </w:tr>
      <w:tr>
        <w:trPr>
          <w:trHeight w:val="240"/>
          <w:jc w:val="center"/>
        </w:trPr>
        <w:tc>
          <w:tcPr>
            <w:tcW w:w="2603" w:type="dxa"/>
            <w:tcBorders>
              <w:top w:val="nil"/>
              <w:left w:val="single" w:sz="4" w:space="0" w:color="auto"/>
              <w:bottom w:val="nil"/>
              <w:right w:val="single" w:sz="4" w:space="0" w:color="auto"/>
            </w:tcBorders>
            <w:shd w:val="clear" w:color="auto" w:fill="auto"/>
            <w:noWrap/>
            <w:vAlign w:val="bottom"/>
            <w:hideMark/>
          </w:tcPr>
          <w:p>
            <w:pPr>
              <w:spacing w:before="0" w:after="0"/>
              <w:jc w:val="left"/>
              <w:rPr>
                <w:noProof/>
                <w:sz w:val="18"/>
                <w:szCs w:val="18"/>
              </w:rPr>
            </w:pPr>
            <w:r>
              <w:rPr>
                <w:noProof/>
                <w:sz w:val="18"/>
                <w:szCs w:val="18"/>
              </w:rPr>
              <w:t>Годишно използване</w:t>
            </w:r>
          </w:p>
        </w:tc>
        <w:tc>
          <w:tcPr>
            <w:tcW w:w="817"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81,0</w:t>
            </w:r>
          </w:p>
        </w:tc>
        <w:tc>
          <w:tcPr>
            <w:tcW w:w="870"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43,4</w:t>
            </w:r>
          </w:p>
        </w:tc>
        <w:tc>
          <w:tcPr>
            <w:tcW w:w="821"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28,0</w:t>
            </w:r>
          </w:p>
        </w:tc>
        <w:tc>
          <w:tcPr>
            <w:tcW w:w="876"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18,1</w:t>
            </w:r>
          </w:p>
        </w:tc>
        <w:tc>
          <w:tcPr>
            <w:tcW w:w="766"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28,0</w:t>
            </w:r>
          </w:p>
        </w:tc>
        <w:tc>
          <w:tcPr>
            <w:tcW w:w="878" w:type="dxa"/>
            <w:tcBorders>
              <w:top w:val="nil"/>
              <w:left w:val="nil"/>
              <w:bottom w:val="nil"/>
              <w:right w:val="single" w:sz="4" w:space="0" w:color="auto"/>
            </w:tcBorders>
            <w:shd w:val="clear" w:color="auto" w:fill="auto"/>
            <w:noWrap/>
            <w:vAlign w:val="bottom"/>
            <w:hideMark/>
          </w:tcPr>
          <w:p>
            <w:pPr>
              <w:spacing w:before="0" w:after="0"/>
              <w:jc w:val="right"/>
              <w:rPr>
                <w:noProof/>
                <w:sz w:val="18"/>
                <w:szCs w:val="18"/>
              </w:rPr>
            </w:pPr>
            <w:r>
              <w:rPr>
                <w:noProof/>
                <w:sz w:val="18"/>
                <w:szCs w:val="18"/>
              </w:rPr>
              <w:t>0,6</w:t>
            </w:r>
          </w:p>
        </w:tc>
        <w:tc>
          <w:tcPr>
            <w:tcW w:w="905" w:type="dxa"/>
            <w:tcBorders>
              <w:top w:val="nil"/>
              <w:left w:val="nil"/>
              <w:bottom w:val="nil"/>
              <w:right w:val="single" w:sz="4" w:space="0" w:color="auto"/>
            </w:tcBorders>
            <w:shd w:val="clear" w:color="auto" w:fill="auto"/>
            <w:noWrap/>
            <w:vAlign w:val="bottom"/>
            <w:hideMark/>
          </w:tcPr>
          <w:p>
            <w:pPr>
              <w:spacing w:before="0" w:after="0"/>
              <w:jc w:val="left"/>
              <w:rPr>
                <w:noProof/>
                <w:sz w:val="18"/>
                <w:szCs w:val="18"/>
              </w:rPr>
            </w:pPr>
            <w:r>
              <w:rPr>
                <w:noProof/>
                <w:sz w:val="18"/>
                <w:szCs w:val="18"/>
              </w:rPr>
              <w:t> </w:t>
            </w:r>
          </w:p>
        </w:tc>
        <w:tc>
          <w:tcPr>
            <w:tcW w:w="969" w:type="dxa"/>
            <w:tcBorders>
              <w:top w:val="nil"/>
              <w:left w:val="nil"/>
              <w:bottom w:val="nil"/>
              <w:right w:val="single" w:sz="4" w:space="0" w:color="auto"/>
            </w:tcBorders>
            <w:shd w:val="clear" w:color="auto" w:fill="auto"/>
            <w:noWrap/>
            <w:vAlign w:val="bottom"/>
            <w:hideMark/>
          </w:tcPr>
          <w:p>
            <w:pPr>
              <w:spacing w:before="0" w:after="0"/>
              <w:jc w:val="right"/>
              <w:rPr>
                <w:b/>
                <w:bCs/>
                <w:noProof/>
                <w:sz w:val="18"/>
                <w:szCs w:val="18"/>
              </w:rPr>
            </w:pPr>
            <w:r>
              <w:rPr>
                <w:b/>
                <w:bCs/>
                <w:noProof/>
                <w:sz w:val="18"/>
                <w:szCs w:val="18"/>
              </w:rPr>
              <w:t>199,1</w:t>
            </w:r>
          </w:p>
        </w:tc>
      </w:tr>
      <w:tr>
        <w:trPr>
          <w:trHeight w:val="240"/>
          <w:jc w:val="center"/>
        </w:trPr>
        <w:tc>
          <w:tcPr>
            <w:tcW w:w="260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i/>
                <w:iCs/>
                <w:noProof/>
                <w:sz w:val="18"/>
                <w:szCs w:val="18"/>
              </w:rPr>
            </w:pPr>
            <w:r>
              <w:rPr>
                <w:i/>
                <w:iCs/>
                <w:noProof/>
                <w:sz w:val="18"/>
                <w:szCs w:val="18"/>
              </w:rPr>
              <w:t>Изгубили сила преноси</w:t>
            </w:r>
          </w:p>
        </w:tc>
        <w:tc>
          <w:tcPr>
            <w:tcW w:w="817" w:type="dxa"/>
            <w:tcBorders>
              <w:top w:val="nil"/>
              <w:left w:val="nil"/>
              <w:bottom w:val="single" w:sz="4" w:space="0" w:color="auto"/>
              <w:right w:val="single" w:sz="4" w:space="0" w:color="auto"/>
            </w:tcBorders>
            <w:shd w:val="clear" w:color="auto" w:fill="auto"/>
            <w:noWrap/>
            <w:vAlign w:val="bottom"/>
            <w:hideMark/>
          </w:tcPr>
          <w:p>
            <w:pPr>
              <w:spacing w:before="0" w:after="0"/>
              <w:jc w:val="right"/>
              <w:rPr>
                <w:i/>
                <w:iCs/>
                <w:noProof/>
                <w:sz w:val="18"/>
                <w:szCs w:val="18"/>
              </w:rPr>
            </w:pPr>
            <w:r>
              <w:rPr>
                <w:i/>
                <w:iCs/>
                <w:noProof/>
                <w:sz w:val="18"/>
                <w:szCs w:val="18"/>
              </w:rPr>
              <w:t>78,2</w:t>
            </w:r>
          </w:p>
        </w:tc>
        <w:tc>
          <w:tcPr>
            <w:tcW w:w="870" w:type="dxa"/>
            <w:tcBorders>
              <w:top w:val="nil"/>
              <w:left w:val="nil"/>
              <w:bottom w:val="single" w:sz="4" w:space="0" w:color="auto"/>
              <w:right w:val="single" w:sz="4" w:space="0" w:color="auto"/>
            </w:tcBorders>
            <w:shd w:val="clear" w:color="auto" w:fill="auto"/>
            <w:noWrap/>
            <w:vAlign w:val="bottom"/>
            <w:hideMark/>
          </w:tcPr>
          <w:p>
            <w:pPr>
              <w:spacing w:before="0" w:after="0"/>
              <w:jc w:val="right"/>
              <w:rPr>
                <w:i/>
                <w:iCs/>
                <w:noProof/>
                <w:sz w:val="18"/>
                <w:szCs w:val="18"/>
              </w:rPr>
            </w:pPr>
            <w:r>
              <w:rPr>
                <w:i/>
                <w:iCs/>
                <w:noProof/>
                <w:sz w:val="18"/>
                <w:szCs w:val="18"/>
              </w:rPr>
              <w:t>119,0</w:t>
            </w:r>
          </w:p>
        </w:tc>
        <w:tc>
          <w:tcPr>
            <w:tcW w:w="821" w:type="dxa"/>
            <w:tcBorders>
              <w:top w:val="nil"/>
              <w:left w:val="nil"/>
              <w:bottom w:val="single" w:sz="4" w:space="0" w:color="auto"/>
              <w:right w:val="single" w:sz="4" w:space="0" w:color="auto"/>
            </w:tcBorders>
            <w:shd w:val="clear" w:color="auto" w:fill="auto"/>
            <w:noWrap/>
            <w:vAlign w:val="bottom"/>
            <w:hideMark/>
          </w:tcPr>
          <w:p>
            <w:pPr>
              <w:spacing w:before="0" w:after="0"/>
              <w:jc w:val="right"/>
              <w:rPr>
                <w:i/>
                <w:iCs/>
                <w:noProof/>
                <w:sz w:val="18"/>
                <w:szCs w:val="18"/>
              </w:rPr>
            </w:pPr>
            <w:r>
              <w:rPr>
                <w:i/>
                <w:iCs/>
                <w:noProof/>
                <w:sz w:val="18"/>
                <w:szCs w:val="18"/>
              </w:rPr>
              <w:t>137,6</w:t>
            </w:r>
          </w:p>
        </w:tc>
        <w:tc>
          <w:tcPr>
            <w:tcW w:w="876" w:type="dxa"/>
            <w:tcBorders>
              <w:top w:val="nil"/>
              <w:left w:val="nil"/>
              <w:bottom w:val="single" w:sz="4" w:space="0" w:color="auto"/>
              <w:right w:val="single" w:sz="4" w:space="0" w:color="auto"/>
            </w:tcBorders>
            <w:shd w:val="clear" w:color="auto" w:fill="auto"/>
            <w:noWrap/>
            <w:vAlign w:val="bottom"/>
            <w:hideMark/>
          </w:tcPr>
          <w:p>
            <w:pPr>
              <w:spacing w:before="0" w:after="0"/>
              <w:jc w:val="right"/>
              <w:rPr>
                <w:i/>
                <w:iCs/>
                <w:noProof/>
                <w:sz w:val="18"/>
                <w:szCs w:val="18"/>
              </w:rPr>
            </w:pPr>
            <w:r>
              <w:rPr>
                <w:i/>
                <w:iCs/>
                <w:noProof/>
                <w:sz w:val="18"/>
                <w:szCs w:val="18"/>
              </w:rPr>
              <w:t>150,8</w:t>
            </w:r>
          </w:p>
        </w:tc>
        <w:tc>
          <w:tcPr>
            <w:tcW w:w="766" w:type="dxa"/>
            <w:tcBorders>
              <w:top w:val="nil"/>
              <w:left w:val="nil"/>
              <w:bottom w:val="single" w:sz="4" w:space="0" w:color="auto"/>
              <w:right w:val="single" w:sz="4" w:space="0" w:color="auto"/>
            </w:tcBorders>
            <w:shd w:val="clear" w:color="auto" w:fill="auto"/>
            <w:noWrap/>
            <w:vAlign w:val="bottom"/>
            <w:hideMark/>
          </w:tcPr>
          <w:p>
            <w:pPr>
              <w:spacing w:before="0" w:after="0"/>
              <w:jc w:val="right"/>
              <w:rPr>
                <w:i/>
                <w:iCs/>
                <w:noProof/>
                <w:sz w:val="18"/>
                <w:szCs w:val="18"/>
              </w:rPr>
            </w:pPr>
            <w:r>
              <w:rPr>
                <w:i/>
                <w:iCs/>
                <w:noProof/>
                <w:sz w:val="18"/>
                <w:szCs w:val="18"/>
              </w:rPr>
              <w:t>144,3</w:t>
            </w:r>
          </w:p>
        </w:tc>
        <w:tc>
          <w:tcPr>
            <w:tcW w:w="878" w:type="dxa"/>
            <w:tcBorders>
              <w:top w:val="nil"/>
              <w:left w:val="nil"/>
              <w:bottom w:val="single" w:sz="4" w:space="0" w:color="auto"/>
              <w:right w:val="single" w:sz="4" w:space="0" w:color="auto"/>
            </w:tcBorders>
            <w:shd w:val="clear" w:color="auto" w:fill="auto"/>
            <w:noWrap/>
            <w:vAlign w:val="bottom"/>
            <w:hideMark/>
          </w:tcPr>
          <w:p>
            <w:pPr>
              <w:spacing w:before="0" w:after="0"/>
              <w:jc w:val="right"/>
              <w:rPr>
                <w:i/>
                <w:iCs/>
                <w:noProof/>
                <w:sz w:val="18"/>
                <w:szCs w:val="18"/>
              </w:rPr>
            </w:pPr>
            <w:r>
              <w:rPr>
                <w:i/>
                <w:iCs/>
                <w:noProof/>
                <w:sz w:val="18"/>
                <w:szCs w:val="18"/>
              </w:rPr>
              <w:t>175,1</w:t>
            </w:r>
          </w:p>
        </w:tc>
        <w:tc>
          <w:tcPr>
            <w:tcW w:w="905" w:type="dxa"/>
            <w:tcBorders>
              <w:top w:val="nil"/>
              <w:left w:val="nil"/>
              <w:bottom w:val="single" w:sz="4" w:space="0" w:color="auto"/>
              <w:right w:val="single" w:sz="4" w:space="0" w:color="auto"/>
            </w:tcBorders>
            <w:shd w:val="clear" w:color="auto" w:fill="auto"/>
            <w:noWrap/>
            <w:vAlign w:val="bottom"/>
            <w:hideMark/>
          </w:tcPr>
          <w:p>
            <w:pPr>
              <w:spacing w:before="0" w:after="0"/>
              <w:jc w:val="left"/>
              <w:rPr>
                <w:i/>
                <w:iCs/>
                <w:noProof/>
                <w:sz w:val="18"/>
                <w:szCs w:val="18"/>
              </w:rPr>
            </w:pPr>
            <w:r>
              <w:rPr>
                <w:i/>
                <w:iCs/>
                <w:noProof/>
                <w:sz w:val="18"/>
                <w:szCs w:val="18"/>
              </w:rPr>
              <w:t> </w:t>
            </w:r>
          </w:p>
        </w:tc>
        <w:tc>
          <w:tcPr>
            <w:tcW w:w="969" w:type="dxa"/>
            <w:tcBorders>
              <w:top w:val="nil"/>
              <w:left w:val="nil"/>
              <w:bottom w:val="single" w:sz="4" w:space="0" w:color="auto"/>
              <w:right w:val="single" w:sz="4" w:space="0" w:color="auto"/>
            </w:tcBorders>
            <w:shd w:val="clear" w:color="auto" w:fill="auto"/>
            <w:noWrap/>
            <w:vAlign w:val="bottom"/>
            <w:hideMark/>
          </w:tcPr>
          <w:p>
            <w:pPr>
              <w:spacing w:before="0" w:after="0"/>
              <w:jc w:val="right"/>
              <w:rPr>
                <w:b/>
                <w:bCs/>
                <w:i/>
                <w:iCs/>
                <w:noProof/>
                <w:sz w:val="18"/>
                <w:szCs w:val="18"/>
              </w:rPr>
            </w:pPr>
            <w:r>
              <w:rPr>
                <w:b/>
                <w:bCs/>
                <w:i/>
                <w:iCs/>
                <w:noProof/>
                <w:sz w:val="18"/>
                <w:szCs w:val="18"/>
              </w:rPr>
              <w:t>629,9</w:t>
            </w:r>
          </w:p>
        </w:tc>
      </w:tr>
    </w:tbl>
    <w:p>
      <w:pPr>
        <w:pStyle w:val="ManualHeading2"/>
        <w:rPr>
          <w:noProof/>
        </w:rPr>
      </w:pPr>
      <w:r>
        <w:rPr>
          <w:noProof/>
        </w:rPr>
        <w:t>3.5.</w:t>
      </w:r>
      <w:r>
        <w:rPr>
          <w:noProof/>
        </w:rPr>
        <w:tab/>
        <w:t>Марж за непредвидени обстоятелства</w:t>
      </w:r>
    </w:p>
    <w:p>
      <w:pPr>
        <w:pStyle w:val="Text1"/>
        <w:rPr>
          <w:bCs/>
          <w:noProof/>
        </w:rPr>
      </w:pPr>
      <w:r>
        <w:rPr>
          <w:noProof/>
        </w:rPr>
        <w:t>Съгласно член 13 от Регламента за МФР се определя марж за непредвидени обстоятелства в размер до 0,03 % от брутния национален доход на Съюза извън таваните, заложени във финансовата рамка за периода 2014—2020 г.</w:t>
      </w:r>
    </w:p>
    <w:p>
      <w:pPr>
        <w:pStyle w:val="Text1"/>
        <w:rPr>
          <w:bCs/>
          <w:noProof/>
        </w:rPr>
      </w:pPr>
      <w:r>
        <w:rPr>
          <w:noProof/>
        </w:rPr>
        <w:t>Абсолютната стойност размера на маржа за непредвидени обстоятелства за 2020 г. е 5 096,8 милиона евро, както е установено в техническата корекция на МФР за 2020 г., приета през май 2019 г.</w:t>
      </w:r>
    </w:p>
    <w:p>
      <w:pPr>
        <w:pStyle w:val="Text1"/>
        <w:rPr>
          <w:bCs/>
          <w:noProof/>
        </w:rPr>
      </w:pPr>
      <w:r>
        <w:rPr>
          <w:noProof/>
        </w:rPr>
        <w:t>Таблицата по-долу съдържа информация за годишните наличности и използването на маржа за непредвидени обстоятелства от 2014 г. насам:</w:t>
      </w:r>
    </w:p>
    <w:tbl>
      <w:tblPr>
        <w:tblW w:w="9605" w:type="dxa"/>
        <w:jc w:val="center"/>
        <w:tblCellMar>
          <w:left w:w="70" w:type="dxa"/>
          <w:right w:w="70" w:type="dxa"/>
        </w:tblCellMar>
        <w:tblLook w:val="04A0" w:firstRow="1" w:lastRow="0" w:firstColumn="1" w:lastColumn="0" w:noHBand="0" w:noVBand="1"/>
      </w:tblPr>
      <w:tblGrid>
        <w:gridCol w:w="2012"/>
        <w:gridCol w:w="925"/>
        <w:gridCol w:w="925"/>
        <w:gridCol w:w="925"/>
        <w:gridCol w:w="1016"/>
        <w:gridCol w:w="925"/>
        <w:gridCol w:w="925"/>
        <w:gridCol w:w="925"/>
        <w:gridCol w:w="1016"/>
        <w:gridCol w:w="11"/>
      </w:tblGrid>
      <w:tr>
        <w:trPr>
          <w:trHeight w:val="255"/>
          <w:jc w:val="center"/>
        </w:trPr>
        <w:tc>
          <w:tcPr>
            <w:tcW w:w="9605"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pPr>
              <w:keepNext/>
              <w:keepLines/>
              <w:spacing w:before="0" w:after="0"/>
              <w:jc w:val="center"/>
              <w:rPr>
                <w:b/>
                <w:bCs/>
                <w:noProof/>
                <w:sz w:val="18"/>
                <w:szCs w:val="18"/>
              </w:rPr>
            </w:pPr>
            <w:r>
              <w:rPr>
                <w:b/>
                <w:bCs/>
                <w:noProof/>
                <w:sz w:val="18"/>
                <w:szCs w:val="18"/>
              </w:rPr>
              <w:t>Марж за непредвидени обстоятелства</w:t>
            </w:r>
          </w:p>
        </w:tc>
      </w:tr>
      <w:tr>
        <w:trPr>
          <w:trHeight w:val="212"/>
          <w:jc w:val="center"/>
        </w:trPr>
        <w:tc>
          <w:tcPr>
            <w:tcW w:w="9605"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pPr>
              <w:keepNext/>
              <w:keepLines/>
              <w:spacing w:before="0" w:after="0"/>
              <w:jc w:val="right"/>
              <w:rPr>
                <w:i/>
                <w:iCs/>
                <w:noProof/>
                <w:sz w:val="18"/>
                <w:szCs w:val="18"/>
              </w:rPr>
            </w:pPr>
            <w:r>
              <w:rPr>
                <w:i/>
                <w:iCs/>
                <w:noProof/>
                <w:sz w:val="18"/>
                <w:szCs w:val="18"/>
              </w:rPr>
              <w:t>(млн. евро)</w:t>
            </w:r>
          </w:p>
        </w:tc>
      </w:tr>
      <w:tr>
        <w:trPr>
          <w:gridAfter w:val="1"/>
          <w:wAfter w:w="11" w:type="dxa"/>
          <w:trHeight w:val="255"/>
          <w:jc w:val="center"/>
        </w:trPr>
        <w:tc>
          <w:tcPr>
            <w:tcW w:w="2012" w:type="dxa"/>
            <w:tcBorders>
              <w:top w:val="nil"/>
              <w:left w:val="single" w:sz="4" w:space="0" w:color="auto"/>
              <w:bottom w:val="nil"/>
              <w:right w:val="single" w:sz="4" w:space="0" w:color="auto"/>
            </w:tcBorders>
            <w:shd w:val="clear" w:color="auto" w:fill="auto"/>
            <w:noWrap/>
            <w:vAlign w:val="bottom"/>
            <w:hideMark/>
          </w:tcPr>
          <w:p>
            <w:pPr>
              <w:keepNext/>
              <w:keepLines/>
              <w:spacing w:before="0" w:after="0"/>
              <w:jc w:val="left"/>
              <w:rPr>
                <w:noProof/>
                <w:sz w:val="18"/>
                <w:szCs w:val="18"/>
              </w:rPr>
            </w:pPr>
            <w:r>
              <w:rPr>
                <w:noProof/>
                <w:sz w:val="18"/>
                <w:szCs w:val="18"/>
              </w:rPr>
              <w:t> </w:t>
            </w:r>
          </w:p>
        </w:tc>
        <w:tc>
          <w:tcPr>
            <w:tcW w:w="925" w:type="dxa"/>
            <w:tcBorders>
              <w:top w:val="nil"/>
              <w:left w:val="nil"/>
              <w:bottom w:val="single" w:sz="4" w:space="0" w:color="auto"/>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2014 г.</w:t>
            </w:r>
          </w:p>
        </w:tc>
        <w:tc>
          <w:tcPr>
            <w:tcW w:w="925" w:type="dxa"/>
            <w:tcBorders>
              <w:top w:val="nil"/>
              <w:left w:val="nil"/>
              <w:bottom w:val="single" w:sz="4" w:space="0" w:color="auto"/>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2015 г.</w:t>
            </w:r>
          </w:p>
        </w:tc>
        <w:tc>
          <w:tcPr>
            <w:tcW w:w="925" w:type="dxa"/>
            <w:tcBorders>
              <w:top w:val="nil"/>
              <w:left w:val="nil"/>
              <w:bottom w:val="single" w:sz="4" w:space="0" w:color="auto"/>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2016 г.</w:t>
            </w:r>
          </w:p>
        </w:tc>
        <w:tc>
          <w:tcPr>
            <w:tcW w:w="1016" w:type="dxa"/>
            <w:tcBorders>
              <w:top w:val="nil"/>
              <w:left w:val="nil"/>
              <w:bottom w:val="single" w:sz="4" w:space="0" w:color="auto"/>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2017 г.</w:t>
            </w:r>
          </w:p>
        </w:tc>
        <w:tc>
          <w:tcPr>
            <w:tcW w:w="925" w:type="dxa"/>
            <w:tcBorders>
              <w:top w:val="nil"/>
              <w:left w:val="nil"/>
              <w:bottom w:val="single" w:sz="4" w:space="0" w:color="auto"/>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2018 г.</w:t>
            </w:r>
          </w:p>
        </w:tc>
        <w:tc>
          <w:tcPr>
            <w:tcW w:w="925" w:type="dxa"/>
            <w:tcBorders>
              <w:top w:val="nil"/>
              <w:left w:val="nil"/>
              <w:bottom w:val="single" w:sz="4" w:space="0" w:color="auto"/>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2019 г.</w:t>
            </w:r>
          </w:p>
        </w:tc>
        <w:tc>
          <w:tcPr>
            <w:tcW w:w="925" w:type="dxa"/>
            <w:tcBorders>
              <w:top w:val="nil"/>
              <w:left w:val="nil"/>
              <w:bottom w:val="single" w:sz="4" w:space="0" w:color="auto"/>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2020 г.</w:t>
            </w:r>
          </w:p>
        </w:tc>
        <w:tc>
          <w:tcPr>
            <w:tcW w:w="1016" w:type="dxa"/>
            <w:tcBorders>
              <w:top w:val="nil"/>
              <w:left w:val="nil"/>
              <w:bottom w:val="single" w:sz="4" w:space="0" w:color="auto"/>
              <w:right w:val="single" w:sz="4" w:space="0" w:color="auto"/>
            </w:tcBorders>
            <w:shd w:val="clear" w:color="auto" w:fill="auto"/>
            <w:noWrap/>
            <w:vAlign w:val="bottom"/>
            <w:hideMark/>
          </w:tcPr>
          <w:p>
            <w:pPr>
              <w:keepNext/>
              <w:keepLines/>
              <w:spacing w:before="0" w:after="0"/>
              <w:jc w:val="center"/>
              <w:rPr>
                <w:b/>
                <w:bCs/>
                <w:noProof/>
                <w:sz w:val="18"/>
                <w:szCs w:val="18"/>
              </w:rPr>
            </w:pPr>
            <w:r>
              <w:rPr>
                <w:b/>
                <w:bCs/>
                <w:noProof/>
                <w:sz w:val="18"/>
                <w:szCs w:val="18"/>
              </w:rPr>
              <w:t>Общо</w:t>
            </w:r>
          </w:p>
        </w:tc>
      </w:tr>
      <w:tr>
        <w:trPr>
          <w:gridAfter w:val="1"/>
          <w:wAfter w:w="11" w:type="dxa"/>
          <w:trHeight w:val="255"/>
          <w:jc w:val="center"/>
        </w:trPr>
        <w:tc>
          <w:tcPr>
            <w:tcW w:w="2012" w:type="dxa"/>
            <w:tcBorders>
              <w:top w:val="nil"/>
              <w:left w:val="single" w:sz="4" w:space="0" w:color="auto"/>
              <w:bottom w:val="nil"/>
              <w:right w:val="single" w:sz="4" w:space="0" w:color="auto"/>
            </w:tcBorders>
            <w:shd w:val="clear" w:color="auto" w:fill="auto"/>
            <w:noWrap/>
            <w:vAlign w:val="bottom"/>
            <w:hideMark/>
          </w:tcPr>
          <w:p>
            <w:pPr>
              <w:keepNext/>
              <w:keepLines/>
              <w:spacing w:before="0" w:after="0"/>
              <w:jc w:val="left"/>
              <w:rPr>
                <w:noProof/>
                <w:sz w:val="18"/>
                <w:szCs w:val="18"/>
              </w:rPr>
            </w:pPr>
            <w:r>
              <w:rPr>
                <w:noProof/>
                <w:sz w:val="18"/>
                <w:szCs w:val="18"/>
              </w:rPr>
              <w:t>Годишни налични суми</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4 026,7</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4 175,4</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4 438,2</w:t>
            </w:r>
          </w:p>
        </w:tc>
        <w:tc>
          <w:tcPr>
            <w:tcW w:w="1016"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4 496,8</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4 711,3</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4 946,7</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5 096,8</w:t>
            </w:r>
          </w:p>
        </w:tc>
        <w:tc>
          <w:tcPr>
            <w:tcW w:w="1016" w:type="dxa"/>
            <w:tcBorders>
              <w:top w:val="nil"/>
              <w:left w:val="nil"/>
              <w:bottom w:val="nil"/>
              <w:right w:val="single" w:sz="4" w:space="0" w:color="auto"/>
            </w:tcBorders>
            <w:shd w:val="clear" w:color="auto" w:fill="auto"/>
            <w:noWrap/>
            <w:vAlign w:val="bottom"/>
            <w:hideMark/>
          </w:tcPr>
          <w:p>
            <w:pPr>
              <w:keepNext/>
              <w:keepLines/>
              <w:spacing w:before="0" w:after="0"/>
              <w:jc w:val="right"/>
              <w:rPr>
                <w:b/>
                <w:bCs/>
                <w:noProof/>
                <w:sz w:val="18"/>
                <w:szCs w:val="18"/>
              </w:rPr>
            </w:pPr>
            <w:r>
              <w:rPr>
                <w:b/>
                <w:bCs/>
                <w:noProof/>
                <w:sz w:val="18"/>
                <w:szCs w:val="18"/>
              </w:rPr>
              <w:t>31 892</w:t>
            </w:r>
          </w:p>
        </w:tc>
      </w:tr>
      <w:tr>
        <w:trPr>
          <w:gridAfter w:val="1"/>
          <w:wAfter w:w="11" w:type="dxa"/>
          <w:trHeight w:val="255"/>
          <w:jc w:val="center"/>
        </w:trPr>
        <w:tc>
          <w:tcPr>
            <w:tcW w:w="2012" w:type="dxa"/>
            <w:tcBorders>
              <w:top w:val="nil"/>
              <w:left w:val="single" w:sz="4" w:space="0" w:color="auto"/>
              <w:bottom w:val="nil"/>
              <w:right w:val="single" w:sz="4" w:space="0" w:color="auto"/>
            </w:tcBorders>
            <w:shd w:val="clear" w:color="auto" w:fill="auto"/>
            <w:noWrap/>
            <w:vAlign w:val="bottom"/>
            <w:hideMark/>
          </w:tcPr>
          <w:p>
            <w:pPr>
              <w:keepNext/>
              <w:keepLines/>
              <w:spacing w:before="0" w:after="0"/>
              <w:jc w:val="left"/>
              <w:rPr>
                <w:noProof/>
                <w:sz w:val="18"/>
                <w:szCs w:val="18"/>
              </w:rPr>
            </w:pPr>
            <w:r>
              <w:rPr>
                <w:noProof/>
                <w:sz w:val="18"/>
                <w:szCs w:val="18"/>
              </w:rPr>
              <w:t>Годишно използване</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left"/>
              <w:rPr>
                <w:noProof/>
                <w:sz w:val="18"/>
                <w:szCs w:val="18"/>
              </w:rPr>
            </w:pPr>
            <w:r>
              <w:rPr>
                <w:noProof/>
                <w:sz w:val="18"/>
                <w:szCs w:val="18"/>
              </w:rPr>
              <w:t> </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left"/>
              <w:rPr>
                <w:noProof/>
                <w:sz w:val="18"/>
                <w:szCs w:val="18"/>
              </w:rPr>
            </w:pPr>
            <w:r>
              <w:rPr>
                <w:noProof/>
                <w:sz w:val="18"/>
                <w:szCs w:val="18"/>
              </w:rPr>
              <w:t> </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left"/>
              <w:rPr>
                <w:noProof/>
                <w:sz w:val="18"/>
                <w:szCs w:val="18"/>
              </w:rPr>
            </w:pPr>
            <w:r>
              <w:rPr>
                <w:noProof/>
                <w:sz w:val="18"/>
                <w:szCs w:val="18"/>
              </w:rPr>
              <w:t> </w:t>
            </w:r>
          </w:p>
        </w:tc>
        <w:tc>
          <w:tcPr>
            <w:tcW w:w="1016" w:type="dxa"/>
            <w:tcBorders>
              <w:top w:val="nil"/>
              <w:left w:val="nil"/>
              <w:bottom w:val="nil"/>
              <w:right w:val="single" w:sz="4" w:space="0" w:color="auto"/>
            </w:tcBorders>
            <w:shd w:val="clear" w:color="auto" w:fill="auto"/>
            <w:noWrap/>
            <w:vAlign w:val="bottom"/>
            <w:hideMark/>
          </w:tcPr>
          <w:p>
            <w:pPr>
              <w:keepNext/>
              <w:keepLines/>
              <w:spacing w:before="0" w:after="0"/>
              <w:jc w:val="left"/>
              <w:rPr>
                <w:noProof/>
                <w:sz w:val="18"/>
                <w:szCs w:val="18"/>
              </w:rPr>
            </w:pPr>
            <w:r>
              <w:rPr>
                <w:noProof/>
                <w:sz w:val="18"/>
                <w:szCs w:val="18"/>
              </w:rPr>
              <w:t> </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left"/>
              <w:rPr>
                <w:noProof/>
                <w:sz w:val="18"/>
                <w:szCs w:val="18"/>
              </w:rPr>
            </w:pPr>
            <w:r>
              <w:rPr>
                <w:noProof/>
                <w:sz w:val="18"/>
                <w:szCs w:val="18"/>
              </w:rPr>
              <w:t> </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left"/>
              <w:rPr>
                <w:noProof/>
                <w:sz w:val="18"/>
                <w:szCs w:val="18"/>
              </w:rPr>
            </w:pPr>
            <w:r>
              <w:rPr>
                <w:noProof/>
                <w:sz w:val="18"/>
                <w:szCs w:val="18"/>
              </w:rPr>
              <w:t> </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left"/>
              <w:rPr>
                <w:noProof/>
                <w:sz w:val="18"/>
                <w:szCs w:val="18"/>
              </w:rPr>
            </w:pPr>
            <w:r>
              <w:rPr>
                <w:noProof/>
                <w:sz w:val="18"/>
                <w:szCs w:val="18"/>
              </w:rPr>
              <w:t> </w:t>
            </w:r>
          </w:p>
        </w:tc>
        <w:tc>
          <w:tcPr>
            <w:tcW w:w="1016" w:type="dxa"/>
            <w:tcBorders>
              <w:top w:val="nil"/>
              <w:left w:val="nil"/>
              <w:bottom w:val="nil"/>
              <w:right w:val="single" w:sz="4" w:space="0" w:color="auto"/>
            </w:tcBorders>
            <w:shd w:val="clear" w:color="auto" w:fill="auto"/>
            <w:noWrap/>
            <w:vAlign w:val="bottom"/>
            <w:hideMark/>
          </w:tcPr>
          <w:p>
            <w:pPr>
              <w:keepNext/>
              <w:keepLines/>
              <w:spacing w:before="0" w:after="0"/>
              <w:jc w:val="left"/>
              <w:rPr>
                <w:b/>
                <w:bCs/>
                <w:noProof/>
                <w:sz w:val="18"/>
                <w:szCs w:val="18"/>
              </w:rPr>
            </w:pPr>
            <w:r>
              <w:rPr>
                <w:b/>
                <w:bCs/>
                <w:noProof/>
                <w:sz w:val="18"/>
                <w:szCs w:val="18"/>
              </w:rPr>
              <w:t> </w:t>
            </w:r>
          </w:p>
        </w:tc>
      </w:tr>
      <w:tr>
        <w:trPr>
          <w:gridAfter w:val="1"/>
          <w:wAfter w:w="11" w:type="dxa"/>
          <w:trHeight w:val="255"/>
          <w:jc w:val="center"/>
        </w:trPr>
        <w:tc>
          <w:tcPr>
            <w:tcW w:w="2012" w:type="dxa"/>
            <w:tcBorders>
              <w:top w:val="nil"/>
              <w:left w:val="single" w:sz="4" w:space="0" w:color="auto"/>
              <w:bottom w:val="nil"/>
              <w:right w:val="single" w:sz="4" w:space="0" w:color="auto"/>
            </w:tcBorders>
            <w:shd w:val="clear" w:color="auto" w:fill="auto"/>
            <w:noWrap/>
            <w:vAlign w:val="bottom"/>
            <w:hideMark/>
          </w:tcPr>
          <w:p>
            <w:pPr>
              <w:keepNext/>
              <w:keepLines/>
              <w:spacing w:before="0" w:after="0"/>
              <w:ind w:firstLineChars="100" w:firstLine="180"/>
              <w:jc w:val="left"/>
              <w:rPr>
                <w:i/>
                <w:iCs/>
                <w:noProof/>
                <w:sz w:val="18"/>
                <w:szCs w:val="18"/>
              </w:rPr>
            </w:pPr>
            <w:r>
              <w:rPr>
                <w:i/>
                <w:iCs/>
                <w:noProof/>
                <w:sz w:val="18"/>
                <w:szCs w:val="18"/>
              </w:rPr>
              <w:t>В поети задължения</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0,0</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0,0</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240,1</w:t>
            </w:r>
          </w:p>
        </w:tc>
        <w:tc>
          <w:tcPr>
            <w:tcW w:w="1016"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1 906,2</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0,0</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0,0</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0,0</w:t>
            </w:r>
          </w:p>
        </w:tc>
        <w:tc>
          <w:tcPr>
            <w:tcW w:w="1016" w:type="dxa"/>
            <w:tcBorders>
              <w:top w:val="nil"/>
              <w:left w:val="nil"/>
              <w:bottom w:val="nil"/>
              <w:right w:val="single" w:sz="4" w:space="0" w:color="auto"/>
            </w:tcBorders>
            <w:shd w:val="clear" w:color="auto" w:fill="auto"/>
            <w:noWrap/>
            <w:vAlign w:val="bottom"/>
            <w:hideMark/>
          </w:tcPr>
          <w:p>
            <w:pPr>
              <w:keepNext/>
              <w:keepLines/>
              <w:spacing w:before="0" w:after="0"/>
              <w:jc w:val="right"/>
              <w:rPr>
                <w:b/>
                <w:bCs/>
                <w:noProof/>
                <w:sz w:val="18"/>
                <w:szCs w:val="18"/>
              </w:rPr>
            </w:pPr>
            <w:r>
              <w:rPr>
                <w:b/>
                <w:bCs/>
                <w:noProof/>
                <w:sz w:val="18"/>
                <w:szCs w:val="18"/>
              </w:rPr>
              <w:t>2 146,3</w:t>
            </w:r>
          </w:p>
        </w:tc>
      </w:tr>
      <w:tr>
        <w:trPr>
          <w:gridAfter w:val="1"/>
          <w:wAfter w:w="11" w:type="dxa"/>
          <w:trHeight w:val="255"/>
          <w:jc w:val="center"/>
        </w:trPr>
        <w:tc>
          <w:tcPr>
            <w:tcW w:w="2012" w:type="dxa"/>
            <w:tcBorders>
              <w:top w:val="nil"/>
              <w:left w:val="single" w:sz="4" w:space="0" w:color="auto"/>
              <w:bottom w:val="nil"/>
              <w:right w:val="single" w:sz="4" w:space="0" w:color="auto"/>
            </w:tcBorders>
            <w:shd w:val="clear" w:color="auto" w:fill="auto"/>
            <w:noWrap/>
            <w:vAlign w:val="bottom"/>
            <w:hideMark/>
          </w:tcPr>
          <w:p>
            <w:pPr>
              <w:keepNext/>
              <w:keepLines/>
              <w:spacing w:before="0" w:after="0"/>
              <w:ind w:firstLineChars="100" w:firstLine="180"/>
              <w:jc w:val="left"/>
              <w:rPr>
                <w:i/>
                <w:iCs/>
                <w:noProof/>
                <w:sz w:val="18"/>
                <w:szCs w:val="18"/>
              </w:rPr>
            </w:pPr>
            <w:r>
              <w:rPr>
                <w:i/>
                <w:iCs/>
                <w:noProof/>
                <w:sz w:val="18"/>
                <w:szCs w:val="18"/>
              </w:rPr>
              <w:t>В плащания</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2 818,2</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0,0</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0,0</w:t>
            </w:r>
          </w:p>
        </w:tc>
        <w:tc>
          <w:tcPr>
            <w:tcW w:w="1016"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0,0</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0,0</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0,0</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0,0</w:t>
            </w:r>
          </w:p>
        </w:tc>
        <w:tc>
          <w:tcPr>
            <w:tcW w:w="1016" w:type="dxa"/>
            <w:tcBorders>
              <w:top w:val="nil"/>
              <w:left w:val="nil"/>
              <w:bottom w:val="nil"/>
              <w:right w:val="single" w:sz="4" w:space="0" w:color="auto"/>
            </w:tcBorders>
            <w:shd w:val="clear" w:color="auto" w:fill="auto"/>
            <w:noWrap/>
            <w:vAlign w:val="bottom"/>
            <w:hideMark/>
          </w:tcPr>
          <w:p>
            <w:pPr>
              <w:keepNext/>
              <w:keepLines/>
              <w:spacing w:before="0" w:after="0"/>
              <w:jc w:val="right"/>
              <w:rPr>
                <w:b/>
                <w:bCs/>
                <w:noProof/>
                <w:sz w:val="18"/>
                <w:szCs w:val="18"/>
              </w:rPr>
            </w:pPr>
            <w:r>
              <w:rPr>
                <w:b/>
                <w:bCs/>
                <w:noProof/>
                <w:sz w:val="18"/>
                <w:szCs w:val="18"/>
              </w:rPr>
              <w:t>2 818,2</w:t>
            </w:r>
          </w:p>
        </w:tc>
      </w:tr>
      <w:tr>
        <w:trPr>
          <w:gridAfter w:val="1"/>
          <w:wAfter w:w="11" w:type="dxa"/>
          <w:trHeight w:val="255"/>
          <w:jc w:val="center"/>
        </w:trPr>
        <w:tc>
          <w:tcPr>
            <w:tcW w:w="2012" w:type="dxa"/>
            <w:tcBorders>
              <w:top w:val="nil"/>
              <w:left w:val="single" w:sz="4" w:space="0" w:color="auto"/>
              <w:bottom w:val="nil"/>
              <w:right w:val="single" w:sz="4" w:space="0" w:color="auto"/>
            </w:tcBorders>
            <w:shd w:val="clear" w:color="auto" w:fill="auto"/>
            <w:noWrap/>
            <w:vAlign w:val="bottom"/>
            <w:hideMark/>
          </w:tcPr>
          <w:p>
            <w:pPr>
              <w:keepNext/>
              <w:keepLines/>
              <w:spacing w:before="0" w:after="0"/>
              <w:jc w:val="left"/>
              <w:rPr>
                <w:noProof/>
                <w:sz w:val="18"/>
                <w:szCs w:val="18"/>
              </w:rPr>
            </w:pPr>
            <w:r>
              <w:rPr>
                <w:noProof/>
                <w:sz w:val="18"/>
                <w:szCs w:val="18"/>
              </w:rPr>
              <w:t>Годишно компенсиране</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left"/>
              <w:rPr>
                <w:noProof/>
                <w:sz w:val="18"/>
                <w:szCs w:val="18"/>
              </w:rPr>
            </w:pPr>
            <w:r>
              <w:rPr>
                <w:noProof/>
                <w:sz w:val="18"/>
                <w:szCs w:val="18"/>
              </w:rPr>
              <w:t> </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left"/>
              <w:rPr>
                <w:noProof/>
                <w:sz w:val="18"/>
                <w:szCs w:val="18"/>
              </w:rPr>
            </w:pPr>
            <w:r>
              <w:rPr>
                <w:noProof/>
                <w:sz w:val="18"/>
                <w:szCs w:val="18"/>
              </w:rPr>
              <w:t> </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left"/>
              <w:rPr>
                <w:noProof/>
                <w:sz w:val="18"/>
                <w:szCs w:val="18"/>
              </w:rPr>
            </w:pPr>
            <w:r>
              <w:rPr>
                <w:noProof/>
                <w:sz w:val="18"/>
                <w:szCs w:val="18"/>
              </w:rPr>
              <w:t> </w:t>
            </w:r>
          </w:p>
        </w:tc>
        <w:tc>
          <w:tcPr>
            <w:tcW w:w="1016" w:type="dxa"/>
            <w:tcBorders>
              <w:top w:val="nil"/>
              <w:left w:val="nil"/>
              <w:bottom w:val="nil"/>
              <w:right w:val="single" w:sz="4" w:space="0" w:color="auto"/>
            </w:tcBorders>
            <w:shd w:val="clear" w:color="auto" w:fill="auto"/>
            <w:noWrap/>
            <w:vAlign w:val="bottom"/>
            <w:hideMark/>
          </w:tcPr>
          <w:p>
            <w:pPr>
              <w:keepNext/>
              <w:keepLines/>
              <w:spacing w:before="0" w:after="0"/>
              <w:jc w:val="left"/>
              <w:rPr>
                <w:noProof/>
                <w:sz w:val="18"/>
                <w:szCs w:val="18"/>
              </w:rPr>
            </w:pPr>
            <w:r>
              <w:rPr>
                <w:noProof/>
                <w:sz w:val="18"/>
                <w:szCs w:val="18"/>
              </w:rPr>
              <w:t> </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left"/>
              <w:rPr>
                <w:noProof/>
                <w:sz w:val="18"/>
                <w:szCs w:val="18"/>
              </w:rPr>
            </w:pPr>
            <w:r>
              <w:rPr>
                <w:noProof/>
                <w:sz w:val="18"/>
                <w:szCs w:val="18"/>
              </w:rPr>
              <w:t> </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left"/>
              <w:rPr>
                <w:noProof/>
                <w:sz w:val="18"/>
                <w:szCs w:val="18"/>
              </w:rPr>
            </w:pPr>
            <w:r>
              <w:rPr>
                <w:noProof/>
                <w:sz w:val="18"/>
                <w:szCs w:val="18"/>
              </w:rPr>
              <w:t> </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left"/>
              <w:rPr>
                <w:noProof/>
                <w:sz w:val="18"/>
                <w:szCs w:val="18"/>
              </w:rPr>
            </w:pPr>
            <w:r>
              <w:rPr>
                <w:noProof/>
                <w:sz w:val="18"/>
                <w:szCs w:val="18"/>
              </w:rPr>
              <w:t> </w:t>
            </w:r>
          </w:p>
        </w:tc>
        <w:tc>
          <w:tcPr>
            <w:tcW w:w="1016" w:type="dxa"/>
            <w:tcBorders>
              <w:top w:val="nil"/>
              <w:left w:val="nil"/>
              <w:bottom w:val="nil"/>
              <w:right w:val="single" w:sz="4" w:space="0" w:color="auto"/>
            </w:tcBorders>
            <w:shd w:val="clear" w:color="auto" w:fill="auto"/>
            <w:noWrap/>
            <w:vAlign w:val="bottom"/>
            <w:hideMark/>
          </w:tcPr>
          <w:p>
            <w:pPr>
              <w:keepNext/>
              <w:keepLines/>
              <w:spacing w:before="0" w:after="0"/>
              <w:jc w:val="left"/>
              <w:rPr>
                <w:b/>
                <w:bCs/>
                <w:noProof/>
                <w:sz w:val="18"/>
                <w:szCs w:val="18"/>
              </w:rPr>
            </w:pPr>
            <w:r>
              <w:rPr>
                <w:b/>
                <w:bCs/>
                <w:noProof/>
                <w:sz w:val="18"/>
                <w:szCs w:val="18"/>
              </w:rPr>
              <w:t> </w:t>
            </w:r>
          </w:p>
        </w:tc>
      </w:tr>
      <w:tr>
        <w:trPr>
          <w:gridAfter w:val="1"/>
          <w:wAfter w:w="11" w:type="dxa"/>
          <w:trHeight w:val="255"/>
          <w:jc w:val="center"/>
        </w:trPr>
        <w:tc>
          <w:tcPr>
            <w:tcW w:w="2012" w:type="dxa"/>
            <w:tcBorders>
              <w:top w:val="nil"/>
              <w:left w:val="single" w:sz="4" w:space="0" w:color="auto"/>
              <w:bottom w:val="nil"/>
              <w:right w:val="single" w:sz="4" w:space="0" w:color="auto"/>
            </w:tcBorders>
            <w:shd w:val="clear" w:color="auto" w:fill="auto"/>
            <w:noWrap/>
            <w:vAlign w:val="bottom"/>
            <w:hideMark/>
          </w:tcPr>
          <w:p>
            <w:pPr>
              <w:keepNext/>
              <w:keepLines/>
              <w:spacing w:before="0" w:after="0"/>
              <w:ind w:firstLineChars="100" w:firstLine="180"/>
              <w:jc w:val="left"/>
              <w:rPr>
                <w:i/>
                <w:iCs/>
                <w:noProof/>
                <w:sz w:val="18"/>
                <w:szCs w:val="18"/>
              </w:rPr>
            </w:pPr>
            <w:r>
              <w:rPr>
                <w:i/>
                <w:iCs/>
                <w:noProof/>
                <w:sz w:val="18"/>
                <w:szCs w:val="18"/>
              </w:rPr>
              <w:t>В поети задължения</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0,0</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0,0</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-240,1</w:t>
            </w:r>
          </w:p>
        </w:tc>
        <w:tc>
          <w:tcPr>
            <w:tcW w:w="1016"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-1 082,3</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-318,0</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-253,9</w:t>
            </w:r>
          </w:p>
        </w:tc>
        <w:tc>
          <w:tcPr>
            <w:tcW w:w="925" w:type="dxa"/>
            <w:tcBorders>
              <w:top w:val="nil"/>
              <w:left w:val="nil"/>
              <w:bottom w:val="nil"/>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-252,0</w:t>
            </w:r>
          </w:p>
        </w:tc>
        <w:tc>
          <w:tcPr>
            <w:tcW w:w="1016" w:type="dxa"/>
            <w:tcBorders>
              <w:top w:val="nil"/>
              <w:left w:val="nil"/>
              <w:bottom w:val="nil"/>
              <w:right w:val="single" w:sz="4" w:space="0" w:color="auto"/>
            </w:tcBorders>
            <w:shd w:val="clear" w:color="auto" w:fill="auto"/>
            <w:noWrap/>
            <w:vAlign w:val="bottom"/>
            <w:hideMark/>
          </w:tcPr>
          <w:p>
            <w:pPr>
              <w:keepNext/>
              <w:keepLines/>
              <w:spacing w:before="0" w:after="0"/>
              <w:jc w:val="right"/>
              <w:rPr>
                <w:b/>
                <w:bCs/>
                <w:noProof/>
                <w:sz w:val="18"/>
                <w:szCs w:val="18"/>
              </w:rPr>
            </w:pPr>
            <w:r>
              <w:rPr>
                <w:b/>
                <w:bCs/>
                <w:noProof/>
                <w:sz w:val="18"/>
                <w:szCs w:val="18"/>
              </w:rPr>
              <w:t>-2 146,3</w:t>
            </w:r>
          </w:p>
        </w:tc>
      </w:tr>
      <w:tr>
        <w:trPr>
          <w:gridAfter w:val="1"/>
          <w:wAfter w:w="11" w:type="dxa"/>
          <w:trHeight w:val="255"/>
          <w:jc w:val="center"/>
        </w:trPr>
        <w:tc>
          <w:tcPr>
            <w:tcW w:w="2012" w:type="dxa"/>
            <w:tcBorders>
              <w:top w:val="nil"/>
              <w:left w:val="single" w:sz="4" w:space="0" w:color="auto"/>
              <w:bottom w:val="single" w:sz="4" w:space="0" w:color="auto"/>
              <w:right w:val="single" w:sz="4" w:space="0" w:color="auto"/>
            </w:tcBorders>
            <w:shd w:val="clear" w:color="auto" w:fill="auto"/>
            <w:noWrap/>
            <w:vAlign w:val="bottom"/>
            <w:hideMark/>
          </w:tcPr>
          <w:p>
            <w:pPr>
              <w:keepNext/>
              <w:keepLines/>
              <w:spacing w:before="0" w:after="0"/>
              <w:ind w:firstLineChars="100" w:firstLine="180"/>
              <w:jc w:val="left"/>
              <w:rPr>
                <w:i/>
                <w:iCs/>
                <w:noProof/>
                <w:sz w:val="18"/>
                <w:szCs w:val="18"/>
              </w:rPr>
            </w:pPr>
            <w:r>
              <w:rPr>
                <w:i/>
                <w:iCs/>
                <w:noProof/>
                <w:sz w:val="18"/>
                <w:szCs w:val="18"/>
              </w:rPr>
              <w:t>В плащания</w:t>
            </w:r>
          </w:p>
        </w:tc>
        <w:tc>
          <w:tcPr>
            <w:tcW w:w="925" w:type="dxa"/>
            <w:tcBorders>
              <w:top w:val="nil"/>
              <w:left w:val="nil"/>
              <w:bottom w:val="single" w:sz="4" w:space="0" w:color="auto"/>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0,0</w:t>
            </w:r>
          </w:p>
        </w:tc>
        <w:tc>
          <w:tcPr>
            <w:tcW w:w="925" w:type="dxa"/>
            <w:tcBorders>
              <w:top w:val="nil"/>
              <w:left w:val="nil"/>
              <w:bottom w:val="single" w:sz="4" w:space="0" w:color="auto"/>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0,0</w:t>
            </w:r>
          </w:p>
        </w:tc>
        <w:tc>
          <w:tcPr>
            <w:tcW w:w="925" w:type="dxa"/>
            <w:tcBorders>
              <w:top w:val="nil"/>
              <w:left w:val="nil"/>
              <w:bottom w:val="single" w:sz="4" w:space="0" w:color="auto"/>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0,0</w:t>
            </w:r>
          </w:p>
        </w:tc>
        <w:tc>
          <w:tcPr>
            <w:tcW w:w="1016" w:type="dxa"/>
            <w:tcBorders>
              <w:top w:val="nil"/>
              <w:left w:val="nil"/>
              <w:bottom w:val="single" w:sz="4" w:space="0" w:color="auto"/>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-2 818,2</w:t>
            </w:r>
          </w:p>
        </w:tc>
        <w:tc>
          <w:tcPr>
            <w:tcW w:w="925" w:type="dxa"/>
            <w:tcBorders>
              <w:top w:val="nil"/>
              <w:left w:val="nil"/>
              <w:bottom w:val="single" w:sz="4" w:space="0" w:color="auto"/>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0,0</w:t>
            </w:r>
          </w:p>
        </w:tc>
        <w:tc>
          <w:tcPr>
            <w:tcW w:w="925" w:type="dxa"/>
            <w:tcBorders>
              <w:top w:val="nil"/>
              <w:left w:val="nil"/>
              <w:bottom w:val="single" w:sz="4" w:space="0" w:color="auto"/>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0,0</w:t>
            </w:r>
          </w:p>
        </w:tc>
        <w:tc>
          <w:tcPr>
            <w:tcW w:w="925" w:type="dxa"/>
            <w:tcBorders>
              <w:top w:val="nil"/>
              <w:left w:val="nil"/>
              <w:bottom w:val="single" w:sz="4" w:space="0" w:color="auto"/>
              <w:right w:val="single" w:sz="4" w:space="0" w:color="auto"/>
            </w:tcBorders>
            <w:shd w:val="clear" w:color="auto" w:fill="auto"/>
            <w:noWrap/>
            <w:vAlign w:val="bottom"/>
            <w:hideMark/>
          </w:tcPr>
          <w:p>
            <w:pPr>
              <w:keepNext/>
              <w:keepLines/>
              <w:spacing w:before="0" w:after="0"/>
              <w:jc w:val="right"/>
              <w:rPr>
                <w:noProof/>
                <w:sz w:val="18"/>
                <w:szCs w:val="18"/>
              </w:rPr>
            </w:pPr>
            <w:r>
              <w:rPr>
                <w:noProof/>
                <w:sz w:val="18"/>
                <w:szCs w:val="18"/>
              </w:rPr>
              <w:t>0,0</w:t>
            </w:r>
          </w:p>
        </w:tc>
        <w:tc>
          <w:tcPr>
            <w:tcW w:w="1016" w:type="dxa"/>
            <w:tcBorders>
              <w:top w:val="nil"/>
              <w:left w:val="nil"/>
              <w:bottom w:val="single" w:sz="4" w:space="0" w:color="auto"/>
              <w:right w:val="single" w:sz="4" w:space="0" w:color="auto"/>
            </w:tcBorders>
            <w:shd w:val="clear" w:color="auto" w:fill="auto"/>
            <w:noWrap/>
            <w:vAlign w:val="bottom"/>
            <w:hideMark/>
          </w:tcPr>
          <w:p>
            <w:pPr>
              <w:keepNext/>
              <w:keepLines/>
              <w:spacing w:before="0" w:after="0"/>
              <w:jc w:val="right"/>
              <w:rPr>
                <w:b/>
                <w:bCs/>
                <w:noProof/>
                <w:sz w:val="18"/>
                <w:szCs w:val="18"/>
              </w:rPr>
            </w:pPr>
            <w:r>
              <w:rPr>
                <w:b/>
                <w:bCs/>
                <w:noProof/>
                <w:sz w:val="18"/>
                <w:szCs w:val="18"/>
              </w:rPr>
              <w:t>-2 818,2</w:t>
            </w:r>
          </w:p>
        </w:tc>
      </w:tr>
    </w:tbl>
    <w:p>
      <w:pPr>
        <w:pStyle w:val="ManualHeading2"/>
        <w:rPr>
          <w:noProof/>
        </w:rPr>
      </w:pPr>
      <w:r>
        <w:rPr>
          <w:noProof/>
        </w:rPr>
        <w:t>3.6.</w:t>
      </w:r>
      <w:r>
        <w:rPr>
          <w:noProof/>
        </w:rPr>
        <w:tab/>
        <w:t>Общ марж за поетите задължения (ОМПЗ) за растежа и заетостта, по-специално за младежката заетост, и за мерки в областта на миграцията и сигурността</w:t>
      </w:r>
    </w:p>
    <w:p>
      <w:pPr>
        <w:pStyle w:val="Text1"/>
        <w:rPr>
          <w:noProof/>
        </w:rPr>
      </w:pPr>
      <w:r>
        <w:rPr>
          <w:noProof/>
        </w:rPr>
        <w:t>Съгласно член 14 от Регламента за МФР, изменен с Регламент (ЕС, Евратом) № 2017/1123 на Съвета, останалите налични маржове под таваните на МФР за бюджетните кредити за поети задължения съставляват общ марж на МФР за бюджетните кредити за поети задължения, който да бъде предоставен над таваните, установени в МФР, за годините 2016—2020 за целите на политиката по отношение на растежа и заетостта, по-специално младежката заетост, и миграцията и сигурността.</w:t>
      </w:r>
    </w:p>
    <w:p>
      <w:pPr>
        <w:pStyle w:val="Text1"/>
        <w:rPr>
          <w:noProof/>
        </w:rPr>
      </w:pPr>
      <w:r>
        <w:rPr>
          <w:noProof/>
        </w:rPr>
        <w:t>В окончателния бюджет за 2019 г. останалият наличен марж под тавана на поетите задължения възлиза на 1 291,1 милиона евро. Поетите задължения по специалните инструменти (включително ОМПЗ и маржа за непредвидени обстоятелства) не са взети предвид, тъй като те се изпълняват над таваните на МФР.</w:t>
      </w:r>
    </w:p>
    <w:p>
      <w:pPr>
        <w:pStyle w:val="Text1"/>
        <w:rPr>
          <w:noProof/>
        </w:rPr>
      </w:pPr>
      <w:r>
        <w:rPr>
          <w:noProof/>
        </w:rPr>
        <w:t>Съгласно член 6, параграф 2 от Регламента за МФР за изчисляване на ОМПЗ се използва годишният дефлатор от 2 %. Размерът на оставащия марж от 2019 г., който се предоставя за 2020 г., възлиза на 1 316,9 милиона евро по текущи цени. Размерът на ОМПЗ по цени от 2011 г. възлиза на 1 101,9 милиона евро.</w:t>
      </w:r>
    </w:p>
    <w:p>
      <w:pPr>
        <w:pStyle w:val="Text1"/>
        <w:rPr>
          <w:noProof/>
        </w:rPr>
      </w:pPr>
      <w:r>
        <w:rPr>
          <w:noProof/>
        </w:rPr>
        <w:t>Таблицата по-долу съдържа информация за изчислението на ОМПЗ за 2019 г.:</w:t>
      </w:r>
    </w:p>
    <w:tbl>
      <w:tblPr>
        <w:tblW w:w="5870" w:type="dxa"/>
        <w:jc w:val="center"/>
        <w:tblCellMar>
          <w:left w:w="70" w:type="dxa"/>
          <w:right w:w="70" w:type="dxa"/>
        </w:tblCellMar>
        <w:tblLook w:val="04A0" w:firstRow="1" w:lastRow="0" w:firstColumn="1" w:lastColumn="0" w:noHBand="0" w:noVBand="1"/>
      </w:tblPr>
      <w:tblGrid>
        <w:gridCol w:w="4794"/>
        <w:gridCol w:w="1076"/>
      </w:tblGrid>
      <w:tr>
        <w:trPr>
          <w:trHeight w:val="270"/>
          <w:jc w:val="center"/>
        </w:trPr>
        <w:tc>
          <w:tcPr>
            <w:tcW w:w="5870" w:type="dxa"/>
            <w:gridSpan w:val="2"/>
            <w:tcBorders>
              <w:top w:val="single" w:sz="8" w:space="0" w:color="auto"/>
              <w:left w:val="single" w:sz="8" w:space="0" w:color="auto"/>
              <w:bottom w:val="single" w:sz="8" w:space="0" w:color="auto"/>
              <w:right w:val="single" w:sz="8" w:space="0" w:color="000000"/>
            </w:tcBorders>
            <w:shd w:val="clear" w:color="auto" w:fill="auto"/>
            <w:hideMark/>
          </w:tcPr>
          <w:p>
            <w:pPr>
              <w:spacing w:before="0" w:after="0"/>
              <w:jc w:val="center"/>
              <w:rPr>
                <w:b/>
                <w:bCs/>
                <w:noProof/>
                <w:sz w:val="18"/>
                <w:szCs w:val="18"/>
              </w:rPr>
            </w:pPr>
            <w:r>
              <w:rPr>
                <w:b/>
                <w:bCs/>
                <w:noProof/>
                <w:sz w:val="18"/>
                <w:szCs w:val="18"/>
              </w:rPr>
              <w:t>Общ марж за поетите задължения — 2019 г.</w:t>
            </w:r>
          </w:p>
        </w:tc>
      </w:tr>
      <w:tr>
        <w:trPr>
          <w:trHeight w:val="270"/>
          <w:jc w:val="center"/>
        </w:trPr>
        <w:tc>
          <w:tcPr>
            <w:tcW w:w="5870" w:type="dxa"/>
            <w:gridSpan w:val="2"/>
            <w:tcBorders>
              <w:top w:val="nil"/>
              <w:left w:val="single" w:sz="8" w:space="0" w:color="auto"/>
              <w:bottom w:val="single" w:sz="8" w:space="0" w:color="auto"/>
              <w:right w:val="single" w:sz="8" w:space="0" w:color="auto"/>
            </w:tcBorders>
            <w:shd w:val="clear" w:color="auto" w:fill="auto"/>
            <w:hideMark/>
          </w:tcPr>
          <w:p>
            <w:pPr>
              <w:spacing w:before="0" w:after="0"/>
              <w:jc w:val="right"/>
              <w:rPr>
                <w:i/>
                <w:iCs/>
                <w:noProof/>
                <w:sz w:val="18"/>
                <w:szCs w:val="18"/>
              </w:rPr>
            </w:pPr>
            <w:r>
              <w:rPr>
                <w:b/>
                <w:bCs/>
                <w:noProof/>
                <w:sz w:val="18"/>
                <w:szCs w:val="18"/>
              </w:rPr>
              <w:t> </w:t>
            </w:r>
            <w:r>
              <w:rPr>
                <w:i/>
                <w:iCs/>
                <w:noProof/>
                <w:sz w:val="18"/>
                <w:szCs w:val="18"/>
              </w:rPr>
              <w:t>(млн. евро)</w:t>
            </w:r>
          </w:p>
        </w:tc>
      </w:tr>
      <w:tr>
        <w:trPr>
          <w:trHeight w:val="270"/>
          <w:jc w:val="center"/>
        </w:trPr>
        <w:tc>
          <w:tcPr>
            <w:tcW w:w="4794" w:type="dxa"/>
            <w:tcBorders>
              <w:top w:val="nil"/>
              <w:left w:val="single" w:sz="8" w:space="0" w:color="auto"/>
              <w:bottom w:val="single" w:sz="8" w:space="0" w:color="auto"/>
              <w:right w:val="single" w:sz="8" w:space="0" w:color="auto"/>
            </w:tcBorders>
            <w:shd w:val="clear" w:color="auto" w:fill="auto"/>
            <w:hideMark/>
          </w:tcPr>
          <w:p>
            <w:pPr>
              <w:spacing w:before="0" w:after="0"/>
              <w:jc w:val="left"/>
              <w:rPr>
                <w:noProof/>
                <w:sz w:val="18"/>
                <w:szCs w:val="18"/>
              </w:rPr>
            </w:pPr>
            <w:r>
              <w:rPr>
                <w:noProof/>
                <w:sz w:val="18"/>
                <w:szCs w:val="18"/>
              </w:rPr>
              <w:t>Таван на БКПЗ за 2019 г.</w:t>
            </w:r>
          </w:p>
        </w:tc>
        <w:tc>
          <w:tcPr>
            <w:tcW w:w="1076" w:type="dxa"/>
            <w:tcBorders>
              <w:top w:val="nil"/>
              <w:left w:val="nil"/>
              <w:bottom w:val="single" w:sz="8" w:space="0" w:color="auto"/>
              <w:right w:val="single" w:sz="8" w:space="0" w:color="auto"/>
            </w:tcBorders>
            <w:shd w:val="clear" w:color="auto" w:fill="auto"/>
            <w:hideMark/>
          </w:tcPr>
          <w:p>
            <w:pPr>
              <w:spacing w:before="0" w:after="0"/>
              <w:jc w:val="right"/>
              <w:rPr>
                <w:noProof/>
                <w:sz w:val="18"/>
                <w:szCs w:val="18"/>
              </w:rPr>
            </w:pPr>
            <w:r>
              <w:rPr>
                <w:noProof/>
                <w:sz w:val="18"/>
                <w:szCs w:val="18"/>
              </w:rPr>
              <w:t>164 123,0</w:t>
            </w:r>
          </w:p>
        </w:tc>
      </w:tr>
      <w:tr>
        <w:trPr>
          <w:trHeight w:val="270"/>
          <w:jc w:val="center"/>
        </w:trPr>
        <w:tc>
          <w:tcPr>
            <w:tcW w:w="4794" w:type="dxa"/>
            <w:tcBorders>
              <w:top w:val="nil"/>
              <w:left w:val="single" w:sz="8" w:space="0" w:color="auto"/>
              <w:bottom w:val="single" w:sz="8" w:space="0" w:color="auto"/>
              <w:right w:val="single" w:sz="8" w:space="0" w:color="auto"/>
            </w:tcBorders>
            <w:shd w:val="clear" w:color="auto" w:fill="auto"/>
            <w:hideMark/>
          </w:tcPr>
          <w:p>
            <w:pPr>
              <w:spacing w:before="0" w:after="0"/>
              <w:jc w:val="left"/>
              <w:rPr>
                <w:noProof/>
                <w:sz w:val="18"/>
                <w:szCs w:val="18"/>
              </w:rPr>
            </w:pPr>
            <w:r>
              <w:rPr>
                <w:noProof/>
                <w:sz w:val="18"/>
                <w:szCs w:val="18"/>
              </w:rPr>
              <w:t>Общо разрешени бюджетни кредити в бюджета за 2019 г.</w:t>
            </w:r>
          </w:p>
        </w:tc>
        <w:tc>
          <w:tcPr>
            <w:tcW w:w="1076" w:type="dxa"/>
            <w:tcBorders>
              <w:top w:val="nil"/>
              <w:left w:val="nil"/>
              <w:bottom w:val="single" w:sz="8" w:space="0" w:color="auto"/>
              <w:right w:val="single" w:sz="8" w:space="0" w:color="auto"/>
            </w:tcBorders>
            <w:shd w:val="clear" w:color="auto" w:fill="auto"/>
            <w:hideMark/>
          </w:tcPr>
          <w:p>
            <w:pPr>
              <w:spacing w:before="0" w:after="0"/>
              <w:jc w:val="right"/>
              <w:rPr>
                <w:noProof/>
                <w:sz w:val="18"/>
                <w:szCs w:val="18"/>
              </w:rPr>
            </w:pPr>
            <w:r>
              <w:rPr>
                <w:noProof/>
                <w:sz w:val="18"/>
                <w:szCs w:val="18"/>
              </w:rPr>
              <w:t>166 189,2</w:t>
            </w:r>
          </w:p>
        </w:tc>
      </w:tr>
      <w:tr>
        <w:trPr>
          <w:trHeight w:val="270"/>
          <w:jc w:val="center"/>
        </w:trPr>
        <w:tc>
          <w:tcPr>
            <w:tcW w:w="4794" w:type="dxa"/>
            <w:tcBorders>
              <w:top w:val="nil"/>
              <w:left w:val="single" w:sz="8" w:space="0" w:color="auto"/>
              <w:bottom w:val="single" w:sz="8" w:space="0" w:color="auto"/>
              <w:right w:val="single" w:sz="8" w:space="0" w:color="auto"/>
            </w:tcBorders>
            <w:shd w:val="clear" w:color="auto" w:fill="auto"/>
            <w:hideMark/>
          </w:tcPr>
          <w:p>
            <w:pPr>
              <w:spacing w:before="0" w:after="0"/>
              <w:jc w:val="left"/>
              <w:rPr>
                <w:noProof/>
                <w:sz w:val="18"/>
                <w:szCs w:val="18"/>
              </w:rPr>
            </w:pPr>
            <w:r>
              <w:rPr>
                <w:noProof/>
                <w:sz w:val="18"/>
                <w:szCs w:val="18"/>
              </w:rPr>
              <w:t>от които специални инструменти:</w:t>
            </w:r>
          </w:p>
        </w:tc>
        <w:tc>
          <w:tcPr>
            <w:tcW w:w="1076" w:type="dxa"/>
            <w:tcBorders>
              <w:top w:val="nil"/>
              <w:left w:val="nil"/>
              <w:bottom w:val="single" w:sz="8" w:space="0" w:color="auto"/>
              <w:right w:val="single" w:sz="8" w:space="0" w:color="auto"/>
            </w:tcBorders>
            <w:shd w:val="clear" w:color="auto" w:fill="auto"/>
            <w:hideMark/>
          </w:tcPr>
          <w:p>
            <w:pPr>
              <w:spacing w:before="0" w:after="0"/>
              <w:jc w:val="right"/>
              <w:rPr>
                <w:noProof/>
                <w:sz w:val="18"/>
                <w:szCs w:val="18"/>
              </w:rPr>
            </w:pPr>
            <w:r>
              <w:rPr>
                <w:noProof/>
                <w:sz w:val="18"/>
                <w:szCs w:val="18"/>
              </w:rPr>
              <w:t>3 357,3</w:t>
            </w:r>
          </w:p>
        </w:tc>
      </w:tr>
      <w:tr>
        <w:trPr>
          <w:trHeight w:val="255"/>
          <w:jc w:val="center"/>
        </w:trPr>
        <w:tc>
          <w:tcPr>
            <w:tcW w:w="4794" w:type="dxa"/>
            <w:tcBorders>
              <w:top w:val="nil"/>
              <w:left w:val="single" w:sz="8" w:space="0" w:color="auto"/>
              <w:bottom w:val="nil"/>
              <w:right w:val="single" w:sz="8" w:space="0" w:color="auto"/>
            </w:tcBorders>
            <w:shd w:val="clear" w:color="auto" w:fill="auto"/>
            <w:vAlign w:val="center"/>
            <w:hideMark/>
          </w:tcPr>
          <w:p>
            <w:pPr>
              <w:spacing w:before="0" w:after="0"/>
              <w:ind w:firstLineChars="100" w:firstLine="180"/>
              <w:jc w:val="left"/>
              <w:rPr>
                <w:noProof/>
                <w:sz w:val="18"/>
                <w:szCs w:val="18"/>
              </w:rPr>
            </w:pPr>
            <w:r>
              <w:rPr>
                <w:noProof/>
                <w:sz w:val="18"/>
                <w:szCs w:val="18"/>
              </w:rPr>
              <w:t>Фонд „Солидарност“ на Европейския съюз</w:t>
            </w:r>
          </w:p>
        </w:tc>
        <w:tc>
          <w:tcPr>
            <w:tcW w:w="1076" w:type="dxa"/>
            <w:tcBorders>
              <w:top w:val="nil"/>
              <w:left w:val="nil"/>
              <w:bottom w:val="nil"/>
              <w:right w:val="single" w:sz="8" w:space="0" w:color="auto"/>
            </w:tcBorders>
            <w:shd w:val="clear" w:color="auto" w:fill="auto"/>
            <w:hideMark/>
          </w:tcPr>
          <w:p>
            <w:pPr>
              <w:spacing w:before="0" w:after="0"/>
              <w:jc w:val="right"/>
              <w:rPr>
                <w:noProof/>
                <w:sz w:val="18"/>
                <w:szCs w:val="18"/>
              </w:rPr>
            </w:pPr>
            <w:r>
              <w:rPr>
                <w:noProof/>
                <w:sz w:val="18"/>
                <w:szCs w:val="18"/>
              </w:rPr>
              <w:t>343,6</w:t>
            </w:r>
          </w:p>
        </w:tc>
      </w:tr>
      <w:tr>
        <w:trPr>
          <w:trHeight w:val="255"/>
          <w:jc w:val="center"/>
        </w:trPr>
        <w:tc>
          <w:tcPr>
            <w:tcW w:w="4794" w:type="dxa"/>
            <w:tcBorders>
              <w:top w:val="nil"/>
              <w:left w:val="single" w:sz="8" w:space="0" w:color="auto"/>
              <w:bottom w:val="nil"/>
              <w:right w:val="single" w:sz="8" w:space="0" w:color="auto"/>
            </w:tcBorders>
            <w:shd w:val="clear" w:color="auto" w:fill="auto"/>
            <w:vAlign w:val="center"/>
            <w:hideMark/>
          </w:tcPr>
          <w:p>
            <w:pPr>
              <w:spacing w:before="0" w:after="0"/>
              <w:ind w:firstLineChars="100" w:firstLine="180"/>
              <w:jc w:val="left"/>
              <w:rPr>
                <w:noProof/>
                <w:sz w:val="18"/>
                <w:szCs w:val="18"/>
              </w:rPr>
            </w:pPr>
            <w:r>
              <w:rPr>
                <w:noProof/>
                <w:sz w:val="18"/>
                <w:szCs w:val="18"/>
              </w:rPr>
              <w:t>Европейски фонд за приспособяване към глобализацията</w:t>
            </w:r>
          </w:p>
        </w:tc>
        <w:tc>
          <w:tcPr>
            <w:tcW w:w="1076" w:type="dxa"/>
            <w:tcBorders>
              <w:top w:val="nil"/>
              <w:left w:val="nil"/>
              <w:bottom w:val="nil"/>
              <w:right w:val="single" w:sz="8" w:space="0" w:color="auto"/>
            </w:tcBorders>
            <w:shd w:val="clear" w:color="auto" w:fill="auto"/>
            <w:hideMark/>
          </w:tcPr>
          <w:p>
            <w:pPr>
              <w:spacing w:before="0" w:after="0"/>
              <w:jc w:val="right"/>
              <w:rPr>
                <w:noProof/>
                <w:sz w:val="18"/>
                <w:szCs w:val="18"/>
              </w:rPr>
            </w:pPr>
            <w:r>
              <w:rPr>
                <w:noProof/>
                <w:sz w:val="18"/>
                <w:szCs w:val="18"/>
              </w:rPr>
              <w:t>175,7</w:t>
            </w:r>
          </w:p>
        </w:tc>
      </w:tr>
      <w:tr>
        <w:trPr>
          <w:trHeight w:val="255"/>
          <w:jc w:val="center"/>
        </w:trPr>
        <w:tc>
          <w:tcPr>
            <w:tcW w:w="4794" w:type="dxa"/>
            <w:tcBorders>
              <w:top w:val="nil"/>
              <w:left w:val="single" w:sz="8" w:space="0" w:color="auto"/>
              <w:bottom w:val="nil"/>
              <w:right w:val="single" w:sz="8" w:space="0" w:color="auto"/>
            </w:tcBorders>
            <w:shd w:val="clear" w:color="auto" w:fill="auto"/>
            <w:vAlign w:val="center"/>
            <w:hideMark/>
          </w:tcPr>
          <w:p>
            <w:pPr>
              <w:spacing w:before="0" w:after="0"/>
              <w:ind w:firstLineChars="100" w:firstLine="180"/>
              <w:jc w:val="left"/>
              <w:rPr>
                <w:noProof/>
                <w:sz w:val="18"/>
                <w:szCs w:val="18"/>
              </w:rPr>
            </w:pPr>
            <w:r>
              <w:rPr>
                <w:noProof/>
                <w:sz w:val="18"/>
                <w:szCs w:val="18"/>
              </w:rPr>
              <w:t>Резерв за спешна помощ</w:t>
            </w:r>
          </w:p>
        </w:tc>
        <w:tc>
          <w:tcPr>
            <w:tcW w:w="1076" w:type="dxa"/>
            <w:tcBorders>
              <w:top w:val="nil"/>
              <w:left w:val="nil"/>
              <w:bottom w:val="nil"/>
              <w:right w:val="single" w:sz="8" w:space="0" w:color="auto"/>
            </w:tcBorders>
            <w:shd w:val="clear" w:color="auto" w:fill="auto"/>
            <w:hideMark/>
          </w:tcPr>
          <w:p>
            <w:pPr>
              <w:spacing w:before="0" w:after="0"/>
              <w:jc w:val="right"/>
              <w:rPr>
                <w:noProof/>
                <w:sz w:val="18"/>
                <w:szCs w:val="18"/>
              </w:rPr>
            </w:pPr>
            <w:r>
              <w:rPr>
                <w:noProof/>
                <w:sz w:val="18"/>
                <w:szCs w:val="18"/>
              </w:rPr>
              <w:t>351,5</w:t>
            </w:r>
          </w:p>
        </w:tc>
      </w:tr>
      <w:tr>
        <w:trPr>
          <w:trHeight w:val="255"/>
          <w:jc w:val="center"/>
        </w:trPr>
        <w:tc>
          <w:tcPr>
            <w:tcW w:w="4794" w:type="dxa"/>
            <w:tcBorders>
              <w:top w:val="nil"/>
              <w:left w:val="single" w:sz="8" w:space="0" w:color="auto"/>
              <w:bottom w:val="nil"/>
              <w:right w:val="single" w:sz="8" w:space="0" w:color="auto"/>
            </w:tcBorders>
            <w:shd w:val="clear" w:color="auto" w:fill="auto"/>
            <w:vAlign w:val="center"/>
            <w:hideMark/>
          </w:tcPr>
          <w:p>
            <w:pPr>
              <w:spacing w:before="0" w:after="0"/>
              <w:ind w:firstLineChars="100" w:firstLine="180"/>
              <w:jc w:val="left"/>
              <w:rPr>
                <w:noProof/>
                <w:sz w:val="18"/>
                <w:szCs w:val="18"/>
              </w:rPr>
            </w:pPr>
            <w:r>
              <w:rPr>
                <w:noProof/>
                <w:sz w:val="18"/>
                <w:szCs w:val="18"/>
              </w:rPr>
              <w:t>Инструмент за гъвкавост</w:t>
            </w:r>
          </w:p>
        </w:tc>
        <w:tc>
          <w:tcPr>
            <w:tcW w:w="1076" w:type="dxa"/>
            <w:tcBorders>
              <w:top w:val="nil"/>
              <w:left w:val="nil"/>
              <w:bottom w:val="nil"/>
              <w:right w:val="single" w:sz="8" w:space="0" w:color="auto"/>
            </w:tcBorders>
            <w:shd w:val="clear" w:color="auto" w:fill="auto"/>
            <w:hideMark/>
          </w:tcPr>
          <w:p>
            <w:pPr>
              <w:spacing w:before="0" w:after="0"/>
              <w:jc w:val="right"/>
              <w:rPr>
                <w:noProof/>
                <w:sz w:val="18"/>
                <w:szCs w:val="18"/>
              </w:rPr>
            </w:pPr>
            <w:r>
              <w:rPr>
                <w:noProof/>
                <w:sz w:val="18"/>
                <w:szCs w:val="18"/>
              </w:rPr>
              <w:t>1 164,3</w:t>
            </w:r>
          </w:p>
        </w:tc>
      </w:tr>
      <w:tr>
        <w:trPr>
          <w:trHeight w:val="270"/>
          <w:jc w:val="center"/>
        </w:trPr>
        <w:tc>
          <w:tcPr>
            <w:tcW w:w="4794" w:type="dxa"/>
            <w:tcBorders>
              <w:top w:val="nil"/>
              <w:left w:val="single" w:sz="8" w:space="0" w:color="auto"/>
              <w:bottom w:val="nil"/>
              <w:right w:val="single" w:sz="8" w:space="0" w:color="auto"/>
            </w:tcBorders>
            <w:shd w:val="clear" w:color="auto" w:fill="auto"/>
            <w:vAlign w:val="center"/>
            <w:hideMark/>
          </w:tcPr>
          <w:p>
            <w:pPr>
              <w:spacing w:before="0" w:after="0"/>
              <w:ind w:firstLineChars="100" w:firstLine="180"/>
              <w:jc w:val="left"/>
              <w:rPr>
                <w:noProof/>
                <w:sz w:val="18"/>
                <w:szCs w:val="18"/>
              </w:rPr>
            </w:pPr>
            <w:r>
              <w:rPr>
                <w:noProof/>
                <w:sz w:val="18"/>
                <w:szCs w:val="18"/>
              </w:rPr>
              <w:t>Марж за непредвидени обстоятелства</w:t>
            </w:r>
          </w:p>
        </w:tc>
        <w:tc>
          <w:tcPr>
            <w:tcW w:w="1076" w:type="dxa"/>
            <w:tcBorders>
              <w:top w:val="nil"/>
              <w:left w:val="nil"/>
              <w:bottom w:val="nil"/>
              <w:right w:val="single" w:sz="8" w:space="0" w:color="auto"/>
            </w:tcBorders>
            <w:shd w:val="clear" w:color="auto" w:fill="auto"/>
            <w:hideMark/>
          </w:tcPr>
          <w:p>
            <w:pPr>
              <w:spacing w:before="0" w:after="0"/>
              <w:jc w:val="right"/>
              <w:rPr>
                <w:noProof/>
                <w:sz w:val="18"/>
                <w:szCs w:val="18"/>
              </w:rPr>
            </w:pPr>
            <w:r>
              <w:rPr>
                <w:noProof/>
                <w:sz w:val="18"/>
                <w:szCs w:val="18"/>
              </w:rPr>
              <w:t>-253,9</w:t>
            </w:r>
          </w:p>
        </w:tc>
      </w:tr>
      <w:tr>
        <w:trPr>
          <w:trHeight w:val="270"/>
          <w:jc w:val="center"/>
        </w:trPr>
        <w:tc>
          <w:tcPr>
            <w:tcW w:w="4794" w:type="dxa"/>
            <w:tcBorders>
              <w:top w:val="nil"/>
              <w:left w:val="single" w:sz="8" w:space="0" w:color="auto"/>
              <w:bottom w:val="nil"/>
              <w:right w:val="single" w:sz="8" w:space="0" w:color="auto"/>
            </w:tcBorders>
            <w:shd w:val="clear" w:color="auto" w:fill="auto"/>
            <w:hideMark/>
          </w:tcPr>
          <w:p>
            <w:pPr>
              <w:spacing w:before="0" w:after="0"/>
              <w:ind w:firstLineChars="100" w:firstLine="180"/>
              <w:jc w:val="left"/>
              <w:rPr>
                <w:noProof/>
                <w:sz w:val="18"/>
                <w:szCs w:val="18"/>
              </w:rPr>
            </w:pPr>
            <w:r>
              <w:rPr>
                <w:noProof/>
                <w:sz w:val="18"/>
                <w:szCs w:val="18"/>
              </w:rPr>
              <w:t>ОМПЗ, мобилизиран през 2019 г.</w:t>
            </w:r>
          </w:p>
        </w:tc>
        <w:tc>
          <w:tcPr>
            <w:tcW w:w="1076" w:type="dxa"/>
            <w:tcBorders>
              <w:top w:val="nil"/>
              <w:left w:val="nil"/>
              <w:bottom w:val="nil"/>
              <w:right w:val="single" w:sz="8" w:space="0" w:color="auto"/>
            </w:tcBorders>
            <w:shd w:val="clear" w:color="auto" w:fill="auto"/>
            <w:hideMark/>
          </w:tcPr>
          <w:p>
            <w:pPr>
              <w:spacing w:before="0" w:after="0"/>
              <w:jc w:val="right"/>
              <w:rPr>
                <w:noProof/>
                <w:sz w:val="18"/>
                <w:szCs w:val="18"/>
              </w:rPr>
            </w:pPr>
            <w:r>
              <w:rPr>
                <w:noProof/>
                <w:sz w:val="18"/>
                <w:szCs w:val="18"/>
              </w:rPr>
              <w:t>1 576,0</w:t>
            </w:r>
          </w:p>
        </w:tc>
      </w:tr>
      <w:tr>
        <w:trPr>
          <w:trHeight w:val="270"/>
          <w:jc w:val="center"/>
        </w:trPr>
        <w:tc>
          <w:tcPr>
            <w:tcW w:w="4794"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before="0" w:after="0"/>
              <w:jc w:val="left"/>
              <w:rPr>
                <w:b/>
                <w:bCs/>
                <w:noProof/>
                <w:sz w:val="18"/>
                <w:szCs w:val="18"/>
              </w:rPr>
            </w:pPr>
            <w:r>
              <w:rPr>
                <w:b/>
                <w:bCs/>
                <w:noProof/>
                <w:sz w:val="18"/>
                <w:szCs w:val="18"/>
              </w:rPr>
              <w:t>Общ марж за поетите задължения за 2019 г. (по текущи цени)</w:t>
            </w:r>
          </w:p>
        </w:tc>
        <w:tc>
          <w:tcPr>
            <w:tcW w:w="1076" w:type="dxa"/>
            <w:tcBorders>
              <w:top w:val="single" w:sz="8" w:space="0" w:color="auto"/>
              <w:left w:val="nil"/>
              <w:bottom w:val="single" w:sz="8" w:space="0" w:color="auto"/>
              <w:right w:val="single" w:sz="8" w:space="0" w:color="auto"/>
            </w:tcBorders>
            <w:shd w:val="clear" w:color="auto" w:fill="auto"/>
            <w:hideMark/>
          </w:tcPr>
          <w:p>
            <w:pPr>
              <w:spacing w:before="0" w:after="0"/>
              <w:jc w:val="right"/>
              <w:rPr>
                <w:b/>
                <w:bCs/>
                <w:noProof/>
                <w:sz w:val="18"/>
                <w:szCs w:val="18"/>
              </w:rPr>
            </w:pPr>
            <w:r>
              <w:rPr>
                <w:b/>
                <w:bCs/>
                <w:noProof/>
                <w:sz w:val="18"/>
                <w:szCs w:val="18"/>
              </w:rPr>
              <w:t>1 291,1</w:t>
            </w:r>
          </w:p>
        </w:tc>
      </w:tr>
      <w:tr>
        <w:trPr>
          <w:trHeight w:val="270"/>
          <w:jc w:val="center"/>
        </w:trPr>
        <w:tc>
          <w:tcPr>
            <w:tcW w:w="4794" w:type="dxa"/>
            <w:tcBorders>
              <w:top w:val="nil"/>
              <w:left w:val="single" w:sz="8" w:space="0" w:color="auto"/>
              <w:bottom w:val="single" w:sz="8" w:space="0" w:color="auto"/>
              <w:right w:val="single" w:sz="8" w:space="0" w:color="auto"/>
            </w:tcBorders>
            <w:shd w:val="clear" w:color="auto" w:fill="auto"/>
            <w:hideMark/>
          </w:tcPr>
          <w:p>
            <w:pPr>
              <w:spacing w:before="0" w:after="0"/>
              <w:jc w:val="left"/>
              <w:rPr>
                <w:i/>
                <w:iCs/>
                <w:noProof/>
                <w:sz w:val="18"/>
                <w:szCs w:val="18"/>
              </w:rPr>
            </w:pPr>
            <w:r>
              <w:rPr>
                <w:i/>
                <w:iCs/>
                <w:noProof/>
                <w:sz w:val="18"/>
                <w:szCs w:val="18"/>
              </w:rPr>
              <w:t>Общ марж за поетите задължения за 2019 г. (по цени от 2011 г.)</w:t>
            </w:r>
          </w:p>
        </w:tc>
        <w:tc>
          <w:tcPr>
            <w:tcW w:w="1076" w:type="dxa"/>
            <w:tcBorders>
              <w:top w:val="nil"/>
              <w:left w:val="nil"/>
              <w:bottom w:val="single" w:sz="8" w:space="0" w:color="auto"/>
              <w:right w:val="single" w:sz="8" w:space="0" w:color="auto"/>
            </w:tcBorders>
            <w:shd w:val="clear" w:color="auto" w:fill="auto"/>
            <w:hideMark/>
          </w:tcPr>
          <w:p>
            <w:pPr>
              <w:spacing w:before="0" w:after="0"/>
              <w:jc w:val="right"/>
              <w:rPr>
                <w:i/>
                <w:iCs/>
                <w:noProof/>
                <w:sz w:val="18"/>
                <w:szCs w:val="18"/>
              </w:rPr>
            </w:pPr>
            <w:r>
              <w:rPr>
                <w:i/>
                <w:iCs/>
                <w:noProof/>
                <w:sz w:val="18"/>
                <w:szCs w:val="18"/>
              </w:rPr>
              <w:t>1 101,9</w:t>
            </w:r>
          </w:p>
        </w:tc>
      </w:tr>
      <w:tr>
        <w:trPr>
          <w:trHeight w:val="270"/>
          <w:jc w:val="center"/>
        </w:trPr>
        <w:tc>
          <w:tcPr>
            <w:tcW w:w="4794" w:type="dxa"/>
            <w:tcBorders>
              <w:top w:val="nil"/>
              <w:left w:val="single" w:sz="8" w:space="0" w:color="auto"/>
              <w:bottom w:val="single" w:sz="8" w:space="0" w:color="auto"/>
              <w:right w:val="single" w:sz="8" w:space="0" w:color="auto"/>
            </w:tcBorders>
            <w:shd w:val="clear" w:color="auto" w:fill="auto"/>
            <w:hideMark/>
          </w:tcPr>
          <w:p>
            <w:pPr>
              <w:spacing w:before="0" w:after="0"/>
              <w:jc w:val="left"/>
              <w:rPr>
                <w:b/>
                <w:bCs/>
                <w:noProof/>
                <w:sz w:val="18"/>
                <w:szCs w:val="18"/>
              </w:rPr>
            </w:pPr>
            <w:r>
              <w:rPr>
                <w:b/>
                <w:bCs/>
                <w:noProof/>
                <w:sz w:val="18"/>
                <w:szCs w:val="18"/>
              </w:rPr>
              <w:t>ОМПЗ за 2019, наличен през 2020 г. (по текущи цени)</w:t>
            </w:r>
          </w:p>
        </w:tc>
        <w:tc>
          <w:tcPr>
            <w:tcW w:w="1076" w:type="dxa"/>
            <w:tcBorders>
              <w:top w:val="nil"/>
              <w:left w:val="nil"/>
              <w:bottom w:val="single" w:sz="8" w:space="0" w:color="auto"/>
              <w:right w:val="single" w:sz="8" w:space="0" w:color="auto"/>
            </w:tcBorders>
            <w:shd w:val="clear" w:color="auto" w:fill="auto"/>
            <w:hideMark/>
          </w:tcPr>
          <w:p>
            <w:pPr>
              <w:spacing w:before="0" w:after="0"/>
              <w:jc w:val="right"/>
              <w:rPr>
                <w:b/>
                <w:bCs/>
                <w:noProof/>
                <w:sz w:val="18"/>
                <w:szCs w:val="18"/>
              </w:rPr>
            </w:pPr>
            <w:r>
              <w:rPr>
                <w:b/>
                <w:bCs/>
                <w:noProof/>
                <w:sz w:val="18"/>
                <w:szCs w:val="18"/>
              </w:rPr>
              <w:t>1 316,9</w:t>
            </w:r>
          </w:p>
        </w:tc>
      </w:tr>
    </w:tbl>
    <w:p>
      <w:pPr>
        <w:pStyle w:val="Text1"/>
        <w:rPr>
          <w:noProof/>
        </w:rPr>
      </w:pPr>
      <w:r>
        <w:rPr>
          <w:noProof/>
        </w:rPr>
        <w:t>Понастоящем част от ОМПЗ за 2018 г. (1 075,5 милиона евро по цени от 2020 г.) остава на разположение. Следователно общата наличност на ОМПЗ през 2020 г. е 2 392,4 милиона евро (по текущи цени за 2020 г.).</w:t>
      </w:r>
    </w:p>
    <w:p>
      <w:pPr>
        <w:pStyle w:val="Text1"/>
        <w:rPr>
          <w:noProof/>
        </w:rPr>
      </w:pPr>
      <w:r>
        <w:rPr>
          <w:noProof/>
        </w:rPr>
        <w:t>Таблицата по-долу съдържа информация за наличностите и използването на общия марж за поетите задължения от 2014 г. насам:</w:t>
      </w:r>
    </w:p>
    <w:tbl>
      <w:tblPr>
        <w:tblW w:w="9497" w:type="dxa"/>
        <w:tblInd w:w="70" w:type="dxa"/>
        <w:tblCellMar>
          <w:left w:w="70" w:type="dxa"/>
          <w:right w:w="70" w:type="dxa"/>
        </w:tblCellMar>
        <w:tblLook w:val="04A0" w:firstRow="1" w:lastRow="0" w:firstColumn="1" w:lastColumn="0" w:noHBand="0" w:noVBand="1"/>
      </w:tblPr>
      <w:tblGrid>
        <w:gridCol w:w="3544"/>
        <w:gridCol w:w="850"/>
        <w:gridCol w:w="851"/>
        <w:gridCol w:w="850"/>
        <w:gridCol w:w="851"/>
        <w:gridCol w:w="850"/>
        <w:gridCol w:w="851"/>
        <w:gridCol w:w="850"/>
      </w:tblGrid>
      <w:tr>
        <w:trPr>
          <w:trHeight w:val="270"/>
        </w:trPr>
        <w:tc>
          <w:tcPr>
            <w:tcW w:w="3544" w:type="dxa"/>
            <w:tcBorders>
              <w:top w:val="nil"/>
              <w:left w:val="nil"/>
              <w:bottom w:val="single" w:sz="8" w:space="0" w:color="auto"/>
              <w:right w:val="single" w:sz="8" w:space="0" w:color="000000"/>
            </w:tcBorders>
            <w:shd w:val="clear" w:color="auto" w:fill="auto"/>
            <w:noWrap/>
            <w:vAlign w:val="bottom"/>
            <w:hideMark/>
          </w:tcPr>
          <w:p>
            <w:pPr>
              <w:spacing w:before="0" w:after="0"/>
              <w:jc w:val="center"/>
              <w:rPr>
                <w:noProof/>
                <w:color w:val="000000"/>
                <w:sz w:val="18"/>
                <w:szCs w:val="18"/>
              </w:rPr>
            </w:pPr>
            <w:r>
              <w:rPr>
                <w:noProof/>
                <w:sz w:val="18"/>
                <w:szCs w:val="18"/>
              </w:rPr>
              <w:t> </w:t>
            </w:r>
          </w:p>
        </w:tc>
        <w:tc>
          <w:tcPr>
            <w:tcW w:w="850" w:type="dxa"/>
            <w:tcBorders>
              <w:top w:val="single" w:sz="8" w:space="0" w:color="auto"/>
              <w:left w:val="nil"/>
              <w:bottom w:val="single" w:sz="8" w:space="0" w:color="auto"/>
              <w:right w:val="single" w:sz="4" w:space="0" w:color="000000"/>
            </w:tcBorders>
            <w:shd w:val="clear" w:color="auto" w:fill="auto"/>
            <w:vAlign w:val="center"/>
            <w:hideMark/>
          </w:tcPr>
          <w:p>
            <w:pPr>
              <w:spacing w:before="0" w:after="0"/>
              <w:jc w:val="center"/>
              <w:rPr>
                <w:b/>
                <w:bCs/>
                <w:noProof/>
                <w:sz w:val="18"/>
                <w:szCs w:val="18"/>
              </w:rPr>
            </w:pPr>
            <w:r>
              <w:rPr>
                <w:b/>
                <w:bCs/>
                <w:noProof/>
                <w:sz w:val="18"/>
                <w:szCs w:val="18"/>
              </w:rPr>
              <w:t>2014 г.</w:t>
            </w:r>
          </w:p>
        </w:tc>
        <w:tc>
          <w:tcPr>
            <w:tcW w:w="851" w:type="dxa"/>
            <w:tcBorders>
              <w:top w:val="single" w:sz="8" w:space="0" w:color="auto"/>
              <w:left w:val="single" w:sz="8" w:space="0" w:color="000000"/>
              <w:bottom w:val="single" w:sz="8" w:space="0" w:color="auto"/>
              <w:right w:val="single" w:sz="4" w:space="0" w:color="000000"/>
            </w:tcBorders>
            <w:shd w:val="clear" w:color="auto" w:fill="auto"/>
            <w:vAlign w:val="center"/>
            <w:hideMark/>
          </w:tcPr>
          <w:p>
            <w:pPr>
              <w:spacing w:before="0" w:after="0"/>
              <w:jc w:val="center"/>
              <w:rPr>
                <w:b/>
                <w:bCs/>
                <w:noProof/>
                <w:sz w:val="18"/>
                <w:szCs w:val="18"/>
              </w:rPr>
            </w:pPr>
            <w:r>
              <w:rPr>
                <w:b/>
                <w:bCs/>
                <w:noProof/>
                <w:sz w:val="18"/>
                <w:szCs w:val="18"/>
              </w:rPr>
              <w:t>2015 г.</w:t>
            </w:r>
          </w:p>
        </w:tc>
        <w:tc>
          <w:tcPr>
            <w:tcW w:w="850" w:type="dxa"/>
            <w:tcBorders>
              <w:top w:val="single" w:sz="8" w:space="0" w:color="auto"/>
              <w:left w:val="single" w:sz="8" w:space="0" w:color="000000"/>
              <w:bottom w:val="single" w:sz="8" w:space="0" w:color="auto"/>
              <w:right w:val="single" w:sz="4" w:space="0" w:color="000000"/>
            </w:tcBorders>
            <w:shd w:val="clear" w:color="auto" w:fill="auto"/>
            <w:vAlign w:val="center"/>
            <w:hideMark/>
          </w:tcPr>
          <w:p>
            <w:pPr>
              <w:spacing w:before="0" w:after="0"/>
              <w:jc w:val="center"/>
              <w:rPr>
                <w:b/>
                <w:bCs/>
                <w:noProof/>
                <w:sz w:val="18"/>
                <w:szCs w:val="18"/>
              </w:rPr>
            </w:pPr>
            <w:r>
              <w:rPr>
                <w:b/>
                <w:bCs/>
                <w:noProof/>
                <w:sz w:val="18"/>
                <w:szCs w:val="18"/>
              </w:rPr>
              <w:t>2016 г.</w:t>
            </w:r>
          </w:p>
        </w:tc>
        <w:tc>
          <w:tcPr>
            <w:tcW w:w="851" w:type="dxa"/>
            <w:tcBorders>
              <w:top w:val="single" w:sz="8" w:space="0" w:color="auto"/>
              <w:left w:val="single" w:sz="8" w:space="0" w:color="000000"/>
              <w:bottom w:val="single" w:sz="8" w:space="0" w:color="auto"/>
              <w:right w:val="single" w:sz="4" w:space="0" w:color="000000"/>
            </w:tcBorders>
            <w:shd w:val="clear" w:color="auto" w:fill="auto"/>
            <w:vAlign w:val="center"/>
            <w:hideMark/>
          </w:tcPr>
          <w:p>
            <w:pPr>
              <w:spacing w:before="0" w:after="0"/>
              <w:jc w:val="center"/>
              <w:rPr>
                <w:b/>
                <w:bCs/>
                <w:noProof/>
                <w:sz w:val="18"/>
                <w:szCs w:val="18"/>
              </w:rPr>
            </w:pPr>
            <w:r>
              <w:rPr>
                <w:b/>
                <w:bCs/>
                <w:noProof/>
                <w:sz w:val="18"/>
                <w:szCs w:val="18"/>
              </w:rPr>
              <w:t>2017 г.</w:t>
            </w:r>
          </w:p>
        </w:tc>
        <w:tc>
          <w:tcPr>
            <w:tcW w:w="850" w:type="dxa"/>
            <w:tcBorders>
              <w:top w:val="single" w:sz="8" w:space="0" w:color="auto"/>
              <w:left w:val="single" w:sz="8" w:space="0" w:color="000000"/>
              <w:bottom w:val="single" w:sz="8" w:space="0" w:color="auto"/>
              <w:right w:val="nil"/>
            </w:tcBorders>
            <w:shd w:val="clear" w:color="auto" w:fill="auto"/>
            <w:vAlign w:val="center"/>
            <w:hideMark/>
          </w:tcPr>
          <w:p>
            <w:pPr>
              <w:spacing w:before="0" w:after="0"/>
              <w:jc w:val="center"/>
              <w:rPr>
                <w:b/>
                <w:bCs/>
                <w:noProof/>
                <w:sz w:val="18"/>
                <w:szCs w:val="18"/>
              </w:rPr>
            </w:pPr>
            <w:r>
              <w:rPr>
                <w:b/>
                <w:bCs/>
                <w:noProof/>
                <w:sz w:val="18"/>
                <w:szCs w:val="18"/>
              </w:rPr>
              <w:t>2018 г.</w:t>
            </w:r>
          </w:p>
        </w:tc>
        <w:tc>
          <w:tcPr>
            <w:tcW w:w="851" w:type="dxa"/>
            <w:tcBorders>
              <w:top w:val="single" w:sz="8" w:space="0" w:color="auto"/>
              <w:left w:val="single" w:sz="8" w:space="0" w:color="auto"/>
              <w:bottom w:val="single" w:sz="8" w:space="0" w:color="auto"/>
              <w:right w:val="nil"/>
            </w:tcBorders>
            <w:shd w:val="clear" w:color="auto" w:fill="auto"/>
            <w:vAlign w:val="center"/>
            <w:hideMark/>
          </w:tcPr>
          <w:p>
            <w:pPr>
              <w:spacing w:before="0" w:after="0"/>
              <w:jc w:val="center"/>
              <w:rPr>
                <w:b/>
                <w:bCs/>
                <w:noProof/>
                <w:sz w:val="18"/>
                <w:szCs w:val="18"/>
              </w:rPr>
            </w:pPr>
            <w:r>
              <w:rPr>
                <w:b/>
                <w:bCs/>
                <w:noProof/>
                <w:sz w:val="18"/>
                <w:szCs w:val="18"/>
              </w:rPr>
              <w:t>2019 г.</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before="0" w:after="0"/>
              <w:jc w:val="center"/>
              <w:rPr>
                <w:b/>
                <w:bCs/>
                <w:noProof/>
                <w:sz w:val="18"/>
                <w:szCs w:val="18"/>
              </w:rPr>
            </w:pPr>
            <w:r>
              <w:rPr>
                <w:b/>
                <w:bCs/>
                <w:noProof/>
                <w:sz w:val="18"/>
                <w:szCs w:val="18"/>
              </w:rPr>
              <w:t>2020 г.</w:t>
            </w:r>
          </w:p>
        </w:tc>
      </w:tr>
      <w:tr>
        <w:trPr>
          <w:trHeight w:val="270"/>
        </w:trPr>
        <w:tc>
          <w:tcPr>
            <w:tcW w:w="354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pPr>
              <w:spacing w:before="0" w:after="0"/>
              <w:jc w:val="center"/>
              <w:rPr>
                <w:noProof/>
                <w:color w:val="000000"/>
                <w:sz w:val="18"/>
                <w:szCs w:val="18"/>
              </w:rPr>
            </w:pPr>
            <w:r>
              <w:rPr>
                <w:noProof/>
                <w:sz w:val="18"/>
                <w:szCs w:val="18"/>
              </w:rPr>
              <w:t>Марж на поетите задължения, наличен в края на годината (потвърден от годишната техническа корекция)</w:t>
            </w:r>
          </w:p>
        </w:tc>
        <w:tc>
          <w:tcPr>
            <w:tcW w:w="850" w:type="dxa"/>
            <w:tcBorders>
              <w:top w:val="nil"/>
              <w:left w:val="nil"/>
              <w:bottom w:val="single" w:sz="8" w:space="0" w:color="auto"/>
              <w:right w:val="single" w:sz="4" w:space="0" w:color="000000"/>
            </w:tcBorders>
            <w:shd w:val="clear" w:color="auto" w:fill="auto"/>
            <w:vAlign w:val="center"/>
            <w:hideMark/>
          </w:tcPr>
          <w:p>
            <w:pPr>
              <w:spacing w:before="0" w:after="0"/>
              <w:jc w:val="right"/>
              <w:rPr>
                <w:noProof/>
                <w:sz w:val="18"/>
                <w:szCs w:val="18"/>
              </w:rPr>
            </w:pPr>
            <w:r>
              <w:rPr>
                <w:noProof/>
                <w:sz w:val="18"/>
                <w:szCs w:val="18"/>
              </w:rPr>
              <w:t>521,9</w:t>
            </w:r>
          </w:p>
        </w:tc>
        <w:tc>
          <w:tcPr>
            <w:tcW w:w="851" w:type="dxa"/>
            <w:tcBorders>
              <w:top w:val="nil"/>
              <w:left w:val="single" w:sz="8" w:space="0" w:color="auto"/>
              <w:bottom w:val="single" w:sz="8" w:space="0" w:color="auto"/>
              <w:right w:val="single" w:sz="4" w:space="0" w:color="000000"/>
            </w:tcBorders>
            <w:shd w:val="clear" w:color="auto" w:fill="auto"/>
            <w:vAlign w:val="center"/>
            <w:hideMark/>
          </w:tcPr>
          <w:p>
            <w:pPr>
              <w:spacing w:before="0" w:after="0"/>
              <w:jc w:val="right"/>
              <w:rPr>
                <w:noProof/>
                <w:sz w:val="18"/>
                <w:szCs w:val="18"/>
              </w:rPr>
            </w:pPr>
            <w:r>
              <w:rPr>
                <w:noProof/>
                <w:sz w:val="18"/>
                <w:szCs w:val="18"/>
              </w:rPr>
              <w:t>1 383,2</w:t>
            </w:r>
          </w:p>
        </w:tc>
        <w:tc>
          <w:tcPr>
            <w:tcW w:w="850" w:type="dxa"/>
            <w:tcBorders>
              <w:top w:val="nil"/>
              <w:left w:val="single" w:sz="8" w:space="0" w:color="auto"/>
              <w:bottom w:val="single" w:sz="8" w:space="0" w:color="auto"/>
              <w:right w:val="single" w:sz="4" w:space="0" w:color="000000"/>
            </w:tcBorders>
            <w:shd w:val="clear" w:color="auto" w:fill="auto"/>
            <w:vAlign w:val="center"/>
            <w:hideMark/>
          </w:tcPr>
          <w:p>
            <w:pPr>
              <w:spacing w:before="0" w:after="0"/>
              <w:jc w:val="right"/>
              <w:rPr>
                <w:noProof/>
                <w:sz w:val="18"/>
                <w:szCs w:val="18"/>
              </w:rPr>
            </w:pPr>
            <w:r>
              <w:rPr>
                <w:noProof/>
                <w:sz w:val="18"/>
                <w:szCs w:val="18"/>
              </w:rPr>
              <w:t>2 090,2</w:t>
            </w:r>
          </w:p>
        </w:tc>
        <w:tc>
          <w:tcPr>
            <w:tcW w:w="851" w:type="dxa"/>
            <w:tcBorders>
              <w:top w:val="nil"/>
              <w:left w:val="single" w:sz="8" w:space="0" w:color="auto"/>
              <w:bottom w:val="single" w:sz="8" w:space="0" w:color="auto"/>
              <w:right w:val="single" w:sz="4" w:space="0" w:color="000000"/>
            </w:tcBorders>
            <w:shd w:val="clear" w:color="auto" w:fill="auto"/>
            <w:vAlign w:val="center"/>
            <w:hideMark/>
          </w:tcPr>
          <w:p>
            <w:pPr>
              <w:spacing w:before="0" w:after="0"/>
              <w:jc w:val="right"/>
              <w:rPr>
                <w:noProof/>
                <w:sz w:val="18"/>
                <w:szCs w:val="18"/>
              </w:rPr>
            </w:pPr>
            <w:r>
              <w:rPr>
                <w:noProof/>
                <w:sz w:val="18"/>
                <w:szCs w:val="18"/>
              </w:rPr>
              <w:t>1 115,5</w:t>
            </w:r>
          </w:p>
        </w:tc>
        <w:tc>
          <w:tcPr>
            <w:tcW w:w="850" w:type="dxa"/>
            <w:tcBorders>
              <w:top w:val="nil"/>
              <w:left w:val="single" w:sz="8" w:space="0" w:color="auto"/>
              <w:bottom w:val="single" w:sz="8" w:space="0" w:color="auto"/>
              <w:right w:val="single" w:sz="4" w:space="0" w:color="000000"/>
            </w:tcBorders>
            <w:shd w:val="clear" w:color="auto" w:fill="auto"/>
            <w:vAlign w:val="center"/>
            <w:hideMark/>
          </w:tcPr>
          <w:p>
            <w:pPr>
              <w:spacing w:before="0" w:after="0"/>
              <w:jc w:val="right"/>
              <w:rPr>
                <w:noProof/>
                <w:sz w:val="18"/>
                <w:szCs w:val="18"/>
              </w:rPr>
            </w:pPr>
            <w:r>
              <w:rPr>
                <w:noProof/>
                <w:sz w:val="18"/>
                <w:szCs w:val="18"/>
              </w:rPr>
              <w:t>1 390,9</w:t>
            </w:r>
          </w:p>
        </w:tc>
        <w:tc>
          <w:tcPr>
            <w:tcW w:w="851" w:type="dxa"/>
            <w:tcBorders>
              <w:top w:val="nil"/>
              <w:left w:val="single" w:sz="8" w:space="0" w:color="auto"/>
              <w:bottom w:val="single" w:sz="8" w:space="0" w:color="auto"/>
              <w:right w:val="single" w:sz="4" w:space="0" w:color="000000"/>
            </w:tcBorders>
            <w:shd w:val="clear" w:color="auto" w:fill="auto"/>
            <w:vAlign w:val="center"/>
            <w:hideMark/>
          </w:tcPr>
          <w:p>
            <w:pPr>
              <w:spacing w:before="0" w:after="0"/>
              <w:jc w:val="right"/>
              <w:rPr>
                <w:noProof/>
                <w:sz w:val="18"/>
                <w:szCs w:val="18"/>
              </w:rPr>
            </w:pPr>
            <w:r>
              <w:rPr>
                <w:noProof/>
                <w:sz w:val="18"/>
                <w:szCs w:val="18"/>
              </w:rPr>
              <w:t>1 291,1</w:t>
            </w:r>
          </w:p>
        </w:tc>
        <w:tc>
          <w:tcPr>
            <w:tcW w:w="850"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right"/>
              <w:rPr>
                <w:noProof/>
                <w:sz w:val="18"/>
                <w:szCs w:val="18"/>
              </w:rPr>
            </w:pPr>
            <w:r>
              <w:rPr>
                <w:noProof/>
                <w:sz w:val="18"/>
                <w:szCs w:val="18"/>
              </w:rPr>
              <w:t> </w:t>
            </w:r>
          </w:p>
        </w:tc>
      </w:tr>
      <w:tr>
        <w:trPr>
          <w:trHeight w:val="270"/>
        </w:trPr>
        <w:tc>
          <w:tcPr>
            <w:tcW w:w="354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pPr>
              <w:spacing w:before="0" w:after="0"/>
              <w:jc w:val="center"/>
              <w:rPr>
                <w:b/>
                <w:bCs/>
                <w:noProof/>
                <w:color w:val="000000"/>
                <w:sz w:val="18"/>
                <w:szCs w:val="18"/>
              </w:rPr>
            </w:pPr>
            <w:r>
              <w:rPr>
                <w:b/>
                <w:bCs/>
                <w:noProof/>
                <w:sz w:val="18"/>
                <w:szCs w:val="18"/>
              </w:rPr>
              <w:t>Годишен наличен ОМПЗ</w:t>
            </w:r>
          </w:p>
        </w:tc>
        <w:tc>
          <w:tcPr>
            <w:tcW w:w="850" w:type="dxa"/>
            <w:tcBorders>
              <w:top w:val="nil"/>
              <w:left w:val="nil"/>
              <w:bottom w:val="single" w:sz="8" w:space="0" w:color="auto"/>
              <w:right w:val="single" w:sz="4" w:space="0" w:color="000000"/>
            </w:tcBorders>
            <w:shd w:val="clear" w:color="auto" w:fill="auto"/>
            <w:vAlign w:val="center"/>
            <w:hideMark/>
          </w:tcPr>
          <w:p>
            <w:pPr>
              <w:spacing w:before="0" w:after="0"/>
              <w:jc w:val="right"/>
              <w:rPr>
                <w:b/>
                <w:bCs/>
                <w:noProof/>
                <w:sz w:val="18"/>
                <w:szCs w:val="18"/>
              </w:rPr>
            </w:pPr>
            <w:r>
              <w:rPr>
                <w:b/>
                <w:bCs/>
                <w:noProof/>
                <w:sz w:val="18"/>
                <w:szCs w:val="18"/>
              </w:rPr>
              <w:t>0,0</w:t>
            </w:r>
          </w:p>
        </w:tc>
        <w:tc>
          <w:tcPr>
            <w:tcW w:w="851" w:type="dxa"/>
            <w:tcBorders>
              <w:top w:val="nil"/>
              <w:left w:val="single" w:sz="8" w:space="0" w:color="auto"/>
              <w:bottom w:val="single" w:sz="8" w:space="0" w:color="auto"/>
              <w:right w:val="single" w:sz="4" w:space="0" w:color="000000"/>
            </w:tcBorders>
            <w:shd w:val="clear" w:color="auto" w:fill="auto"/>
            <w:vAlign w:val="center"/>
            <w:hideMark/>
          </w:tcPr>
          <w:p>
            <w:pPr>
              <w:spacing w:before="0" w:after="0"/>
              <w:jc w:val="right"/>
              <w:rPr>
                <w:b/>
                <w:bCs/>
                <w:noProof/>
                <w:sz w:val="18"/>
                <w:szCs w:val="18"/>
              </w:rPr>
            </w:pPr>
            <w:r>
              <w:rPr>
                <w:b/>
                <w:bCs/>
                <w:noProof/>
                <w:sz w:val="18"/>
                <w:szCs w:val="18"/>
              </w:rPr>
              <w:t>0,0</w:t>
            </w:r>
          </w:p>
        </w:tc>
        <w:tc>
          <w:tcPr>
            <w:tcW w:w="850" w:type="dxa"/>
            <w:tcBorders>
              <w:top w:val="nil"/>
              <w:left w:val="single" w:sz="8" w:space="0" w:color="auto"/>
              <w:bottom w:val="single" w:sz="8" w:space="0" w:color="auto"/>
              <w:right w:val="single" w:sz="4" w:space="0" w:color="000000"/>
            </w:tcBorders>
            <w:shd w:val="clear" w:color="auto" w:fill="auto"/>
            <w:vAlign w:val="center"/>
            <w:hideMark/>
          </w:tcPr>
          <w:p>
            <w:pPr>
              <w:spacing w:before="0" w:after="0"/>
              <w:jc w:val="right"/>
              <w:rPr>
                <w:b/>
                <w:bCs/>
                <w:noProof/>
                <w:sz w:val="18"/>
                <w:szCs w:val="18"/>
              </w:rPr>
            </w:pPr>
            <w:r>
              <w:rPr>
                <w:b/>
                <w:bCs/>
                <w:noProof/>
                <w:sz w:val="18"/>
                <w:szCs w:val="18"/>
              </w:rPr>
              <w:t>1 953,9</w:t>
            </w:r>
          </w:p>
        </w:tc>
        <w:tc>
          <w:tcPr>
            <w:tcW w:w="851" w:type="dxa"/>
            <w:tcBorders>
              <w:top w:val="nil"/>
              <w:left w:val="single" w:sz="8" w:space="0" w:color="auto"/>
              <w:bottom w:val="single" w:sz="8" w:space="0" w:color="auto"/>
              <w:right w:val="single" w:sz="4" w:space="0" w:color="000000"/>
            </w:tcBorders>
            <w:shd w:val="clear" w:color="auto" w:fill="auto"/>
            <w:vAlign w:val="center"/>
            <w:hideMark/>
          </w:tcPr>
          <w:p>
            <w:pPr>
              <w:spacing w:before="0" w:after="0"/>
              <w:jc w:val="right"/>
              <w:rPr>
                <w:b/>
                <w:bCs/>
                <w:noProof/>
                <w:sz w:val="18"/>
                <w:szCs w:val="18"/>
              </w:rPr>
            </w:pPr>
            <w:r>
              <w:rPr>
                <w:b/>
                <w:bCs/>
                <w:noProof/>
                <w:sz w:val="18"/>
                <w:szCs w:val="18"/>
              </w:rPr>
              <w:t>3 571,1</w:t>
            </w:r>
          </w:p>
        </w:tc>
        <w:tc>
          <w:tcPr>
            <w:tcW w:w="850" w:type="dxa"/>
            <w:tcBorders>
              <w:top w:val="nil"/>
              <w:left w:val="single" w:sz="8" w:space="0" w:color="auto"/>
              <w:bottom w:val="single" w:sz="8" w:space="0" w:color="auto"/>
              <w:right w:val="single" w:sz="4" w:space="0" w:color="000000"/>
            </w:tcBorders>
            <w:shd w:val="clear" w:color="auto" w:fill="auto"/>
            <w:vAlign w:val="center"/>
            <w:hideMark/>
          </w:tcPr>
          <w:p>
            <w:pPr>
              <w:spacing w:before="0" w:after="0"/>
              <w:jc w:val="right"/>
              <w:rPr>
                <w:b/>
                <w:bCs/>
                <w:noProof/>
                <w:sz w:val="18"/>
                <w:szCs w:val="18"/>
              </w:rPr>
            </w:pPr>
            <w:r>
              <w:rPr>
                <w:b/>
                <w:bCs/>
                <w:noProof/>
                <w:sz w:val="18"/>
                <w:szCs w:val="18"/>
              </w:rPr>
              <w:t>2 802,4</w:t>
            </w:r>
          </w:p>
        </w:tc>
        <w:tc>
          <w:tcPr>
            <w:tcW w:w="851" w:type="dxa"/>
            <w:tcBorders>
              <w:top w:val="nil"/>
              <w:left w:val="single" w:sz="8" w:space="0" w:color="auto"/>
              <w:bottom w:val="single" w:sz="8" w:space="0" w:color="auto"/>
              <w:right w:val="nil"/>
            </w:tcBorders>
            <w:shd w:val="clear" w:color="auto" w:fill="auto"/>
            <w:vAlign w:val="center"/>
            <w:hideMark/>
          </w:tcPr>
          <w:p>
            <w:pPr>
              <w:spacing w:before="0" w:after="0"/>
              <w:jc w:val="right"/>
              <w:rPr>
                <w:b/>
                <w:bCs/>
                <w:noProof/>
                <w:sz w:val="18"/>
                <w:szCs w:val="18"/>
              </w:rPr>
            </w:pPr>
            <w:r>
              <w:rPr>
                <w:b/>
                <w:bCs/>
                <w:noProof/>
                <w:sz w:val="18"/>
                <w:szCs w:val="18"/>
              </w:rPr>
              <w:t>2 894,7</w:t>
            </w:r>
          </w:p>
        </w:tc>
        <w:tc>
          <w:tcPr>
            <w:tcW w:w="850"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right"/>
              <w:rPr>
                <w:b/>
                <w:bCs/>
                <w:noProof/>
                <w:sz w:val="18"/>
                <w:szCs w:val="18"/>
              </w:rPr>
            </w:pPr>
            <w:r>
              <w:rPr>
                <w:b/>
                <w:bCs/>
                <w:noProof/>
                <w:sz w:val="18"/>
                <w:szCs w:val="18"/>
              </w:rPr>
              <w:t>2 662,0</w:t>
            </w:r>
          </w:p>
        </w:tc>
      </w:tr>
      <w:tr>
        <w:trPr>
          <w:trHeight w:val="255"/>
        </w:trPr>
        <w:tc>
          <w:tcPr>
            <w:tcW w:w="3544" w:type="dxa"/>
            <w:tcBorders>
              <w:top w:val="single" w:sz="8" w:space="0" w:color="auto"/>
              <w:left w:val="single" w:sz="8" w:space="0" w:color="auto"/>
              <w:bottom w:val="single" w:sz="4" w:space="0" w:color="auto"/>
              <w:right w:val="single" w:sz="8" w:space="0" w:color="000000"/>
            </w:tcBorders>
            <w:shd w:val="clear" w:color="auto" w:fill="auto"/>
            <w:noWrap/>
            <w:vAlign w:val="bottom"/>
            <w:hideMark/>
          </w:tcPr>
          <w:p>
            <w:pPr>
              <w:spacing w:before="0" w:after="0"/>
              <w:jc w:val="center"/>
              <w:rPr>
                <w:i/>
                <w:iCs/>
                <w:noProof/>
                <w:color w:val="000000"/>
                <w:sz w:val="18"/>
                <w:szCs w:val="18"/>
              </w:rPr>
            </w:pPr>
            <w:r>
              <w:rPr>
                <w:i/>
                <w:iCs/>
                <w:noProof/>
                <w:sz w:val="18"/>
                <w:szCs w:val="18"/>
              </w:rPr>
              <w:t>ОМПЗ за 2014 г.</w:t>
            </w:r>
          </w:p>
        </w:tc>
        <w:tc>
          <w:tcPr>
            <w:tcW w:w="850" w:type="dxa"/>
            <w:tcBorders>
              <w:top w:val="nil"/>
              <w:left w:val="nil"/>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543,0</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0,0</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0,0</w:t>
            </w:r>
          </w:p>
        </w:tc>
        <w:tc>
          <w:tcPr>
            <w:tcW w:w="851" w:type="dxa"/>
            <w:tcBorders>
              <w:top w:val="nil"/>
              <w:left w:val="single" w:sz="8" w:space="0" w:color="000000"/>
              <w:bottom w:val="single" w:sz="4" w:space="0" w:color="auto"/>
              <w:right w:val="nil"/>
            </w:tcBorders>
            <w:shd w:val="clear" w:color="auto" w:fill="auto"/>
            <w:vAlign w:val="center"/>
            <w:hideMark/>
          </w:tcPr>
          <w:p>
            <w:pPr>
              <w:spacing w:before="0" w:after="0"/>
              <w:jc w:val="right"/>
              <w:rPr>
                <w:i/>
                <w:iCs/>
                <w:noProof/>
                <w:sz w:val="18"/>
                <w:szCs w:val="18"/>
              </w:rPr>
            </w:pPr>
            <w:r>
              <w:rPr>
                <w:i/>
                <w:iCs/>
                <w:noProof/>
                <w:sz w:val="18"/>
                <w:szCs w:val="18"/>
              </w:rPr>
              <w:t>0,0</w:t>
            </w:r>
          </w:p>
        </w:tc>
        <w:tc>
          <w:tcPr>
            <w:tcW w:w="850" w:type="dxa"/>
            <w:tcBorders>
              <w:top w:val="nil"/>
              <w:left w:val="single" w:sz="8" w:space="0" w:color="auto"/>
              <w:bottom w:val="single" w:sz="4" w:space="0" w:color="auto"/>
              <w:right w:val="single" w:sz="8" w:space="0" w:color="auto"/>
            </w:tcBorders>
            <w:shd w:val="clear" w:color="auto" w:fill="auto"/>
            <w:vAlign w:val="center"/>
            <w:hideMark/>
          </w:tcPr>
          <w:p>
            <w:pPr>
              <w:spacing w:before="0" w:after="0"/>
              <w:jc w:val="right"/>
              <w:rPr>
                <w:i/>
                <w:iCs/>
                <w:noProof/>
                <w:sz w:val="18"/>
                <w:szCs w:val="18"/>
              </w:rPr>
            </w:pPr>
            <w:r>
              <w:rPr>
                <w:i/>
                <w:iCs/>
                <w:noProof/>
                <w:sz w:val="18"/>
                <w:szCs w:val="18"/>
              </w:rPr>
              <w:t>0,0</w:t>
            </w:r>
          </w:p>
        </w:tc>
      </w:tr>
      <w:tr>
        <w:trPr>
          <w:trHeight w:val="255"/>
        </w:trPr>
        <w:tc>
          <w:tcPr>
            <w:tcW w:w="3544"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pPr>
              <w:spacing w:before="0" w:after="0"/>
              <w:jc w:val="center"/>
              <w:rPr>
                <w:i/>
                <w:iCs/>
                <w:noProof/>
                <w:color w:val="000000"/>
                <w:sz w:val="18"/>
                <w:szCs w:val="18"/>
              </w:rPr>
            </w:pPr>
            <w:r>
              <w:rPr>
                <w:i/>
                <w:iCs/>
                <w:noProof/>
                <w:sz w:val="18"/>
                <w:szCs w:val="18"/>
              </w:rPr>
              <w:t>ОМПЗ за 2015 г.</w:t>
            </w:r>
          </w:p>
        </w:tc>
        <w:tc>
          <w:tcPr>
            <w:tcW w:w="850" w:type="dxa"/>
            <w:tcBorders>
              <w:top w:val="nil"/>
              <w:left w:val="nil"/>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1 410,9</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1 439,1</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0,0</w:t>
            </w:r>
          </w:p>
        </w:tc>
        <w:tc>
          <w:tcPr>
            <w:tcW w:w="851" w:type="dxa"/>
            <w:tcBorders>
              <w:top w:val="nil"/>
              <w:left w:val="single" w:sz="8" w:space="0" w:color="000000"/>
              <w:bottom w:val="single" w:sz="4" w:space="0" w:color="auto"/>
              <w:right w:val="nil"/>
            </w:tcBorders>
            <w:shd w:val="clear" w:color="auto" w:fill="auto"/>
            <w:vAlign w:val="center"/>
            <w:hideMark/>
          </w:tcPr>
          <w:p>
            <w:pPr>
              <w:spacing w:before="0" w:after="0"/>
              <w:jc w:val="right"/>
              <w:rPr>
                <w:i/>
                <w:iCs/>
                <w:noProof/>
                <w:sz w:val="18"/>
                <w:szCs w:val="18"/>
              </w:rPr>
            </w:pPr>
            <w:r>
              <w:rPr>
                <w:i/>
                <w:iCs/>
                <w:noProof/>
                <w:sz w:val="18"/>
                <w:szCs w:val="18"/>
              </w:rPr>
              <w:t>0,0</w:t>
            </w:r>
          </w:p>
        </w:tc>
        <w:tc>
          <w:tcPr>
            <w:tcW w:w="850" w:type="dxa"/>
            <w:tcBorders>
              <w:top w:val="nil"/>
              <w:left w:val="single" w:sz="8" w:space="0" w:color="auto"/>
              <w:bottom w:val="single" w:sz="4" w:space="0" w:color="auto"/>
              <w:right w:val="single" w:sz="8" w:space="0" w:color="auto"/>
            </w:tcBorders>
            <w:shd w:val="clear" w:color="auto" w:fill="auto"/>
            <w:vAlign w:val="center"/>
            <w:hideMark/>
          </w:tcPr>
          <w:p>
            <w:pPr>
              <w:spacing w:before="0" w:after="0"/>
              <w:jc w:val="right"/>
              <w:rPr>
                <w:i/>
                <w:iCs/>
                <w:noProof/>
                <w:sz w:val="18"/>
                <w:szCs w:val="18"/>
              </w:rPr>
            </w:pPr>
            <w:r>
              <w:rPr>
                <w:i/>
                <w:iCs/>
                <w:noProof/>
                <w:sz w:val="18"/>
                <w:szCs w:val="18"/>
              </w:rPr>
              <w:t>0,0</w:t>
            </w:r>
          </w:p>
        </w:tc>
      </w:tr>
      <w:tr>
        <w:trPr>
          <w:trHeight w:val="255"/>
        </w:trPr>
        <w:tc>
          <w:tcPr>
            <w:tcW w:w="3544"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pPr>
              <w:spacing w:before="0" w:after="0"/>
              <w:jc w:val="center"/>
              <w:rPr>
                <w:i/>
                <w:iCs/>
                <w:noProof/>
                <w:color w:val="000000"/>
                <w:sz w:val="18"/>
                <w:szCs w:val="18"/>
              </w:rPr>
            </w:pPr>
            <w:r>
              <w:rPr>
                <w:i/>
                <w:iCs/>
                <w:noProof/>
                <w:sz w:val="18"/>
                <w:szCs w:val="18"/>
              </w:rPr>
              <w:t>ОМПЗ за 2016 г.</w:t>
            </w:r>
          </w:p>
        </w:tc>
        <w:tc>
          <w:tcPr>
            <w:tcW w:w="850" w:type="dxa"/>
            <w:tcBorders>
              <w:top w:val="nil"/>
              <w:left w:val="nil"/>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2 132,0</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1 664,6</w:t>
            </w:r>
          </w:p>
        </w:tc>
        <w:tc>
          <w:tcPr>
            <w:tcW w:w="851" w:type="dxa"/>
            <w:tcBorders>
              <w:top w:val="nil"/>
              <w:left w:val="single" w:sz="8" w:space="0" w:color="000000"/>
              <w:bottom w:val="single" w:sz="4" w:space="0" w:color="auto"/>
              <w:right w:val="nil"/>
            </w:tcBorders>
            <w:shd w:val="clear" w:color="auto" w:fill="auto"/>
            <w:vAlign w:val="center"/>
            <w:hideMark/>
          </w:tcPr>
          <w:p>
            <w:pPr>
              <w:spacing w:before="0" w:after="0"/>
              <w:jc w:val="right"/>
              <w:rPr>
                <w:i/>
                <w:iCs/>
                <w:noProof/>
                <w:sz w:val="18"/>
                <w:szCs w:val="18"/>
              </w:rPr>
            </w:pPr>
            <w:r>
              <w:rPr>
                <w:i/>
                <w:iCs/>
                <w:noProof/>
                <w:sz w:val="18"/>
                <w:szCs w:val="18"/>
              </w:rPr>
              <w:t>315,4</w:t>
            </w:r>
          </w:p>
        </w:tc>
        <w:tc>
          <w:tcPr>
            <w:tcW w:w="850" w:type="dxa"/>
            <w:tcBorders>
              <w:top w:val="nil"/>
              <w:left w:val="single" w:sz="8" w:space="0" w:color="auto"/>
              <w:bottom w:val="single" w:sz="4" w:space="0" w:color="auto"/>
              <w:right w:val="single" w:sz="8" w:space="0" w:color="auto"/>
            </w:tcBorders>
            <w:shd w:val="clear" w:color="auto" w:fill="auto"/>
            <w:vAlign w:val="center"/>
            <w:hideMark/>
          </w:tcPr>
          <w:p>
            <w:pPr>
              <w:spacing w:before="0" w:after="0"/>
              <w:jc w:val="right"/>
              <w:rPr>
                <w:i/>
                <w:iCs/>
                <w:noProof/>
                <w:sz w:val="18"/>
                <w:szCs w:val="18"/>
              </w:rPr>
            </w:pPr>
            <w:r>
              <w:rPr>
                <w:i/>
                <w:iCs/>
                <w:noProof/>
                <w:sz w:val="18"/>
                <w:szCs w:val="18"/>
              </w:rPr>
              <w:t>0,0</w:t>
            </w:r>
          </w:p>
        </w:tc>
      </w:tr>
      <w:tr>
        <w:trPr>
          <w:trHeight w:val="255"/>
        </w:trPr>
        <w:tc>
          <w:tcPr>
            <w:tcW w:w="3544"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pPr>
              <w:spacing w:before="0" w:after="0"/>
              <w:jc w:val="center"/>
              <w:rPr>
                <w:i/>
                <w:iCs/>
                <w:noProof/>
                <w:color w:val="000000"/>
                <w:sz w:val="18"/>
                <w:szCs w:val="18"/>
              </w:rPr>
            </w:pPr>
            <w:r>
              <w:rPr>
                <w:i/>
                <w:iCs/>
                <w:noProof/>
                <w:sz w:val="18"/>
                <w:szCs w:val="18"/>
              </w:rPr>
              <w:t>ОМПЗ за 2017 г.</w:t>
            </w:r>
          </w:p>
        </w:tc>
        <w:tc>
          <w:tcPr>
            <w:tcW w:w="850" w:type="dxa"/>
            <w:tcBorders>
              <w:top w:val="nil"/>
              <w:left w:val="nil"/>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1 137,8</w:t>
            </w:r>
          </w:p>
        </w:tc>
        <w:tc>
          <w:tcPr>
            <w:tcW w:w="851" w:type="dxa"/>
            <w:tcBorders>
              <w:top w:val="nil"/>
              <w:left w:val="single" w:sz="8" w:space="0" w:color="000000"/>
              <w:bottom w:val="single" w:sz="4" w:space="0" w:color="auto"/>
              <w:right w:val="nil"/>
            </w:tcBorders>
            <w:shd w:val="clear" w:color="auto" w:fill="auto"/>
            <w:vAlign w:val="center"/>
            <w:hideMark/>
          </w:tcPr>
          <w:p>
            <w:pPr>
              <w:spacing w:before="0" w:after="0"/>
              <w:jc w:val="right"/>
              <w:rPr>
                <w:i/>
                <w:iCs/>
                <w:noProof/>
                <w:sz w:val="18"/>
                <w:szCs w:val="18"/>
              </w:rPr>
            </w:pPr>
            <w:r>
              <w:rPr>
                <w:i/>
                <w:iCs/>
                <w:noProof/>
                <w:sz w:val="18"/>
                <w:szCs w:val="18"/>
              </w:rPr>
              <w:t>1 160,6</w:t>
            </w:r>
          </w:p>
        </w:tc>
        <w:tc>
          <w:tcPr>
            <w:tcW w:w="850" w:type="dxa"/>
            <w:tcBorders>
              <w:top w:val="nil"/>
              <w:left w:val="single" w:sz="8" w:space="0" w:color="auto"/>
              <w:bottom w:val="single" w:sz="4" w:space="0" w:color="auto"/>
              <w:right w:val="single" w:sz="8" w:space="0" w:color="auto"/>
            </w:tcBorders>
            <w:shd w:val="clear" w:color="auto" w:fill="auto"/>
            <w:vAlign w:val="center"/>
            <w:hideMark/>
          </w:tcPr>
          <w:p>
            <w:pPr>
              <w:spacing w:before="0" w:after="0"/>
              <w:jc w:val="right"/>
              <w:rPr>
                <w:i/>
                <w:iCs/>
                <w:noProof/>
                <w:sz w:val="18"/>
                <w:szCs w:val="18"/>
              </w:rPr>
            </w:pPr>
            <w:r>
              <w:rPr>
                <w:i/>
                <w:iCs/>
                <w:noProof/>
                <w:sz w:val="18"/>
                <w:szCs w:val="18"/>
              </w:rPr>
              <w:t>0,0</w:t>
            </w:r>
          </w:p>
        </w:tc>
      </w:tr>
      <w:tr>
        <w:trPr>
          <w:trHeight w:val="255"/>
        </w:trPr>
        <w:tc>
          <w:tcPr>
            <w:tcW w:w="3544"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pPr>
              <w:spacing w:before="0" w:after="0"/>
              <w:jc w:val="center"/>
              <w:rPr>
                <w:i/>
                <w:iCs/>
                <w:noProof/>
                <w:color w:val="000000"/>
                <w:sz w:val="18"/>
                <w:szCs w:val="18"/>
              </w:rPr>
            </w:pPr>
            <w:r>
              <w:rPr>
                <w:i/>
                <w:iCs/>
                <w:noProof/>
                <w:sz w:val="18"/>
                <w:szCs w:val="18"/>
              </w:rPr>
              <w:t>ОМПЗ за 2018 г.</w:t>
            </w:r>
          </w:p>
        </w:tc>
        <w:tc>
          <w:tcPr>
            <w:tcW w:w="850" w:type="dxa"/>
            <w:tcBorders>
              <w:top w:val="nil"/>
              <w:left w:val="nil"/>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1" w:type="dxa"/>
            <w:tcBorders>
              <w:top w:val="nil"/>
              <w:left w:val="single" w:sz="8" w:space="0" w:color="000000"/>
              <w:bottom w:val="single" w:sz="4" w:space="0" w:color="auto"/>
              <w:right w:val="nil"/>
            </w:tcBorders>
            <w:shd w:val="clear" w:color="auto" w:fill="auto"/>
            <w:vAlign w:val="center"/>
            <w:hideMark/>
          </w:tcPr>
          <w:p>
            <w:pPr>
              <w:spacing w:before="0" w:after="0"/>
              <w:jc w:val="right"/>
              <w:rPr>
                <w:i/>
                <w:iCs/>
                <w:noProof/>
                <w:sz w:val="18"/>
                <w:szCs w:val="18"/>
              </w:rPr>
            </w:pPr>
            <w:r>
              <w:rPr>
                <w:i/>
                <w:iCs/>
                <w:noProof/>
                <w:sz w:val="18"/>
                <w:szCs w:val="18"/>
              </w:rPr>
              <w:t>1 418,7</w:t>
            </w:r>
          </w:p>
        </w:tc>
        <w:tc>
          <w:tcPr>
            <w:tcW w:w="850" w:type="dxa"/>
            <w:tcBorders>
              <w:top w:val="single" w:sz="4" w:space="0" w:color="auto"/>
              <w:left w:val="single" w:sz="8" w:space="0" w:color="000000"/>
              <w:bottom w:val="single" w:sz="4" w:space="0" w:color="auto"/>
              <w:right w:val="single" w:sz="8" w:space="0" w:color="auto"/>
            </w:tcBorders>
            <w:shd w:val="clear" w:color="auto" w:fill="auto"/>
            <w:vAlign w:val="center"/>
            <w:hideMark/>
          </w:tcPr>
          <w:p>
            <w:pPr>
              <w:spacing w:before="0" w:after="0"/>
              <w:jc w:val="right"/>
              <w:rPr>
                <w:i/>
                <w:iCs/>
                <w:noProof/>
                <w:sz w:val="18"/>
                <w:szCs w:val="18"/>
              </w:rPr>
            </w:pPr>
            <w:r>
              <w:rPr>
                <w:i/>
                <w:iCs/>
                <w:noProof/>
                <w:sz w:val="18"/>
                <w:szCs w:val="18"/>
              </w:rPr>
              <w:t>1 345,1</w:t>
            </w:r>
          </w:p>
        </w:tc>
      </w:tr>
      <w:tr>
        <w:trPr>
          <w:trHeight w:val="270"/>
        </w:trPr>
        <w:tc>
          <w:tcPr>
            <w:tcW w:w="3544"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pPr>
              <w:spacing w:before="0" w:after="0"/>
              <w:jc w:val="center"/>
              <w:rPr>
                <w:i/>
                <w:iCs/>
                <w:noProof/>
                <w:color w:val="000000"/>
                <w:sz w:val="18"/>
                <w:szCs w:val="18"/>
              </w:rPr>
            </w:pPr>
            <w:r>
              <w:rPr>
                <w:i/>
                <w:iCs/>
                <w:noProof/>
                <w:sz w:val="18"/>
                <w:szCs w:val="18"/>
              </w:rPr>
              <w:t>ОМПЗ за 2019 г.</w:t>
            </w:r>
          </w:p>
        </w:tc>
        <w:tc>
          <w:tcPr>
            <w:tcW w:w="850" w:type="dxa"/>
            <w:tcBorders>
              <w:top w:val="nil"/>
              <w:left w:val="nil"/>
              <w:bottom w:val="single" w:sz="8"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1" w:type="dxa"/>
            <w:tcBorders>
              <w:top w:val="nil"/>
              <w:left w:val="single" w:sz="8" w:space="0" w:color="000000"/>
              <w:bottom w:val="single" w:sz="8"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0" w:type="dxa"/>
            <w:tcBorders>
              <w:top w:val="nil"/>
              <w:left w:val="single" w:sz="8" w:space="0" w:color="000000"/>
              <w:bottom w:val="single" w:sz="8"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1" w:type="dxa"/>
            <w:tcBorders>
              <w:top w:val="nil"/>
              <w:left w:val="single" w:sz="8" w:space="0" w:color="000000"/>
              <w:bottom w:val="single" w:sz="8"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0" w:type="dxa"/>
            <w:tcBorders>
              <w:top w:val="nil"/>
              <w:left w:val="single" w:sz="8" w:space="0" w:color="000000"/>
              <w:bottom w:val="single" w:sz="8"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1" w:type="dxa"/>
            <w:tcBorders>
              <w:top w:val="nil"/>
              <w:left w:val="single" w:sz="8" w:space="0" w:color="000000"/>
              <w:bottom w:val="single" w:sz="8" w:space="0" w:color="auto"/>
              <w:right w:val="nil"/>
            </w:tcBorders>
            <w:shd w:val="clear" w:color="auto" w:fill="auto"/>
            <w:vAlign w:val="center"/>
            <w:hideMark/>
          </w:tcPr>
          <w:p>
            <w:pPr>
              <w:spacing w:before="0" w:after="0"/>
              <w:jc w:val="right"/>
              <w:rPr>
                <w:i/>
                <w:iCs/>
                <w:noProof/>
                <w:sz w:val="18"/>
                <w:szCs w:val="18"/>
              </w:rPr>
            </w:pPr>
            <w:r>
              <w:rPr>
                <w:i/>
                <w:iCs/>
                <w:noProof/>
                <w:sz w:val="18"/>
                <w:szCs w:val="18"/>
              </w:rPr>
              <w:t>-</w:t>
            </w:r>
          </w:p>
        </w:tc>
        <w:tc>
          <w:tcPr>
            <w:tcW w:w="850" w:type="dxa"/>
            <w:tcBorders>
              <w:top w:val="single" w:sz="4" w:space="0" w:color="auto"/>
              <w:left w:val="single" w:sz="8" w:space="0" w:color="auto"/>
              <w:bottom w:val="single" w:sz="8" w:space="0" w:color="auto"/>
              <w:right w:val="single" w:sz="8" w:space="0" w:color="auto"/>
            </w:tcBorders>
            <w:shd w:val="clear" w:color="auto" w:fill="auto"/>
            <w:vAlign w:val="center"/>
            <w:hideMark/>
          </w:tcPr>
          <w:p>
            <w:pPr>
              <w:spacing w:before="0" w:after="0"/>
              <w:jc w:val="right"/>
              <w:rPr>
                <w:i/>
                <w:iCs/>
                <w:noProof/>
                <w:sz w:val="18"/>
                <w:szCs w:val="18"/>
              </w:rPr>
            </w:pPr>
            <w:r>
              <w:rPr>
                <w:i/>
                <w:iCs/>
                <w:noProof/>
                <w:sz w:val="18"/>
                <w:szCs w:val="18"/>
              </w:rPr>
              <w:t>1 316,9</w:t>
            </w:r>
          </w:p>
        </w:tc>
      </w:tr>
      <w:tr>
        <w:trPr>
          <w:trHeight w:val="270"/>
        </w:trPr>
        <w:tc>
          <w:tcPr>
            <w:tcW w:w="354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pPr>
              <w:spacing w:before="0" w:after="0"/>
              <w:jc w:val="center"/>
              <w:rPr>
                <w:b/>
                <w:bCs/>
                <w:noProof/>
                <w:color w:val="000000"/>
                <w:sz w:val="18"/>
                <w:szCs w:val="18"/>
              </w:rPr>
            </w:pPr>
            <w:r>
              <w:rPr>
                <w:b/>
                <w:bCs/>
                <w:noProof/>
                <w:sz w:val="18"/>
                <w:szCs w:val="18"/>
              </w:rPr>
              <w:t>Годишно използване на ОМПЗ</w:t>
            </w:r>
          </w:p>
        </w:tc>
        <w:tc>
          <w:tcPr>
            <w:tcW w:w="850" w:type="dxa"/>
            <w:tcBorders>
              <w:top w:val="nil"/>
              <w:left w:val="nil"/>
              <w:bottom w:val="single" w:sz="8" w:space="0" w:color="auto"/>
              <w:right w:val="single" w:sz="4" w:space="0" w:color="000000"/>
            </w:tcBorders>
            <w:shd w:val="clear" w:color="auto" w:fill="auto"/>
            <w:vAlign w:val="center"/>
            <w:hideMark/>
          </w:tcPr>
          <w:p>
            <w:pPr>
              <w:spacing w:before="0" w:after="0"/>
              <w:jc w:val="right"/>
              <w:rPr>
                <w:b/>
                <w:bCs/>
                <w:noProof/>
                <w:sz w:val="18"/>
                <w:szCs w:val="18"/>
              </w:rPr>
            </w:pPr>
            <w:r>
              <w:rPr>
                <w:b/>
                <w:bCs/>
                <w:noProof/>
                <w:sz w:val="18"/>
                <w:szCs w:val="18"/>
              </w:rPr>
              <w:t>0,0</w:t>
            </w:r>
          </w:p>
        </w:tc>
        <w:tc>
          <w:tcPr>
            <w:tcW w:w="851" w:type="dxa"/>
            <w:tcBorders>
              <w:top w:val="nil"/>
              <w:left w:val="single" w:sz="8" w:space="0" w:color="auto"/>
              <w:bottom w:val="single" w:sz="8" w:space="0" w:color="auto"/>
              <w:right w:val="single" w:sz="4" w:space="0" w:color="000000"/>
            </w:tcBorders>
            <w:shd w:val="clear" w:color="auto" w:fill="auto"/>
            <w:vAlign w:val="center"/>
            <w:hideMark/>
          </w:tcPr>
          <w:p>
            <w:pPr>
              <w:spacing w:before="0" w:after="0"/>
              <w:jc w:val="right"/>
              <w:rPr>
                <w:b/>
                <w:bCs/>
                <w:noProof/>
                <w:sz w:val="18"/>
                <w:szCs w:val="18"/>
              </w:rPr>
            </w:pPr>
            <w:r>
              <w:rPr>
                <w:b/>
                <w:bCs/>
                <w:noProof/>
                <w:sz w:val="18"/>
                <w:szCs w:val="18"/>
              </w:rPr>
              <w:t>0,0</w:t>
            </w:r>
          </w:p>
        </w:tc>
        <w:tc>
          <w:tcPr>
            <w:tcW w:w="850" w:type="dxa"/>
            <w:tcBorders>
              <w:top w:val="nil"/>
              <w:left w:val="single" w:sz="8" w:space="0" w:color="auto"/>
              <w:bottom w:val="single" w:sz="8" w:space="0" w:color="auto"/>
              <w:right w:val="single" w:sz="4" w:space="0" w:color="000000"/>
            </w:tcBorders>
            <w:shd w:val="clear" w:color="auto" w:fill="auto"/>
            <w:vAlign w:val="center"/>
            <w:hideMark/>
          </w:tcPr>
          <w:p>
            <w:pPr>
              <w:spacing w:before="0" w:after="0"/>
              <w:jc w:val="right"/>
              <w:rPr>
                <w:b/>
                <w:bCs/>
                <w:noProof/>
                <w:sz w:val="18"/>
                <w:szCs w:val="18"/>
              </w:rPr>
            </w:pPr>
            <w:r>
              <w:rPr>
                <w:b/>
                <w:bCs/>
                <w:noProof/>
                <w:sz w:val="18"/>
                <w:szCs w:val="18"/>
              </w:rPr>
              <w:t>-543,0</w:t>
            </w:r>
          </w:p>
        </w:tc>
        <w:tc>
          <w:tcPr>
            <w:tcW w:w="851" w:type="dxa"/>
            <w:tcBorders>
              <w:top w:val="nil"/>
              <w:left w:val="single" w:sz="8" w:space="0" w:color="auto"/>
              <w:bottom w:val="single" w:sz="8" w:space="0" w:color="auto"/>
              <w:right w:val="single" w:sz="4" w:space="0" w:color="000000"/>
            </w:tcBorders>
            <w:shd w:val="clear" w:color="auto" w:fill="auto"/>
            <w:vAlign w:val="center"/>
            <w:hideMark/>
          </w:tcPr>
          <w:p>
            <w:pPr>
              <w:spacing w:before="0" w:after="0"/>
              <w:jc w:val="right"/>
              <w:rPr>
                <w:b/>
                <w:bCs/>
                <w:noProof/>
                <w:sz w:val="18"/>
                <w:szCs w:val="18"/>
              </w:rPr>
            </w:pPr>
            <w:r>
              <w:rPr>
                <w:b/>
                <w:bCs/>
                <w:noProof/>
                <w:sz w:val="18"/>
                <w:szCs w:val="18"/>
              </w:rPr>
              <w:t>-1 939,1</w:t>
            </w:r>
          </w:p>
        </w:tc>
        <w:tc>
          <w:tcPr>
            <w:tcW w:w="850" w:type="dxa"/>
            <w:tcBorders>
              <w:top w:val="nil"/>
              <w:left w:val="single" w:sz="8" w:space="0" w:color="auto"/>
              <w:bottom w:val="single" w:sz="8" w:space="0" w:color="auto"/>
              <w:right w:val="single" w:sz="4" w:space="0" w:color="000000"/>
            </w:tcBorders>
            <w:shd w:val="clear" w:color="auto" w:fill="auto"/>
            <w:vAlign w:val="center"/>
            <w:hideMark/>
          </w:tcPr>
          <w:p>
            <w:pPr>
              <w:spacing w:before="0" w:after="0"/>
              <w:jc w:val="right"/>
              <w:rPr>
                <w:b/>
                <w:bCs/>
                <w:noProof/>
                <w:sz w:val="18"/>
                <w:szCs w:val="18"/>
              </w:rPr>
            </w:pPr>
            <w:r>
              <w:rPr>
                <w:b/>
                <w:bCs/>
                <w:noProof/>
                <w:sz w:val="18"/>
                <w:szCs w:val="18"/>
              </w:rPr>
              <w:t>-1 355,6</w:t>
            </w:r>
          </w:p>
        </w:tc>
        <w:tc>
          <w:tcPr>
            <w:tcW w:w="851" w:type="dxa"/>
            <w:tcBorders>
              <w:top w:val="nil"/>
              <w:left w:val="single" w:sz="8" w:space="0" w:color="auto"/>
              <w:bottom w:val="single" w:sz="8" w:space="0" w:color="auto"/>
              <w:right w:val="nil"/>
            </w:tcBorders>
            <w:shd w:val="clear" w:color="auto" w:fill="auto"/>
            <w:vAlign w:val="center"/>
            <w:hideMark/>
          </w:tcPr>
          <w:p>
            <w:pPr>
              <w:spacing w:before="0" w:after="0"/>
              <w:jc w:val="right"/>
              <w:rPr>
                <w:b/>
                <w:bCs/>
                <w:noProof/>
                <w:sz w:val="18"/>
                <w:szCs w:val="18"/>
              </w:rPr>
            </w:pPr>
            <w:r>
              <w:rPr>
                <w:b/>
                <w:bCs/>
                <w:noProof/>
                <w:sz w:val="18"/>
                <w:szCs w:val="18"/>
              </w:rPr>
              <w:t>-1 576,0</w:t>
            </w:r>
          </w:p>
        </w:tc>
        <w:tc>
          <w:tcPr>
            <w:tcW w:w="850"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right"/>
              <w:rPr>
                <w:b/>
                <w:bCs/>
                <w:noProof/>
                <w:sz w:val="18"/>
                <w:szCs w:val="18"/>
              </w:rPr>
            </w:pPr>
            <w:r>
              <w:rPr>
                <w:b/>
                <w:bCs/>
                <w:noProof/>
                <w:sz w:val="18"/>
                <w:szCs w:val="18"/>
              </w:rPr>
              <w:t>-269,6</w:t>
            </w:r>
          </w:p>
        </w:tc>
      </w:tr>
      <w:tr>
        <w:trPr>
          <w:trHeight w:val="255"/>
        </w:trPr>
        <w:tc>
          <w:tcPr>
            <w:tcW w:w="3544" w:type="dxa"/>
            <w:tcBorders>
              <w:top w:val="nil"/>
              <w:left w:val="single" w:sz="8" w:space="0" w:color="auto"/>
              <w:bottom w:val="single" w:sz="4" w:space="0" w:color="auto"/>
              <w:right w:val="single" w:sz="8" w:space="0" w:color="000000"/>
            </w:tcBorders>
            <w:shd w:val="clear" w:color="auto" w:fill="auto"/>
            <w:noWrap/>
            <w:vAlign w:val="bottom"/>
            <w:hideMark/>
          </w:tcPr>
          <w:p>
            <w:pPr>
              <w:spacing w:before="0" w:after="0"/>
              <w:jc w:val="center"/>
              <w:rPr>
                <w:i/>
                <w:iCs/>
                <w:noProof/>
                <w:color w:val="000000"/>
                <w:sz w:val="18"/>
                <w:szCs w:val="18"/>
              </w:rPr>
            </w:pPr>
            <w:r>
              <w:rPr>
                <w:i/>
                <w:iCs/>
                <w:noProof/>
                <w:sz w:val="18"/>
                <w:szCs w:val="18"/>
              </w:rPr>
              <w:t>ОМПЗ за 2014 г.</w:t>
            </w:r>
          </w:p>
        </w:tc>
        <w:tc>
          <w:tcPr>
            <w:tcW w:w="850" w:type="dxa"/>
            <w:tcBorders>
              <w:top w:val="nil"/>
              <w:left w:val="nil"/>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-543,0</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0,0</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0,0</w:t>
            </w:r>
          </w:p>
        </w:tc>
        <w:tc>
          <w:tcPr>
            <w:tcW w:w="851" w:type="dxa"/>
            <w:tcBorders>
              <w:top w:val="nil"/>
              <w:left w:val="single" w:sz="8" w:space="0" w:color="000000"/>
              <w:bottom w:val="single" w:sz="4" w:space="0" w:color="auto"/>
              <w:right w:val="nil"/>
            </w:tcBorders>
            <w:shd w:val="clear" w:color="auto" w:fill="auto"/>
            <w:vAlign w:val="center"/>
            <w:hideMark/>
          </w:tcPr>
          <w:p>
            <w:pPr>
              <w:spacing w:before="0" w:after="0"/>
              <w:jc w:val="right"/>
              <w:rPr>
                <w:i/>
                <w:iCs/>
                <w:noProof/>
                <w:sz w:val="18"/>
                <w:szCs w:val="18"/>
              </w:rPr>
            </w:pPr>
            <w:r>
              <w:rPr>
                <w:i/>
                <w:iCs/>
                <w:noProof/>
                <w:sz w:val="18"/>
                <w:szCs w:val="18"/>
              </w:rPr>
              <w:t>0,0</w:t>
            </w:r>
          </w:p>
        </w:tc>
        <w:tc>
          <w:tcPr>
            <w:tcW w:w="850" w:type="dxa"/>
            <w:tcBorders>
              <w:top w:val="nil"/>
              <w:left w:val="single" w:sz="8" w:space="0" w:color="auto"/>
              <w:bottom w:val="single" w:sz="4" w:space="0" w:color="auto"/>
              <w:right w:val="single" w:sz="8" w:space="0" w:color="auto"/>
            </w:tcBorders>
            <w:shd w:val="clear" w:color="auto" w:fill="auto"/>
            <w:vAlign w:val="center"/>
            <w:hideMark/>
          </w:tcPr>
          <w:p>
            <w:pPr>
              <w:spacing w:before="0" w:after="0"/>
              <w:jc w:val="right"/>
              <w:rPr>
                <w:i/>
                <w:iCs/>
                <w:noProof/>
                <w:sz w:val="18"/>
                <w:szCs w:val="18"/>
              </w:rPr>
            </w:pPr>
            <w:r>
              <w:rPr>
                <w:i/>
                <w:iCs/>
                <w:noProof/>
                <w:sz w:val="18"/>
                <w:szCs w:val="18"/>
              </w:rPr>
              <w:t>0,0</w:t>
            </w:r>
          </w:p>
        </w:tc>
      </w:tr>
      <w:tr>
        <w:trPr>
          <w:trHeight w:val="255"/>
        </w:trPr>
        <w:tc>
          <w:tcPr>
            <w:tcW w:w="3544"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pPr>
              <w:spacing w:before="0" w:after="0"/>
              <w:jc w:val="center"/>
              <w:rPr>
                <w:i/>
                <w:iCs/>
                <w:noProof/>
                <w:color w:val="000000"/>
                <w:sz w:val="18"/>
                <w:szCs w:val="18"/>
              </w:rPr>
            </w:pPr>
            <w:r>
              <w:rPr>
                <w:i/>
                <w:iCs/>
                <w:noProof/>
                <w:sz w:val="18"/>
                <w:szCs w:val="18"/>
              </w:rPr>
              <w:t>ОМПЗ за 2015 г.</w:t>
            </w:r>
          </w:p>
        </w:tc>
        <w:tc>
          <w:tcPr>
            <w:tcW w:w="850" w:type="dxa"/>
            <w:tcBorders>
              <w:top w:val="nil"/>
              <w:left w:val="nil"/>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0,0</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-1 439,1</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0,0</w:t>
            </w:r>
          </w:p>
        </w:tc>
        <w:tc>
          <w:tcPr>
            <w:tcW w:w="851" w:type="dxa"/>
            <w:tcBorders>
              <w:top w:val="nil"/>
              <w:left w:val="single" w:sz="8" w:space="0" w:color="000000"/>
              <w:bottom w:val="single" w:sz="4" w:space="0" w:color="auto"/>
              <w:right w:val="nil"/>
            </w:tcBorders>
            <w:shd w:val="clear" w:color="auto" w:fill="auto"/>
            <w:vAlign w:val="center"/>
            <w:hideMark/>
          </w:tcPr>
          <w:p>
            <w:pPr>
              <w:spacing w:before="0" w:after="0"/>
              <w:jc w:val="right"/>
              <w:rPr>
                <w:i/>
                <w:iCs/>
                <w:noProof/>
                <w:sz w:val="18"/>
                <w:szCs w:val="18"/>
              </w:rPr>
            </w:pPr>
            <w:r>
              <w:rPr>
                <w:i/>
                <w:iCs/>
                <w:noProof/>
                <w:sz w:val="18"/>
                <w:szCs w:val="18"/>
              </w:rPr>
              <w:t>0,0</w:t>
            </w:r>
          </w:p>
        </w:tc>
        <w:tc>
          <w:tcPr>
            <w:tcW w:w="850" w:type="dxa"/>
            <w:tcBorders>
              <w:top w:val="nil"/>
              <w:left w:val="single" w:sz="8" w:space="0" w:color="auto"/>
              <w:bottom w:val="single" w:sz="4" w:space="0" w:color="auto"/>
              <w:right w:val="single" w:sz="8" w:space="0" w:color="auto"/>
            </w:tcBorders>
            <w:shd w:val="clear" w:color="auto" w:fill="auto"/>
            <w:vAlign w:val="center"/>
            <w:hideMark/>
          </w:tcPr>
          <w:p>
            <w:pPr>
              <w:spacing w:before="0" w:after="0"/>
              <w:jc w:val="right"/>
              <w:rPr>
                <w:i/>
                <w:iCs/>
                <w:noProof/>
                <w:sz w:val="18"/>
                <w:szCs w:val="18"/>
              </w:rPr>
            </w:pPr>
            <w:r>
              <w:rPr>
                <w:i/>
                <w:iCs/>
                <w:noProof/>
                <w:sz w:val="18"/>
                <w:szCs w:val="18"/>
              </w:rPr>
              <w:t>0,0</w:t>
            </w:r>
          </w:p>
        </w:tc>
      </w:tr>
      <w:tr>
        <w:trPr>
          <w:trHeight w:val="255"/>
        </w:trPr>
        <w:tc>
          <w:tcPr>
            <w:tcW w:w="3544"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pPr>
              <w:spacing w:before="0" w:after="0"/>
              <w:jc w:val="center"/>
              <w:rPr>
                <w:i/>
                <w:iCs/>
                <w:noProof/>
                <w:color w:val="000000"/>
                <w:sz w:val="18"/>
                <w:szCs w:val="18"/>
              </w:rPr>
            </w:pPr>
            <w:r>
              <w:rPr>
                <w:i/>
                <w:iCs/>
                <w:noProof/>
                <w:sz w:val="18"/>
                <w:szCs w:val="18"/>
              </w:rPr>
              <w:t>ОМПЗ за 2016 г.</w:t>
            </w:r>
          </w:p>
        </w:tc>
        <w:tc>
          <w:tcPr>
            <w:tcW w:w="850" w:type="dxa"/>
            <w:tcBorders>
              <w:top w:val="nil"/>
              <w:left w:val="nil"/>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-500,0</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-1 355,6</w:t>
            </w:r>
          </w:p>
        </w:tc>
        <w:tc>
          <w:tcPr>
            <w:tcW w:w="851" w:type="dxa"/>
            <w:tcBorders>
              <w:top w:val="nil"/>
              <w:left w:val="single" w:sz="8" w:space="0" w:color="000000"/>
              <w:bottom w:val="single" w:sz="4" w:space="0" w:color="auto"/>
              <w:right w:val="nil"/>
            </w:tcBorders>
            <w:shd w:val="clear" w:color="auto" w:fill="auto"/>
            <w:vAlign w:val="center"/>
            <w:hideMark/>
          </w:tcPr>
          <w:p>
            <w:pPr>
              <w:spacing w:before="0" w:after="0"/>
              <w:jc w:val="right"/>
              <w:rPr>
                <w:i/>
                <w:iCs/>
                <w:noProof/>
                <w:sz w:val="18"/>
                <w:szCs w:val="18"/>
              </w:rPr>
            </w:pPr>
            <w:r>
              <w:rPr>
                <w:i/>
                <w:iCs/>
                <w:noProof/>
                <w:sz w:val="18"/>
                <w:szCs w:val="18"/>
              </w:rPr>
              <w:t>-315,4</w:t>
            </w:r>
          </w:p>
        </w:tc>
        <w:tc>
          <w:tcPr>
            <w:tcW w:w="850" w:type="dxa"/>
            <w:tcBorders>
              <w:top w:val="nil"/>
              <w:left w:val="single" w:sz="8" w:space="0" w:color="auto"/>
              <w:bottom w:val="single" w:sz="4" w:space="0" w:color="auto"/>
              <w:right w:val="single" w:sz="8" w:space="0" w:color="auto"/>
            </w:tcBorders>
            <w:shd w:val="clear" w:color="auto" w:fill="auto"/>
            <w:vAlign w:val="center"/>
            <w:hideMark/>
          </w:tcPr>
          <w:p>
            <w:pPr>
              <w:spacing w:before="0" w:after="0"/>
              <w:jc w:val="right"/>
              <w:rPr>
                <w:i/>
                <w:iCs/>
                <w:noProof/>
                <w:sz w:val="18"/>
                <w:szCs w:val="18"/>
              </w:rPr>
            </w:pPr>
            <w:r>
              <w:rPr>
                <w:i/>
                <w:iCs/>
                <w:noProof/>
                <w:sz w:val="18"/>
                <w:szCs w:val="18"/>
              </w:rPr>
              <w:t>0,0</w:t>
            </w:r>
          </w:p>
        </w:tc>
      </w:tr>
      <w:tr>
        <w:trPr>
          <w:trHeight w:val="255"/>
        </w:trPr>
        <w:tc>
          <w:tcPr>
            <w:tcW w:w="3544"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pPr>
              <w:spacing w:before="0" w:after="0"/>
              <w:jc w:val="center"/>
              <w:rPr>
                <w:i/>
                <w:iCs/>
                <w:noProof/>
                <w:color w:val="000000"/>
                <w:sz w:val="18"/>
                <w:szCs w:val="18"/>
              </w:rPr>
            </w:pPr>
            <w:r>
              <w:rPr>
                <w:i/>
                <w:iCs/>
                <w:noProof/>
                <w:sz w:val="18"/>
                <w:szCs w:val="18"/>
              </w:rPr>
              <w:t>ОМПЗ за 2017 г.</w:t>
            </w:r>
          </w:p>
        </w:tc>
        <w:tc>
          <w:tcPr>
            <w:tcW w:w="850" w:type="dxa"/>
            <w:tcBorders>
              <w:top w:val="nil"/>
              <w:left w:val="nil"/>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0,0</w:t>
            </w:r>
          </w:p>
        </w:tc>
        <w:tc>
          <w:tcPr>
            <w:tcW w:w="851" w:type="dxa"/>
            <w:tcBorders>
              <w:top w:val="nil"/>
              <w:left w:val="single" w:sz="8" w:space="0" w:color="000000"/>
              <w:bottom w:val="single" w:sz="4" w:space="0" w:color="auto"/>
              <w:right w:val="nil"/>
            </w:tcBorders>
            <w:shd w:val="clear" w:color="auto" w:fill="auto"/>
            <w:vAlign w:val="center"/>
            <w:hideMark/>
          </w:tcPr>
          <w:p>
            <w:pPr>
              <w:spacing w:before="0" w:after="0"/>
              <w:jc w:val="right"/>
              <w:rPr>
                <w:i/>
                <w:iCs/>
                <w:noProof/>
                <w:sz w:val="18"/>
                <w:szCs w:val="18"/>
              </w:rPr>
            </w:pPr>
            <w:r>
              <w:rPr>
                <w:i/>
                <w:iCs/>
                <w:noProof/>
                <w:sz w:val="18"/>
                <w:szCs w:val="18"/>
              </w:rPr>
              <w:t>-1 160,6</w:t>
            </w:r>
          </w:p>
        </w:tc>
        <w:tc>
          <w:tcPr>
            <w:tcW w:w="850" w:type="dxa"/>
            <w:tcBorders>
              <w:top w:val="nil"/>
              <w:left w:val="single" w:sz="8" w:space="0" w:color="auto"/>
              <w:bottom w:val="single" w:sz="4" w:space="0" w:color="auto"/>
              <w:right w:val="single" w:sz="8" w:space="0" w:color="auto"/>
            </w:tcBorders>
            <w:shd w:val="clear" w:color="auto" w:fill="auto"/>
            <w:vAlign w:val="center"/>
            <w:hideMark/>
          </w:tcPr>
          <w:p>
            <w:pPr>
              <w:spacing w:before="0" w:after="0"/>
              <w:jc w:val="right"/>
              <w:rPr>
                <w:i/>
                <w:iCs/>
                <w:noProof/>
                <w:sz w:val="18"/>
                <w:szCs w:val="18"/>
              </w:rPr>
            </w:pPr>
            <w:r>
              <w:rPr>
                <w:i/>
                <w:iCs/>
                <w:noProof/>
                <w:sz w:val="18"/>
                <w:szCs w:val="18"/>
              </w:rPr>
              <w:t>0,0</w:t>
            </w:r>
          </w:p>
        </w:tc>
      </w:tr>
      <w:tr>
        <w:trPr>
          <w:trHeight w:val="255"/>
        </w:trPr>
        <w:tc>
          <w:tcPr>
            <w:tcW w:w="3544"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pPr>
              <w:spacing w:before="0" w:after="0"/>
              <w:jc w:val="center"/>
              <w:rPr>
                <w:i/>
                <w:iCs/>
                <w:noProof/>
                <w:color w:val="000000"/>
                <w:sz w:val="18"/>
                <w:szCs w:val="18"/>
              </w:rPr>
            </w:pPr>
            <w:r>
              <w:rPr>
                <w:i/>
                <w:iCs/>
                <w:noProof/>
                <w:sz w:val="18"/>
                <w:szCs w:val="18"/>
              </w:rPr>
              <w:t>ОМПЗ за 2018 г.</w:t>
            </w:r>
          </w:p>
        </w:tc>
        <w:tc>
          <w:tcPr>
            <w:tcW w:w="850" w:type="dxa"/>
            <w:tcBorders>
              <w:top w:val="nil"/>
              <w:left w:val="nil"/>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1" w:type="dxa"/>
            <w:tcBorders>
              <w:top w:val="nil"/>
              <w:left w:val="single" w:sz="8" w:space="0" w:color="000000"/>
              <w:bottom w:val="single" w:sz="4" w:space="0" w:color="auto"/>
              <w:right w:val="nil"/>
            </w:tcBorders>
            <w:shd w:val="clear" w:color="auto" w:fill="auto"/>
            <w:vAlign w:val="center"/>
            <w:hideMark/>
          </w:tcPr>
          <w:p>
            <w:pPr>
              <w:spacing w:before="0" w:after="0"/>
              <w:jc w:val="right"/>
              <w:rPr>
                <w:i/>
                <w:iCs/>
                <w:noProof/>
                <w:sz w:val="18"/>
                <w:szCs w:val="18"/>
              </w:rPr>
            </w:pPr>
            <w:r>
              <w:rPr>
                <w:i/>
                <w:iCs/>
                <w:noProof/>
                <w:sz w:val="18"/>
                <w:szCs w:val="18"/>
              </w:rPr>
              <w:t>-100,0</w:t>
            </w:r>
          </w:p>
        </w:tc>
        <w:tc>
          <w:tcPr>
            <w:tcW w:w="850" w:type="dxa"/>
            <w:tcBorders>
              <w:top w:val="single" w:sz="4" w:space="0" w:color="auto"/>
              <w:left w:val="single" w:sz="8" w:space="0" w:color="000000"/>
              <w:bottom w:val="single" w:sz="4" w:space="0" w:color="auto"/>
              <w:right w:val="single" w:sz="8" w:space="0" w:color="auto"/>
            </w:tcBorders>
            <w:shd w:val="clear" w:color="auto" w:fill="auto"/>
            <w:vAlign w:val="center"/>
            <w:hideMark/>
          </w:tcPr>
          <w:p>
            <w:pPr>
              <w:spacing w:before="0" w:after="0"/>
              <w:jc w:val="right"/>
              <w:rPr>
                <w:i/>
                <w:iCs/>
                <w:noProof/>
                <w:sz w:val="18"/>
                <w:szCs w:val="18"/>
              </w:rPr>
            </w:pPr>
            <w:r>
              <w:rPr>
                <w:i/>
                <w:iCs/>
                <w:noProof/>
                <w:sz w:val="18"/>
                <w:szCs w:val="18"/>
              </w:rPr>
              <w:t>-269,6</w:t>
            </w:r>
          </w:p>
        </w:tc>
      </w:tr>
      <w:tr>
        <w:trPr>
          <w:trHeight w:val="255"/>
        </w:trPr>
        <w:tc>
          <w:tcPr>
            <w:tcW w:w="3544"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pPr>
              <w:spacing w:before="0" w:after="0"/>
              <w:jc w:val="center"/>
              <w:rPr>
                <w:i/>
                <w:iCs/>
                <w:noProof/>
                <w:color w:val="000000"/>
                <w:sz w:val="18"/>
                <w:szCs w:val="18"/>
              </w:rPr>
            </w:pPr>
            <w:r>
              <w:rPr>
                <w:i/>
                <w:iCs/>
                <w:noProof/>
                <w:sz w:val="18"/>
                <w:szCs w:val="18"/>
              </w:rPr>
              <w:t>ОМПЗ за 2019 г.</w:t>
            </w:r>
          </w:p>
        </w:tc>
        <w:tc>
          <w:tcPr>
            <w:tcW w:w="850" w:type="dxa"/>
            <w:tcBorders>
              <w:top w:val="nil"/>
              <w:left w:val="nil"/>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1" w:type="dxa"/>
            <w:tcBorders>
              <w:top w:val="nil"/>
              <w:left w:val="single" w:sz="8" w:space="0" w:color="000000"/>
              <w:bottom w:val="single" w:sz="4" w:space="0" w:color="auto"/>
              <w:right w:val="nil"/>
            </w:tcBorders>
            <w:shd w:val="clear" w:color="auto" w:fill="auto"/>
            <w:vAlign w:val="center"/>
            <w:hideMark/>
          </w:tcPr>
          <w:p>
            <w:pPr>
              <w:spacing w:before="0" w:after="0"/>
              <w:jc w:val="right"/>
              <w:rPr>
                <w:i/>
                <w:iCs/>
                <w:noProof/>
                <w:sz w:val="18"/>
                <w:szCs w:val="18"/>
              </w:rPr>
            </w:pPr>
            <w:r>
              <w:rPr>
                <w:i/>
                <w:iCs/>
                <w:noProof/>
                <w:sz w:val="18"/>
                <w:szCs w:val="18"/>
              </w:rPr>
              <w:t>-</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hideMark/>
          </w:tcPr>
          <w:p>
            <w:pPr>
              <w:spacing w:before="0" w:after="0"/>
              <w:jc w:val="right"/>
              <w:rPr>
                <w:i/>
                <w:iCs/>
                <w:noProof/>
                <w:sz w:val="18"/>
                <w:szCs w:val="18"/>
              </w:rPr>
            </w:pPr>
          </w:p>
        </w:tc>
      </w:tr>
      <w:tr>
        <w:trPr>
          <w:trHeight w:val="270"/>
        </w:trPr>
        <w:tc>
          <w:tcPr>
            <w:tcW w:w="354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pPr>
              <w:spacing w:before="0" w:after="0"/>
              <w:jc w:val="center"/>
              <w:rPr>
                <w:b/>
                <w:bCs/>
                <w:noProof/>
                <w:color w:val="000000"/>
                <w:sz w:val="18"/>
                <w:szCs w:val="18"/>
              </w:rPr>
            </w:pPr>
            <w:r>
              <w:rPr>
                <w:b/>
                <w:bCs/>
                <w:noProof/>
                <w:sz w:val="18"/>
                <w:szCs w:val="18"/>
              </w:rPr>
              <w:t>Оставащ ОМПЗ в края на годината</w:t>
            </w:r>
          </w:p>
        </w:tc>
        <w:tc>
          <w:tcPr>
            <w:tcW w:w="850" w:type="dxa"/>
            <w:tcBorders>
              <w:top w:val="nil"/>
              <w:left w:val="nil"/>
              <w:bottom w:val="single" w:sz="8" w:space="0" w:color="auto"/>
              <w:right w:val="single" w:sz="4" w:space="0" w:color="000000"/>
            </w:tcBorders>
            <w:shd w:val="clear" w:color="auto" w:fill="auto"/>
            <w:vAlign w:val="center"/>
            <w:hideMark/>
          </w:tcPr>
          <w:p>
            <w:pPr>
              <w:spacing w:before="0" w:after="0"/>
              <w:jc w:val="right"/>
              <w:rPr>
                <w:b/>
                <w:bCs/>
                <w:noProof/>
                <w:sz w:val="18"/>
                <w:szCs w:val="18"/>
              </w:rPr>
            </w:pPr>
            <w:r>
              <w:rPr>
                <w:b/>
                <w:bCs/>
                <w:noProof/>
                <w:sz w:val="18"/>
                <w:szCs w:val="18"/>
              </w:rPr>
              <w:t>0,0</w:t>
            </w:r>
          </w:p>
        </w:tc>
        <w:tc>
          <w:tcPr>
            <w:tcW w:w="851" w:type="dxa"/>
            <w:tcBorders>
              <w:top w:val="nil"/>
              <w:left w:val="single" w:sz="8" w:space="0" w:color="auto"/>
              <w:bottom w:val="single" w:sz="8" w:space="0" w:color="auto"/>
              <w:right w:val="single" w:sz="4" w:space="0" w:color="000000"/>
            </w:tcBorders>
            <w:shd w:val="clear" w:color="auto" w:fill="auto"/>
            <w:vAlign w:val="center"/>
            <w:hideMark/>
          </w:tcPr>
          <w:p>
            <w:pPr>
              <w:spacing w:before="0" w:after="0"/>
              <w:jc w:val="right"/>
              <w:rPr>
                <w:b/>
                <w:bCs/>
                <w:noProof/>
                <w:sz w:val="18"/>
                <w:szCs w:val="18"/>
              </w:rPr>
            </w:pPr>
            <w:r>
              <w:rPr>
                <w:b/>
                <w:bCs/>
                <w:noProof/>
                <w:sz w:val="18"/>
                <w:szCs w:val="18"/>
              </w:rPr>
              <w:t>0,0</w:t>
            </w:r>
          </w:p>
        </w:tc>
        <w:tc>
          <w:tcPr>
            <w:tcW w:w="850" w:type="dxa"/>
            <w:tcBorders>
              <w:top w:val="nil"/>
              <w:left w:val="single" w:sz="8" w:space="0" w:color="auto"/>
              <w:bottom w:val="single" w:sz="8" w:space="0" w:color="auto"/>
              <w:right w:val="single" w:sz="4" w:space="0" w:color="000000"/>
            </w:tcBorders>
            <w:shd w:val="clear" w:color="auto" w:fill="auto"/>
            <w:vAlign w:val="center"/>
            <w:hideMark/>
          </w:tcPr>
          <w:p>
            <w:pPr>
              <w:spacing w:before="0" w:after="0"/>
              <w:jc w:val="right"/>
              <w:rPr>
                <w:b/>
                <w:bCs/>
                <w:noProof/>
                <w:sz w:val="18"/>
                <w:szCs w:val="18"/>
              </w:rPr>
            </w:pPr>
            <w:r>
              <w:rPr>
                <w:b/>
                <w:bCs/>
                <w:noProof/>
                <w:sz w:val="18"/>
                <w:szCs w:val="18"/>
              </w:rPr>
              <w:t>1 410,9</w:t>
            </w:r>
          </w:p>
        </w:tc>
        <w:tc>
          <w:tcPr>
            <w:tcW w:w="851" w:type="dxa"/>
            <w:tcBorders>
              <w:top w:val="nil"/>
              <w:left w:val="single" w:sz="8" w:space="0" w:color="auto"/>
              <w:bottom w:val="single" w:sz="8" w:space="0" w:color="auto"/>
              <w:right w:val="single" w:sz="4" w:space="0" w:color="000000"/>
            </w:tcBorders>
            <w:shd w:val="clear" w:color="auto" w:fill="auto"/>
            <w:vAlign w:val="center"/>
            <w:hideMark/>
          </w:tcPr>
          <w:p>
            <w:pPr>
              <w:spacing w:before="0" w:after="0"/>
              <w:jc w:val="right"/>
              <w:rPr>
                <w:b/>
                <w:bCs/>
                <w:noProof/>
                <w:sz w:val="18"/>
                <w:szCs w:val="18"/>
              </w:rPr>
            </w:pPr>
            <w:r>
              <w:rPr>
                <w:b/>
                <w:bCs/>
                <w:noProof/>
                <w:sz w:val="18"/>
                <w:szCs w:val="18"/>
              </w:rPr>
              <w:t>1 632,0</w:t>
            </w:r>
          </w:p>
        </w:tc>
        <w:tc>
          <w:tcPr>
            <w:tcW w:w="850" w:type="dxa"/>
            <w:tcBorders>
              <w:top w:val="nil"/>
              <w:left w:val="single" w:sz="8" w:space="0" w:color="auto"/>
              <w:bottom w:val="single" w:sz="8" w:space="0" w:color="auto"/>
              <w:right w:val="single" w:sz="4" w:space="0" w:color="000000"/>
            </w:tcBorders>
            <w:shd w:val="clear" w:color="auto" w:fill="auto"/>
            <w:vAlign w:val="center"/>
            <w:hideMark/>
          </w:tcPr>
          <w:p>
            <w:pPr>
              <w:spacing w:before="0" w:after="0"/>
              <w:jc w:val="right"/>
              <w:rPr>
                <w:b/>
                <w:bCs/>
                <w:noProof/>
                <w:sz w:val="18"/>
                <w:szCs w:val="18"/>
              </w:rPr>
            </w:pPr>
            <w:r>
              <w:rPr>
                <w:b/>
                <w:bCs/>
                <w:noProof/>
                <w:sz w:val="18"/>
                <w:szCs w:val="18"/>
              </w:rPr>
              <w:t>1 446,8</w:t>
            </w:r>
          </w:p>
        </w:tc>
        <w:tc>
          <w:tcPr>
            <w:tcW w:w="851" w:type="dxa"/>
            <w:tcBorders>
              <w:top w:val="nil"/>
              <w:left w:val="single" w:sz="8" w:space="0" w:color="auto"/>
              <w:bottom w:val="single" w:sz="8" w:space="0" w:color="auto"/>
              <w:right w:val="nil"/>
            </w:tcBorders>
            <w:shd w:val="clear" w:color="auto" w:fill="auto"/>
            <w:vAlign w:val="center"/>
            <w:hideMark/>
          </w:tcPr>
          <w:p>
            <w:pPr>
              <w:spacing w:before="0" w:after="0"/>
              <w:jc w:val="right"/>
              <w:rPr>
                <w:b/>
                <w:bCs/>
                <w:noProof/>
                <w:sz w:val="18"/>
                <w:szCs w:val="18"/>
              </w:rPr>
            </w:pPr>
            <w:r>
              <w:rPr>
                <w:b/>
                <w:bCs/>
                <w:noProof/>
                <w:sz w:val="18"/>
                <w:szCs w:val="18"/>
              </w:rPr>
              <w:t>1 318,7</w:t>
            </w:r>
          </w:p>
        </w:tc>
        <w:tc>
          <w:tcPr>
            <w:tcW w:w="850"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right"/>
              <w:rPr>
                <w:b/>
                <w:bCs/>
                <w:noProof/>
                <w:sz w:val="18"/>
                <w:szCs w:val="18"/>
              </w:rPr>
            </w:pPr>
            <w:r>
              <w:rPr>
                <w:b/>
                <w:bCs/>
                <w:noProof/>
                <w:sz w:val="18"/>
                <w:szCs w:val="18"/>
              </w:rPr>
              <w:t>2 392,4</w:t>
            </w:r>
          </w:p>
        </w:tc>
      </w:tr>
      <w:tr>
        <w:trPr>
          <w:trHeight w:val="255"/>
        </w:trPr>
        <w:tc>
          <w:tcPr>
            <w:tcW w:w="3544" w:type="dxa"/>
            <w:tcBorders>
              <w:top w:val="single" w:sz="8" w:space="0" w:color="auto"/>
              <w:left w:val="single" w:sz="8" w:space="0" w:color="auto"/>
              <w:bottom w:val="single" w:sz="4" w:space="0" w:color="auto"/>
              <w:right w:val="single" w:sz="8" w:space="0" w:color="000000"/>
            </w:tcBorders>
            <w:shd w:val="clear" w:color="auto" w:fill="auto"/>
            <w:noWrap/>
            <w:vAlign w:val="bottom"/>
            <w:hideMark/>
          </w:tcPr>
          <w:p>
            <w:pPr>
              <w:spacing w:before="0" w:after="0"/>
              <w:jc w:val="center"/>
              <w:rPr>
                <w:i/>
                <w:iCs/>
                <w:noProof/>
                <w:color w:val="000000"/>
                <w:sz w:val="18"/>
                <w:szCs w:val="18"/>
              </w:rPr>
            </w:pPr>
            <w:r>
              <w:rPr>
                <w:i/>
                <w:iCs/>
                <w:noProof/>
                <w:sz w:val="18"/>
                <w:szCs w:val="18"/>
              </w:rPr>
              <w:t>ОМПЗ за 2014 г.</w:t>
            </w:r>
          </w:p>
        </w:tc>
        <w:tc>
          <w:tcPr>
            <w:tcW w:w="850" w:type="dxa"/>
            <w:tcBorders>
              <w:top w:val="nil"/>
              <w:left w:val="nil"/>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0,0</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0,0</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0,0</w:t>
            </w:r>
          </w:p>
        </w:tc>
        <w:tc>
          <w:tcPr>
            <w:tcW w:w="851" w:type="dxa"/>
            <w:tcBorders>
              <w:top w:val="nil"/>
              <w:left w:val="single" w:sz="8" w:space="0" w:color="000000"/>
              <w:bottom w:val="single" w:sz="4" w:space="0" w:color="auto"/>
              <w:right w:val="nil"/>
            </w:tcBorders>
            <w:shd w:val="clear" w:color="auto" w:fill="auto"/>
            <w:vAlign w:val="center"/>
            <w:hideMark/>
          </w:tcPr>
          <w:p>
            <w:pPr>
              <w:spacing w:before="0" w:after="0"/>
              <w:jc w:val="right"/>
              <w:rPr>
                <w:i/>
                <w:iCs/>
                <w:noProof/>
                <w:sz w:val="18"/>
                <w:szCs w:val="18"/>
              </w:rPr>
            </w:pPr>
            <w:r>
              <w:rPr>
                <w:i/>
                <w:iCs/>
                <w:noProof/>
                <w:sz w:val="18"/>
                <w:szCs w:val="18"/>
              </w:rPr>
              <w:t>0,0</w:t>
            </w:r>
          </w:p>
        </w:tc>
        <w:tc>
          <w:tcPr>
            <w:tcW w:w="850" w:type="dxa"/>
            <w:tcBorders>
              <w:top w:val="nil"/>
              <w:left w:val="single" w:sz="8" w:space="0" w:color="auto"/>
              <w:bottom w:val="single" w:sz="4" w:space="0" w:color="auto"/>
              <w:right w:val="single" w:sz="8" w:space="0" w:color="auto"/>
            </w:tcBorders>
            <w:shd w:val="clear" w:color="auto" w:fill="auto"/>
            <w:vAlign w:val="center"/>
            <w:hideMark/>
          </w:tcPr>
          <w:p>
            <w:pPr>
              <w:spacing w:before="0" w:after="0"/>
              <w:jc w:val="right"/>
              <w:rPr>
                <w:i/>
                <w:iCs/>
                <w:noProof/>
                <w:sz w:val="18"/>
                <w:szCs w:val="18"/>
              </w:rPr>
            </w:pPr>
            <w:r>
              <w:rPr>
                <w:i/>
                <w:iCs/>
                <w:noProof/>
                <w:sz w:val="18"/>
                <w:szCs w:val="18"/>
              </w:rPr>
              <w:t>0,0</w:t>
            </w:r>
          </w:p>
        </w:tc>
      </w:tr>
      <w:tr>
        <w:trPr>
          <w:trHeight w:val="255"/>
        </w:trPr>
        <w:tc>
          <w:tcPr>
            <w:tcW w:w="3544"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pPr>
              <w:spacing w:before="0" w:after="0"/>
              <w:jc w:val="center"/>
              <w:rPr>
                <w:i/>
                <w:iCs/>
                <w:noProof/>
                <w:color w:val="000000"/>
                <w:sz w:val="18"/>
                <w:szCs w:val="18"/>
              </w:rPr>
            </w:pPr>
            <w:r>
              <w:rPr>
                <w:i/>
                <w:iCs/>
                <w:noProof/>
                <w:sz w:val="18"/>
                <w:szCs w:val="18"/>
              </w:rPr>
              <w:t>ОМПЗ за 2015 г.</w:t>
            </w:r>
          </w:p>
        </w:tc>
        <w:tc>
          <w:tcPr>
            <w:tcW w:w="850" w:type="dxa"/>
            <w:tcBorders>
              <w:top w:val="nil"/>
              <w:left w:val="nil"/>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1 410,9</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0,0</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0,0</w:t>
            </w:r>
          </w:p>
        </w:tc>
        <w:tc>
          <w:tcPr>
            <w:tcW w:w="851" w:type="dxa"/>
            <w:tcBorders>
              <w:top w:val="nil"/>
              <w:left w:val="single" w:sz="8" w:space="0" w:color="000000"/>
              <w:bottom w:val="single" w:sz="4" w:space="0" w:color="auto"/>
              <w:right w:val="nil"/>
            </w:tcBorders>
            <w:shd w:val="clear" w:color="auto" w:fill="auto"/>
            <w:vAlign w:val="center"/>
            <w:hideMark/>
          </w:tcPr>
          <w:p>
            <w:pPr>
              <w:spacing w:before="0" w:after="0"/>
              <w:jc w:val="right"/>
              <w:rPr>
                <w:i/>
                <w:iCs/>
                <w:noProof/>
                <w:sz w:val="18"/>
                <w:szCs w:val="18"/>
              </w:rPr>
            </w:pPr>
            <w:r>
              <w:rPr>
                <w:i/>
                <w:iCs/>
                <w:noProof/>
                <w:sz w:val="18"/>
                <w:szCs w:val="18"/>
              </w:rPr>
              <w:t>0,0</w:t>
            </w:r>
          </w:p>
        </w:tc>
        <w:tc>
          <w:tcPr>
            <w:tcW w:w="850" w:type="dxa"/>
            <w:tcBorders>
              <w:top w:val="nil"/>
              <w:left w:val="single" w:sz="8" w:space="0" w:color="auto"/>
              <w:bottom w:val="single" w:sz="4" w:space="0" w:color="auto"/>
              <w:right w:val="single" w:sz="8" w:space="0" w:color="auto"/>
            </w:tcBorders>
            <w:shd w:val="clear" w:color="auto" w:fill="auto"/>
            <w:vAlign w:val="center"/>
            <w:hideMark/>
          </w:tcPr>
          <w:p>
            <w:pPr>
              <w:spacing w:before="0" w:after="0"/>
              <w:jc w:val="right"/>
              <w:rPr>
                <w:i/>
                <w:iCs/>
                <w:noProof/>
                <w:sz w:val="18"/>
                <w:szCs w:val="18"/>
              </w:rPr>
            </w:pPr>
            <w:r>
              <w:rPr>
                <w:i/>
                <w:iCs/>
                <w:noProof/>
                <w:sz w:val="18"/>
                <w:szCs w:val="18"/>
              </w:rPr>
              <w:t>0,0</w:t>
            </w:r>
          </w:p>
        </w:tc>
      </w:tr>
      <w:tr>
        <w:trPr>
          <w:trHeight w:val="255"/>
        </w:trPr>
        <w:tc>
          <w:tcPr>
            <w:tcW w:w="3544"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pPr>
              <w:spacing w:before="0" w:after="0"/>
              <w:jc w:val="center"/>
              <w:rPr>
                <w:i/>
                <w:iCs/>
                <w:noProof/>
                <w:color w:val="000000"/>
                <w:sz w:val="18"/>
                <w:szCs w:val="18"/>
              </w:rPr>
            </w:pPr>
            <w:r>
              <w:rPr>
                <w:i/>
                <w:iCs/>
                <w:noProof/>
                <w:sz w:val="18"/>
                <w:szCs w:val="18"/>
              </w:rPr>
              <w:t>ОМПЗ за 2016 г.</w:t>
            </w:r>
          </w:p>
        </w:tc>
        <w:tc>
          <w:tcPr>
            <w:tcW w:w="850" w:type="dxa"/>
            <w:tcBorders>
              <w:top w:val="nil"/>
              <w:left w:val="nil"/>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1 632,0</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309,0</w:t>
            </w:r>
          </w:p>
        </w:tc>
        <w:tc>
          <w:tcPr>
            <w:tcW w:w="851" w:type="dxa"/>
            <w:tcBorders>
              <w:top w:val="nil"/>
              <w:left w:val="single" w:sz="8" w:space="0" w:color="000000"/>
              <w:bottom w:val="single" w:sz="4" w:space="0" w:color="auto"/>
              <w:right w:val="nil"/>
            </w:tcBorders>
            <w:shd w:val="clear" w:color="auto" w:fill="auto"/>
            <w:vAlign w:val="center"/>
            <w:hideMark/>
          </w:tcPr>
          <w:p>
            <w:pPr>
              <w:spacing w:before="0" w:after="0"/>
              <w:jc w:val="right"/>
              <w:rPr>
                <w:i/>
                <w:iCs/>
                <w:noProof/>
                <w:sz w:val="18"/>
                <w:szCs w:val="18"/>
              </w:rPr>
            </w:pPr>
            <w:r>
              <w:rPr>
                <w:i/>
                <w:iCs/>
                <w:noProof/>
                <w:sz w:val="18"/>
                <w:szCs w:val="18"/>
              </w:rPr>
              <w:t>0,0</w:t>
            </w:r>
          </w:p>
        </w:tc>
        <w:tc>
          <w:tcPr>
            <w:tcW w:w="850" w:type="dxa"/>
            <w:tcBorders>
              <w:top w:val="nil"/>
              <w:left w:val="single" w:sz="8" w:space="0" w:color="auto"/>
              <w:bottom w:val="single" w:sz="4" w:space="0" w:color="auto"/>
              <w:right w:val="single" w:sz="8" w:space="0" w:color="auto"/>
            </w:tcBorders>
            <w:shd w:val="clear" w:color="auto" w:fill="auto"/>
            <w:vAlign w:val="center"/>
            <w:hideMark/>
          </w:tcPr>
          <w:p>
            <w:pPr>
              <w:spacing w:before="0" w:after="0"/>
              <w:jc w:val="right"/>
              <w:rPr>
                <w:i/>
                <w:iCs/>
                <w:noProof/>
                <w:sz w:val="18"/>
                <w:szCs w:val="18"/>
              </w:rPr>
            </w:pPr>
            <w:r>
              <w:rPr>
                <w:i/>
                <w:iCs/>
                <w:noProof/>
                <w:sz w:val="18"/>
                <w:szCs w:val="18"/>
              </w:rPr>
              <w:t>0,0</w:t>
            </w:r>
          </w:p>
        </w:tc>
      </w:tr>
      <w:tr>
        <w:trPr>
          <w:trHeight w:val="255"/>
        </w:trPr>
        <w:tc>
          <w:tcPr>
            <w:tcW w:w="3544"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pPr>
              <w:spacing w:before="0" w:after="0"/>
              <w:jc w:val="center"/>
              <w:rPr>
                <w:i/>
                <w:iCs/>
                <w:noProof/>
                <w:color w:val="000000"/>
                <w:sz w:val="18"/>
                <w:szCs w:val="18"/>
              </w:rPr>
            </w:pPr>
            <w:r>
              <w:rPr>
                <w:i/>
                <w:iCs/>
                <w:noProof/>
                <w:sz w:val="18"/>
                <w:szCs w:val="18"/>
              </w:rPr>
              <w:t>ОМПЗ за 2017 г.</w:t>
            </w:r>
          </w:p>
        </w:tc>
        <w:tc>
          <w:tcPr>
            <w:tcW w:w="850" w:type="dxa"/>
            <w:tcBorders>
              <w:top w:val="nil"/>
              <w:left w:val="nil"/>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1 137,8</w:t>
            </w:r>
          </w:p>
        </w:tc>
        <w:tc>
          <w:tcPr>
            <w:tcW w:w="851" w:type="dxa"/>
            <w:tcBorders>
              <w:top w:val="nil"/>
              <w:left w:val="single" w:sz="8" w:space="0" w:color="000000"/>
              <w:bottom w:val="single" w:sz="4" w:space="0" w:color="auto"/>
              <w:right w:val="nil"/>
            </w:tcBorders>
            <w:shd w:val="clear" w:color="auto" w:fill="auto"/>
            <w:vAlign w:val="center"/>
            <w:hideMark/>
          </w:tcPr>
          <w:p>
            <w:pPr>
              <w:spacing w:before="0" w:after="0"/>
              <w:jc w:val="right"/>
              <w:rPr>
                <w:i/>
                <w:iCs/>
                <w:noProof/>
                <w:sz w:val="18"/>
                <w:szCs w:val="18"/>
              </w:rPr>
            </w:pPr>
            <w:r>
              <w:rPr>
                <w:i/>
                <w:iCs/>
                <w:noProof/>
                <w:sz w:val="18"/>
                <w:szCs w:val="18"/>
              </w:rPr>
              <w:t>0,0</w:t>
            </w:r>
          </w:p>
        </w:tc>
        <w:tc>
          <w:tcPr>
            <w:tcW w:w="850" w:type="dxa"/>
            <w:tcBorders>
              <w:top w:val="nil"/>
              <w:left w:val="single" w:sz="8" w:space="0" w:color="auto"/>
              <w:bottom w:val="single" w:sz="4" w:space="0" w:color="auto"/>
              <w:right w:val="single" w:sz="8" w:space="0" w:color="auto"/>
            </w:tcBorders>
            <w:shd w:val="clear" w:color="auto" w:fill="auto"/>
            <w:vAlign w:val="center"/>
            <w:hideMark/>
          </w:tcPr>
          <w:p>
            <w:pPr>
              <w:spacing w:before="0" w:after="0"/>
              <w:jc w:val="right"/>
              <w:rPr>
                <w:i/>
                <w:iCs/>
                <w:noProof/>
                <w:sz w:val="18"/>
                <w:szCs w:val="18"/>
              </w:rPr>
            </w:pPr>
            <w:r>
              <w:rPr>
                <w:i/>
                <w:iCs/>
                <w:noProof/>
                <w:sz w:val="18"/>
                <w:szCs w:val="18"/>
              </w:rPr>
              <w:t>0,0</w:t>
            </w:r>
          </w:p>
        </w:tc>
      </w:tr>
      <w:tr>
        <w:trPr>
          <w:trHeight w:val="255"/>
        </w:trPr>
        <w:tc>
          <w:tcPr>
            <w:tcW w:w="3544"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pPr>
              <w:spacing w:before="0" w:after="0"/>
              <w:jc w:val="center"/>
              <w:rPr>
                <w:i/>
                <w:iCs/>
                <w:noProof/>
                <w:color w:val="000000"/>
                <w:sz w:val="18"/>
                <w:szCs w:val="18"/>
              </w:rPr>
            </w:pPr>
            <w:r>
              <w:rPr>
                <w:i/>
                <w:iCs/>
                <w:noProof/>
                <w:sz w:val="18"/>
                <w:szCs w:val="18"/>
              </w:rPr>
              <w:t>ОМПЗ за 2018 г.</w:t>
            </w:r>
          </w:p>
        </w:tc>
        <w:tc>
          <w:tcPr>
            <w:tcW w:w="850" w:type="dxa"/>
            <w:tcBorders>
              <w:top w:val="nil"/>
              <w:left w:val="nil"/>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1 318,7</w:t>
            </w:r>
          </w:p>
        </w:tc>
        <w:tc>
          <w:tcPr>
            <w:tcW w:w="850" w:type="dxa"/>
            <w:tcBorders>
              <w:top w:val="nil"/>
              <w:left w:val="single" w:sz="8" w:space="0" w:color="auto"/>
              <w:bottom w:val="single" w:sz="4" w:space="0" w:color="auto"/>
              <w:right w:val="single" w:sz="8" w:space="0" w:color="auto"/>
            </w:tcBorders>
            <w:shd w:val="clear" w:color="auto" w:fill="auto"/>
            <w:vAlign w:val="center"/>
            <w:hideMark/>
          </w:tcPr>
          <w:p>
            <w:pPr>
              <w:spacing w:before="0" w:after="0"/>
              <w:jc w:val="right"/>
              <w:rPr>
                <w:i/>
                <w:iCs/>
                <w:noProof/>
                <w:sz w:val="18"/>
                <w:szCs w:val="18"/>
              </w:rPr>
            </w:pPr>
            <w:r>
              <w:rPr>
                <w:i/>
                <w:iCs/>
                <w:noProof/>
                <w:sz w:val="18"/>
                <w:szCs w:val="18"/>
              </w:rPr>
              <w:t>1 075,5</w:t>
            </w:r>
          </w:p>
        </w:tc>
      </w:tr>
      <w:tr>
        <w:trPr>
          <w:trHeight w:val="255"/>
        </w:trPr>
        <w:tc>
          <w:tcPr>
            <w:tcW w:w="3544"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pPr>
              <w:spacing w:before="0" w:after="0"/>
              <w:jc w:val="center"/>
              <w:rPr>
                <w:i/>
                <w:iCs/>
                <w:noProof/>
                <w:color w:val="000000"/>
                <w:sz w:val="18"/>
                <w:szCs w:val="18"/>
              </w:rPr>
            </w:pPr>
            <w:r>
              <w:rPr>
                <w:i/>
                <w:iCs/>
                <w:noProof/>
                <w:sz w:val="18"/>
                <w:szCs w:val="18"/>
              </w:rPr>
              <w:t>ОМПЗ за 2019 г.</w:t>
            </w:r>
          </w:p>
        </w:tc>
        <w:tc>
          <w:tcPr>
            <w:tcW w:w="850" w:type="dxa"/>
            <w:tcBorders>
              <w:top w:val="nil"/>
              <w:left w:val="nil"/>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1"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0" w:type="dxa"/>
            <w:tcBorders>
              <w:top w:val="nil"/>
              <w:left w:val="single" w:sz="8" w:space="0" w:color="000000"/>
              <w:bottom w:val="single" w:sz="4" w:space="0" w:color="auto"/>
              <w:right w:val="single" w:sz="4" w:space="0" w:color="000000"/>
            </w:tcBorders>
            <w:shd w:val="clear" w:color="auto" w:fill="auto"/>
            <w:vAlign w:val="center"/>
            <w:hideMark/>
          </w:tcPr>
          <w:p>
            <w:pPr>
              <w:spacing w:before="0" w:after="0"/>
              <w:jc w:val="right"/>
              <w:rPr>
                <w:i/>
                <w:iCs/>
                <w:noProof/>
                <w:sz w:val="18"/>
                <w:szCs w:val="18"/>
              </w:rPr>
            </w:pPr>
            <w:r>
              <w:rPr>
                <w:i/>
                <w:iCs/>
                <w:noProof/>
                <w:sz w:val="18"/>
                <w:szCs w:val="18"/>
              </w:rPr>
              <w:t>-</w:t>
            </w:r>
          </w:p>
        </w:tc>
        <w:tc>
          <w:tcPr>
            <w:tcW w:w="851" w:type="dxa"/>
            <w:tcBorders>
              <w:top w:val="nil"/>
              <w:left w:val="single" w:sz="8" w:space="0" w:color="000000"/>
              <w:bottom w:val="single" w:sz="4" w:space="0" w:color="auto"/>
              <w:right w:val="nil"/>
            </w:tcBorders>
            <w:shd w:val="clear" w:color="auto" w:fill="auto"/>
            <w:vAlign w:val="center"/>
            <w:hideMark/>
          </w:tcPr>
          <w:p>
            <w:pPr>
              <w:spacing w:before="0" w:after="0"/>
              <w:jc w:val="right"/>
              <w:rPr>
                <w:i/>
                <w:iCs/>
                <w:noProof/>
                <w:sz w:val="18"/>
                <w:szCs w:val="18"/>
              </w:rPr>
            </w:pPr>
            <w:r>
              <w:rPr>
                <w:i/>
                <w:iCs/>
                <w:noProof/>
                <w:sz w:val="18"/>
                <w:szCs w:val="18"/>
              </w:rPr>
              <w:t>-</w:t>
            </w:r>
          </w:p>
        </w:tc>
        <w:tc>
          <w:tcPr>
            <w:tcW w:w="850" w:type="dxa"/>
            <w:tcBorders>
              <w:top w:val="nil"/>
              <w:left w:val="single" w:sz="8" w:space="0" w:color="auto"/>
              <w:bottom w:val="single" w:sz="4" w:space="0" w:color="auto"/>
              <w:right w:val="single" w:sz="8" w:space="0" w:color="auto"/>
            </w:tcBorders>
            <w:shd w:val="clear" w:color="auto" w:fill="auto"/>
            <w:vAlign w:val="center"/>
            <w:hideMark/>
          </w:tcPr>
          <w:p>
            <w:pPr>
              <w:spacing w:before="0" w:after="0"/>
              <w:jc w:val="right"/>
              <w:rPr>
                <w:i/>
                <w:iCs/>
                <w:noProof/>
                <w:sz w:val="18"/>
                <w:szCs w:val="18"/>
              </w:rPr>
            </w:pPr>
            <w:r>
              <w:rPr>
                <w:i/>
                <w:iCs/>
                <w:noProof/>
                <w:sz w:val="18"/>
                <w:szCs w:val="18"/>
              </w:rPr>
              <w:t>1 316,9</w:t>
            </w:r>
          </w:p>
        </w:tc>
      </w:tr>
    </w:tbl>
    <w:p>
      <w:pPr>
        <w:pStyle w:val="Text1"/>
        <w:ind w:left="0"/>
        <w:rPr>
          <w:noProof/>
        </w:rPr>
      </w:pP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967144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ОВ L 163, 24.6.2017 г., стр. 1.</w:t>
      </w:r>
    </w:p>
  </w:footnote>
  <w:footnote w:id="3">
    <w:p>
      <w:pPr>
        <w:pStyle w:val="FootnoteText"/>
      </w:pPr>
      <w:r>
        <w:rPr>
          <w:rStyle w:val="FootnoteReference"/>
        </w:rPr>
        <w:footnoteRef/>
      </w:r>
      <w:r>
        <w:tab/>
        <w:t>COM(2019) 310 final от 15.5.2019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5B8B29F9"/>
    <w:multiLevelType w:val="hybridMultilevel"/>
    <w:tmpl w:val="32229D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1310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60F70CB-12EA-49DE-9586-D901C45BB96F"/>
    <w:docVar w:name="LW_COVERPAGE_TYPE" w:val="1"/>
    <w:docVar w:name="LW_CROSSREFERENCE" w:val="&lt;UNUSED&gt;"/>
    <w:docVar w:name="LW_DocType" w:val="NORMAL"/>
    <w:docVar w:name="LW_EMISSION" w:val="2.4.2020"/>
    <w:docVar w:name="LW_EMISSION_ISODATE" w:val="2020-04-02"/>
    <w:docVar w:name="LW_EMISSION_LOCATION" w:val="BRX"/>
    <w:docVar w:name="LW_EMISSION_PREFIX" w:val="Брюксел, "/>
    <w:docVar w:name="LW_EMISSION_SUFFIX" w:val=" \u1075?."/>
    <w:docVar w:name="LW_ID_DOCTYPE_NONLW" w:val="CP-011"/>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17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Cambria Cyr&gt;\u1058?\u1077?\u1093?\u1085?\u1080?\u1095?\u1077?\u1089?\u1082?\u1072? \u1082?\u1086?\u1088?\u1077?\u1082?\u1094?\u1080?\u1103? \u1087?\u1086? \u1086?\u1090?\u1085?\u1086?\u1096?\u1077?\u1085?\u1080?\u1077? \u1085?\u1072? \u1089?\u1087?\u1077?\u1094?\u1080?\u1072?\u1083?\u1085?\u1080?\u1090?\u1077? \u1080?\u1085?\u1089?\u1090?\u1088?\u1091?\u1084?\u1077?\u1085?\u1090?\u1080? \u1079?\u1072? 2020 \u1075?. (\u1095?\u1083?\u1077?\u1085? 6, \u1087?\u1072?\u1088?\u1072?\u1075?\u1088?\u1072?\u1092? 1, \u1073?\u1091?\u1082?\u1074?\u1080? \u1076?) \u1080? \u1077?) \u1086?\u1090? \u1056?\u1077?\u1075?\u1083?\u1072?\u1084?\u1077?\u1085?\u1090? \u8470? 1311/2013 \u1085?\u1072? \u1057?\u1098?\u1074?\u1077?\u1090?\u1072? \u1079?\u1072? \u1086?\u1087?\u1088?\u1077?\u1076?\u1077?\u1083?\u1103?\u1085?\u1077? \u1085?\u1072? \u1084?\u1085?\u1086?\u1075?\u1086?\u1075?\u1086?\u1076?\u1080?\u1096?\u1085?\u1072?\u1090?\u1072? \u1092?\u1080?\u1085?\u1072?\u1085?\u1089?\u1086?\u1074?\u1072? \u1088?\u1072?\u1084?\u1082?\u1072? \u1079?\u1072? \u1075?\u1086?\u1076?\u1080?\u1085?\u1080?\u1090?\u1077? 2014-2020).&lt;/FMT&gt;_x000b_"/>
    <w:docVar w:name="LW_TYPE.DOC.CP" w:val="\u1057?\u1066?\u1054?\u1041?\u1065?\u1045?\u1053?\u1048?\u1045? \u1053?\u1040? \u1050?\u1054?\u1052?\u1048?\u1057?\u1048?\u1071?\u1058?\u1040? \u1044?\u1054? \u1057?\u1066?\u1042?\u1045?\u1058?\u1040? \u1048? \u1045?\u1042?\u1056?\u1054?\u1055?\u1045?\u1049?\u1057?\u1050?\u1048?\u1071? \u1055?\u1040?\u1056?\u1051?\u1040?\u1052?\u1045?\u1053?\u1058?"/>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ManualHeading1">
    <w:name w:val="Manual Heading 1"/>
    <w:basedOn w:val="Normal"/>
    <w:next w:val="Text1"/>
    <w:link w:val="ManualHeading1Char"/>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character" w:customStyle="1" w:styleId="Marker">
    <w:name w:val="Marker"/>
    <w:basedOn w:val="DefaultParagraphFont"/>
    <w:rPr>
      <w:color w:val="0000FF"/>
      <w:shd w:val="clear" w:color="auto" w:fill="auto"/>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customStyle="1" w:styleId="Pagedecouverture">
    <w:name w:val="Page de couverture"/>
    <w:basedOn w:val="Normal"/>
    <w:next w:val="Normal"/>
    <w:pPr>
      <w:spacing w:before="0" w:after="0"/>
    </w:pPr>
    <w:rPr>
      <w:rFonts w:eastAsiaTheme="minorHAnsi"/>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ManualHeading1Char">
    <w:name w:val="Manual Heading 1 Char"/>
    <w:basedOn w:val="DefaultParagraphFont"/>
    <w:link w:val="ManualHeading1"/>
    <w:rPr>
      <w:rFonts w:ascii="Times New Roman" w:eastAsia="Times New Roman" w:hAnsi="Times New Roman" w:cs="Times New Roman"/>
      <w:b/>
      <w:smallCaps/>
      <w:sz w:val="24"/>
      <w:lang w:eastAsia="en-GB"/>
    </w:rPr>
  </w:style>
  <w:style w:type="character" w:customStyle="1" w:styleId="FooterCoverPageChar">
    <w:name w:val="Footer Cover Page Char"/>
    <w:basedOn w:val="ManualHeading1Char"/>
    <w:link w:val="FooterCoverPage"/>
    <w:rPr>
      <w:rFonts w:ascii="Times New Roman" w:eastAsia="Times New Roman" w:hAnsi="Times New Roman" w:cs="Times New Roman"/>
      <w:b w:val="0"/>
      <w:smallCaps w:val="0"/>
      <w:sz w:val="24"/>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ManualHeading1Char"/>
    <w:link w:val="FooterSensitivity"/>
    <w:rPr>
      <w:rFonts w:ascii="Times New Roman" w:eastAsia="Times New Roman" w:hAnsi="Times New Roman" w:cs="Times New Roman"/>
      <w:b/>
      <w:smallCaps w:val="0"/>
      <w:sz w:val="32"/>
      <w:lang w:eastAsia="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ManualHeading1Char"/>
    <w:link w:val="HeaderCoverPage"/>
    <w:rPr>
      <w:rFonts w:ascii="Times New Roman" w:eastAsia="Times New Roman" w:hAnsi="Times New Roman" w:cs="Times New Roman"/>
      <w:b w:val="0"/>
      <w:smallCaps w:val="0"/>
      <w:sz w:val="24"/>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ManualHeading1Char"/>
    <w:link w:val="HeaderSensitivity"/>
    <w:rPr>
      <w:rFonts w:ascii="Times New Roman" w:eastAsia="Times New Roman" w:hAnsi="Times New Roman" w:cs="Times New Roman"/>
      <w:b/>
      <w:smallCaps w:val="0"/>
      <w:sz w:val="32"/>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customStyle="1" w:styleId="SecurityMarking">
    <w:name w:val="SecurityMarking"/>
    <w:basedOn w:val="Normal"/>
    <w:pPr>
      <w:spacing w:before="0" w:after="0" w:line="276" w:lineRule="auto"/>
      <w:ind w:left="5103"/>
      <w:jc w:val="left"/>
    </w:pPr>
    <w:rPr>
      <w:rFonts w:eastAsiaTheme="minorHAnsi"/>
      <w:sz w:val="28"/>
      <w:lang w:eastAsia="en-US"/>
    </w:rPr>
  </w:style>
  <w:style w:type="paragraph" w:customStyle="1" w:styleId="DateMarking">
    <w:name w:val="DateMarking"/>
    <w:basedOn w:val="Normal"/>
    <w:pPr>
      <w:spacing w:before="0" w:after="0" w:line="276" w:lineRule="auto"/>
      <w:ind w:left="5103"/>
      <w:jc w:val="left"/>
    </w:pPr>
    <w:rPr>
      <w:rFonts w:eastAsiaTheme="minorHAnsi"/>
      <w:i/>
      <w:sz w:val="28"/>
      <w:lang w:eastAsia="en-US"/>
    </w:rPr>
  </w:style>
  <w:style w:type="paragraph" w:customStyle="1" w:styleId="ReleasableTo">
    <w:name w:val="ReleasableTo"/>
    <w:basedOn w:val="Normal"/>
    <w:pPr>
      <w:spacing w:before="0" w:after="0" w:line="276" w:lineRule="auto"/>
      <w:ind w:left="5103"/>
      <w:jc w:val="left"/>
    </w:pPr>
    <w:rPr>
      <w:rFonts w:eastAsiaTheme="minorHAnsi"/>
      <w:i/>
      <w:sz w:val="28"/>
      <w:lang w:eastAsia="en-US"/>
    </w:rPr>
  </w:style>
  <w:style w:type="paragraph" w:customStyle="1" w:styleId="HeaderSensitivityRight">
    <w:name w:val="Header Sensitivity Right"/>
    <w:basedOn w:val="Normal"/>
    <w:pPr>
      <w:spacing w:before="0"/>
      <w:jc w:val="right"/>
    </w:pPr>
    <w:rPr>
      <w:sz w:val="28"/>
    </w:rPr>
  </w:style>
  <w:style w:type="paragraph" w:customStyle="1" w:styleId="LegalNumPar">
    <w:name w:val="LegalNumPar"/>
    <w:basedOn w:val="Normal"/>
    <w:pPr>
      <w:numPr>
        <w:numId w:val="4"/>
      </w:numPr>
      <w:spacing w:line="360" w:lineRule="auto"/>
    </w:pPr>
  </w:style>
  <w:style w:type="paragraph" w:customStyle="1" w:styleId="LegalNumPar2">
    <w:name w:val="LegalNumPar2"/>
    <w:basedOn w:val="Normal"/>
    <w:pPr>
      <w:numPr>
        <w:ilvl w:val="1"/>
        <w:numId w:val="4"/>
      </w:numPr>
      <w:spacing w:line="360" w:lineRule="auto"/>
    </w:pPr>
  </w:style>
  <w:style w:type="paragraph" w:customStyle="1" w:styleId="LegalNumPar3">
    <w:name w:val="LegalNumPar3"/>
    <w:basedOn w:val="Normal"/>
    <w:pPr>
      <w:numPr>
        <w:ilvl w:val="2"/>
        <w:numId w:val="4"/>
      </w:numPr>
      <w:spacing w:line="36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ManualHeading1">
    <w:name w:val="Manual Heading 1"/>
    <w:basedOn w:val="Normal"/>
    <w:next w:val="Text1"/>
    <w:link w:val="ManualHeading1Char"/>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character" w:customStyle="1" w:styleId="Marker">
    <w:name w:val="Marker"/>
    <w:basedOn w:val="DefaultParagraphFont"/>
    <w:rPr>
      <w:color w:val="0000FF"/>
      <w:shd w:val="clear" w:color="auto" w:fill="auto"/>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customStyle="1" w:styleId="Pagedecouverture">
    <w:name w:val="Page de couverture"/>
    <w:basedOn w:val="Normal"/>
    <w:next w:val="Normal"/>
    <w:pPr>
      <w:spacing w:before="0" w:after="0"/>
    </w:pPr>
    <w:rPr>
      <w:rFonts w:eastAsiaTheme="minorHAnsi"/>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ManualHeading1Char">
    <w:name w:val="Manual Heading 1 Char"/>
    <w:basedOn w:val="DefaultParagraphFont"/>
    <w:link w:val="ManualHeading1"/>
    <w:rPr>
      <w:rFonts w:ascii="Times New Roman" w:eastAsia="Times New Roman" w:hAnsi="Times New Roman" w:cs="Times New Roman"/>
      <w:b/>
      <w:smallCaps/>
      <w:sz w:val="24"/>
      <w:lang w:eastAsia="en-GB"/>
    </w:rPr>
  </w:style>
  <w:style w:type="character" w:customStyle="1" w:styleId="FooterCoverPageChar">
    <w:name w:val="Footer Cover Page Char"/>
    <w:basedOn w:val="ManualHeading1Char"/>
    <w:link w:val="FooterCoverPage"/>
    <w:rPr>
      <w:rFonts w:ascii="Times New Roman" w:eastAsia="Times New Roman" w:hAnsi="Times New Roman" w:cs="Times New Roman"/>
      <w:b w:val="0"/>
      <w:smallCaps w:val="0"/>
      <w:sz w:val="24"/>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ManualHeading1Char"/>
    <w:link w:val="FooterSensitivity"/>
    <w:rPr>
      <w:rFonts w:ascii="Times New Roman" w:eastAsia="Times New Roman" w:hAnsi="Times New Roman" w:cs="Times New Roman"/>
      <w:b/>
      <w:smallCaps w:val="0"/>
      <w:sz w:val="32"/>
      <w:lang w:eastAsia="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ManualHeading1Char"/>
    <w:link w:val="HeaderCoverPage"/>
    <w:rPr>
      <w:rFonts w:ascii="Times New Roman" w:eastAsia="Times New Roman" w:hAnsi="Times New Roman" w:cs="Times New Roman"/>
      <w:b w:val="0"/>
      <w:smallCaps w:val="0"/>
      <w:sz w:val="24"/>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ManualHeading1Char"/>
    <w:link w:val="HeaderSensitivity"/>
    <w:rPr>
      <w:rFonts w:ascii="Times New Roman" w:eastAsia="Times New Roman" w:hAnsi="Times New Roman" w:cs="Times New Roman"/>
      <w:b/>
      <w:smallCaps w:val="0"/>
      <w:sz w:val="32"/>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customStyle="1" w:styleId="SecurityMarking">
    <w:name w:val="SecurityMarking"/>
    <w:basedOn w:val="Normal"/>
    <w:pPr>
      <w:spacing w:before="0" w:after="0" w:line="276" w:lineRule="auto"/>
      <w:ind w:left="5103"/>
      <w:jc w:val="left"/>
    </w:pPr>
    <w:rPr>
      <w:rFonts w:eastAsiaTheme="minorHAnsi"/>
      <w:sz w:val="28"/>
      <w:lang w:eastAsia="en-US"/>
    </w:rPr>
  </w:style>
  <w:style w:type="paragraph" w:customStyle="1" w:styleId="DateMarking">
    <w:name w:val="DateMarking"/>
    <w:basedOn w:val="Normal"/>
    <w:pPr>
      <w:spacing w:before="0" w:after="0" w:line="276" w:lineRule="auto"/>
      <w:ind w:left="5103"/>
      <w:jc w:val="left"/>
    </w:pPr>
    <w:rPr>
      <w:rFonts w:eastAsiaTheme="minorHAnsi"/>
      <w:i/>
      <w:sz w:val="28"/>
      <w:lang w:eastAsia="en-US"/>
    </w:rPr>
  </w:style>
  <w:style w:type="paragraph" w:customStyle="1" w:styleId="ReleasableTo">
    <w:name w:val="ReleasableTo"/>
    <w:basedOn w:val="Normal"/>
    <w:pPr>
      <w:spacing w:before="0" w:after="0" w:line="276" w:lineRule="auto"/>
      <w:ind w:left="5103"/>
      <w:jc w:val="left"/>
    </w:pPr>
    <w:rPr>
      <w:rFonts w:eastAsiaTheme="minorHAnsi"/>
      <w:i/>
      <w:sz w:val="28"/>
      <w:lang w:eastAsia="en-US"/>
    </w:rPr>
  </w:style>
  <w:style w:type="paragraph" w:customStyle="1" w:styleId="HeaderSensitivityRight">
    <w:name w:val="Header Sensitivity Right"/>
    <w:basedOn w:val="Normal"/>
    <w:pPr>
      <w:spacing w:before="0"/>
      <w:jc w:val="right"/>
    </w:pPr>
    <w:rPr>
      <w:sz w:val="28"/>
    </w:rPr>
  </w:style>
  <w:style w:type="paragraph" w:customStyle="1" w:styleId="LegalNumPar">
    <w:name w:val="LegalNumPar"/>
    <w:basedOn w:val="Normal"/>
    <w:pPr>
      <w:numPr>
        <w:numId w:val="4"/>
      </w:numPr>
      <w:spacing w:line="360" w:lineRule="auto"/>
    </w:pPr>
  </w:style>
  <w:style w:type="paragraph" w:customStyle="1" w:styleId="LegalNumPar2">
    <w:name w:val="LegalNumPar2"/>
    <w:basedOn w:val="Normal"/>
    <w:pPr>
      <w:numPr>
        <w:ilvl w:val="1"/>
        <w:numId w:val="4"/>
      </w:numPr>
      <w:spacing w:line="360" w:lineRule="auto"/>
    </w:pPr>
  </w:style>
  <w:style w:type="paragraph" w:customStyle="1" w:styleId="LegalNumPar3">
    <w:name w:val="LegalNumPar3"/>
    <w:basedOn w:val="Normal"/>
    <w:pPr>
      <w:numPr>
        <w:ilvl w:val="2"/>
        <w:numId w:val="4"/>
      </w:numPr>
      <w:spacing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98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6B6ACCF-76FE-4368-A764-0A0B77350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2202</Words>
  <Characters>10088</Characters>
  <Application>Microsoft Office Word</Application>
  <DocSecurity>0</DocSecurity>
  <Lines>720</Lines>
  <Paragraphs>646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20</cp:revision>
  <cp:lastPrinted>2019-04-11T08:28:00Z</cp:lastPrinted>
  <dcterms:created xsi:type="dcterms:W3CDTF">2020-03-30T14:53:00Z</dcterms:created>
  <dcterms:modified xsi:type="dcterms:W3CDTF">2020-04-06T16:28:00Z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CP-011</vt:lpwstr>
  </property>
</Properties>
</file>