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E1B67B2-0710-434F-A009-B935C0BA653D" style="width:450.7pt;height:3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ManualHeading1"/>
        <w:numPr>
          <w:ilvl w:val="0"/>
          <w:numId w:val="1"/>
        </w:numPr>
        <w:rPr>
          <w:noProof/>
        </w:rPr>
      </w:pPr>
      <w:bookmarkStart w:id="1" w:name="_GoBack"/>
      <w:bookmarkEnd w:id="1"/>
      <w:r>
        <w:rPr>
          <w:noProof/>
        </w:rPr>
        <w:lastRenderedPageBreak/>
        <w:t>Introduction</w:t>
      </w:r>
    </w:p>
    <w:p>
      <w:pPr>
        <w:pStyle w:val="Text1"/>
        <w:rPr>
          <w:noProof/>
        </w:rPr>
      </w:pPr>
      <w:r>
        <w:rPr>
          <w:noProof/>
        </w:rPr>
        <w:t>Le règlement fixant le cadre financier pluriannuel (règlement CFP) pour la période 2014-2020, tel que modifié en dernier lieu par le règlement (UE, Euratom) 2017/1123 du Conseil du 20 juin 2017</w:t>
      </w:r>
      <w:r>
        <w:rPr>
          <w:rStyle w:val="FootnoteReference"/>
          <w:noProof/>
        </w:rPr>
        <w:footnoteReference w:id="2"/>
      </w:r>
      <w:r>
        <w:rPr>
          <w:noProof/>
        </w:rPr>
        <w:t xml:space="preserve"> et adapté comme indiqué dans la communication relative à l’ajustement technique pour 2020</w:t>
      </w:r>
      <w:r>
        <w:rPr>
          <w:rStyle w:val="FootnoteReference"/>
          <w:noProof/>
        </w:rPr>
        <w:footnoteReference w:id="3"/>
      </w:r>
      <w:r>
        <w:rPr>
          <w:noProof/>
        </w:rPr>
        <w:t xml:space="preserve">, contient le tableau du cadre financier pour la période 2014-2020, exprimé aux prix de 2011 (tableau 1). </w:t>
      </w:r>
    </w:p>
    <w:p>
      <w:pPr>
        <w:pStyle w:val="Text1"/>
        <w:rPr>
          <w:noProof/>
        </w:rPr>
      </w:pPr>
      <w:r>
        <w:rPr>
          <w:noProof/>
        </w:rPr>
        <w:t xml:space="preserve">En vertu de l’article 6, paragraphe 1, du règlement CFP, la Commission, agissant en amont de la procédure budgétaire de l’exercice n+1, procède chaque année à un ajustement technique du cadre financier pluriannuel (CFP) à l’évolution du revenu national brut (RNB) de l’UE et des prix, et elle en communique les résultats au Conseil et au Parlement européen. L’ajustement des plafonds conformément à l’article 6, paragraphe 1, a été réalisé dans le cadre de l’ajustement technique pour 2020 adopté en mai 2019 et, conformément à l’article 6, paragraphe 4, il n’est pas mis à jour. </w:t>
      </w:r>
    </w:p>
    <w:p>
      <w:pPr>
        <w:pStyle w:val="Text1"/>
        <w:rPr>
          <w:noProof/>
        </w:rPr>
      </w:pPr>
      <w:r>
        <w:rPr>
          <w:noProof/>
        </w:rPr>
        <w:t xml:space="preserve">La communication relative à l’ajustement technique pour 2020 indique les disponibilités des instruments spéciaux pour les années 2019 et 2020, conformément à l’article 6, paragraphe 1, points e) et f), du règlement CFP, aux fins des disponibilités de la marge globale pour les engagements et de l’instrument de flexibilité, tels qu'ils étaient connus au printemps 2019. </w:t>
      </w:r>
      <w:bookmarkStart w:id="2" w:name="_Toc360453126"/>
      <w:r>
        <w:rPr>
          <w:noProof/>
        </w:rPr>
        <w:t xml:space="preserve">L’objet de la présente communication est de présenter au Conseil et au Parlement européen les disponibilités supplémentaires des instruments spéciaux conformément à l’article 6, paragraphe 1, points e) et f), du règlement CFP aux fins de la marge globale pour les engagements et de l’instrument de flexibilité pour l’année 2020, qui se sont dégagées à la fin de 2019. </w:t>
      </w:r>
    </w:p>
    <w:p>
      <w:pPr>
        <w:pStyle w:val="Text1"/>
        <w:rPr>
          <w:noProof/>
        </w:rPr>
      </w:pPr>
      <w:r>
        <w:rPr>
          <w:noProof/>
        </w:rPr>
        <w:t>La communication indique aussi, pour information, les montants disponibles de tous les instruments spéciaux et leur utilisation depuis 2014.</w:t>
      </w:r>
    </w:p>
    <w:p>
      <w:pPr>
        <w:pStyle w:val="ManualHeading1"/>
        <w:rPr>
          <w:noProof/>
        </w:rPr>
      </w:pPr>
      <w:r>
        <w:rPr>
          <w:noProof/>
        </w:rPr>
        <w:t>2.</w:t>
      </w:r>
      <w:r>
        <w:rPr>
          <w:noProof/>
        </w:rPr>
        <w:tab/>
      </w:r>
      <w:bookmarkStart w:id="3" w:name="_Toc360453129"/>
      <w:bookmarkEnd w:id="2"/>
      <w:r>
        <w:rPr>
          <w:noProof/>
        </w:rPr>
        <w:t>Marge globale pour les paiements</w:t>
      </w:r>
      <w:bookmarkEnd w:id="3"/>
      <w:r>
        <w:rPr>
          <w:noProof/>
        </w:rPr>
        <w:t xml:space="preserve"> (MGP)</w:t>
      </w:r>
    </w:p>
    <w:p>
      <w:pPr>
        <w:pStyle w:val="Text1"/>
        <w:rPr>
          <w:noProof/>
        </w:rPr>
      </w:pPr>
      <w:r>
        <w:rPr>
          <w:noProof/>
        </w:rPr>
        <w:t>En vertu de l’article 5 du règlement CFP, la Commission ajuste à la hausse le plafond des paiements pour les années 2015 à 2020 d’un montant correspondant à la différence entre les paiements exécutés et le plafond des paiements fixés dans le CFP pour l’exercice n-1. Tout ajustement à la hausse est pleinement compensé par une réduction correspondante du plafond des paiements de l’exercice n-1 en prix constants de 2011.</w:t>
      </w:r>
    </w:p>
    <w:p>
      <w:pPr>
        <w:pStyle w:val="Text1"/>
        <w:rPr>
          <w:noProof/>
        </w:rPr>
      </w:pPr>
      <w:r>
        <w:rPr>
          <w:noProof/>
        </w:rPr>
        <w:t>La MGP ne fait pas l'objet d'un nouveau calcul pour 2020, étant donné que le seuil fixé par l’article 5, paragraphe 2, du règlement CFP a été atteint lors de l’ajustement technique pour 2020 adopté en mai 2019.</w:t>
      </w:r>
    </w:p>
    <w:p>
      <w:pPr>
        <w:pStyle w:val="ManualHeading1"/>
        <w:rPr>
          <w:noProof/>
        </w:rPr>
      </w:pPr>
      <w:bookmarkStart w:id="4" w:name="_Toc360453132"/>
      <w:r>
        <w:rPr>
          <w:noProof/>
        </w:rPr>
        <w:t>3.</w:t>
      </w:r>
      <w:r>
        <w:rPr>
          <w:noProof/>
        </w:rPr>
        <w:tab/>
        <w:t>Instruments spéciaux</w:t>
      </w:r>
      <w:bookmarkEnd w:id="4"/>
    </w:p>
    <w:p>
      <w:pPr>
        <w:pStyle w:val="Text1"/>
        <w:rPr>
          <w:noProof/>
        </w:rPr>
      </w:pPr>
      <w:r>
        <w:rPr>
          <w:noProof/>
        </w:rPr>
        <w:t xml:space="preserve">Un certain nombre d’instruments sont disponibles en dehors des plafonds de dépenses convenus dans le cadre financier 2014-2020. Ces instruments ont pour but </w:t>
      </w:r>
      <w:r>
        <w:rPr>
          <w:noProof/>
        </w:rPr>
        <w:lastRenderedPageBreak/>
        <w:t>de permettre une réaction rapide à des événements exceptionnels ou imprévus et d’introduire, dans certaines limites, un degré de flexibilité au-delà des plafonds de dépenses convenus.</w:t>
      </w:r>
    </w:p>
    <w:p>
      <w:pPr>
        <w:pStyle w:val="ManualHeading2"/>
        <w:rPr>
          <w:noProof/>
        </w:rPr>
      </w:pPr>
      <w:r>
        <w:rPr>
          <w:noProof/>
        </w:rPr>
        <w:t>3.1.</w:t>
      </w:r>
      <w:r>
        <w:rPr>
          <w:noProof/>
        </w:rPr>
        <w:tab/>
      </w:r>
      <w:bookmarkStart w:id="5" w:name="_Toc360453133"/>
      <w:r>
        <w:rPr>
          <w:noProof/>
        </w:rPr>
        <w:t>Réserve pour aides d’urgence</w:t>
      </w:r>
      <w:bookmarkEnd w:id="5"/>
      <w:r>
        <w:rPr>
          <w:noProof/>
        </w:rPr>
        <w:t xml:space="preserve"> </w:t>
      </w:r>
    </w:p>
    <w:p>
      <w:pPr>
        <w:pStyle w:val="Text1"/>
        <w:rPr>
          <w:noProof/>
        </w:rPr>
      </w:pPr>
      <w:r>
        <w:rPr>
          <w:noProof/>
        </w:rPr>
        <w:t xml:space="preserve">En vertu de l’article 9 du règlement CFP modifié, la </w:t>
      </w:r>
      <w:r>
        <w:rPr>
          <w:i/>
          <w:noProof/>
        </w:rPr>
        <w:t>réserve pour aides d’urgence</w:t>
      </w:r>
      <w:r>
        <w:rPr>
          <w:noProof/>
        </w:rPr>
        <w:t xml:space="preserve"> peut être mobilisée jusqu’à un montant maximal de 300 millions d’EUR par an aux prix de 2011, ce qui représente 358,5 millions d’EUR en 2020 à prix courants (soit 2 301,4 millions d’EUR à prix courants pour l’ensemble de la période considérée). La part du montant non utilisé de l’exercice précédent peut faire l’objet d’un report à l’exercice suivant. Le report de 2019 à 2020 se chiffre à 45,6 millions d’EUR.</w:t>
      </w:r>
    </w:p>
    <w:p>
      <w:pPr>
        <w:pStyle w:val="Text1"/>
        <w:rPr>
          <w:noProof/>
        </w:rPr>
      </w:pPr>
      <w:r>
        <w:rPr>
          <w:noProof/>
        </w:rPr>
        <w:t>Le tableau qui suit présente le détail des disponibilités et de l’utilisation annuelles de la réserve pour aides d’urgence depuis 2014:</w:t>
      </w:r>
    </w:p>
    <w:tbl>
      <w:tblPr>
        <w:tblW w:w="9431" w:type="dxa"/>
        <w:jc w:val="center"/>
        <w:tblCellMar>
          <w:left w:w="70" w:type="dxa"/>
          <w:right w:w="70" w:type="dxa"/>
        </w:tblCellMar>
        <w:tblLook w:val="04A0" w:firstRow="1" w:lastRow="0" w:firstColumn="1" w:lastColumn="0" w:noHBand="0" w:noVBand="1"/>
      </w:tblPr>
      <w:tblGrid>
        <w:gridCol w:w="2801"/>
        <w:gridCol w:w="875"/>
        <w:gridCol w:w="842"/>
        <w:gridCol w:w="809"/>
        <w:gridCol w:w="776"/>
        <w:gridCol w:w="783"/>
        <w:gridCol w:w="803"/>
        <w:gridCol w:w="875"/>
        <w:gridCol w:w="858"/>
        <w:gridCol w:w="9"/>
      </w:tblGrid>
      <w:tr>
        <w:trPr>
          <w:trHeight w:val="240"/>
          <w:jc w:val="center"/>
        </w:trPr>
        <w:tc>
          <w:tcPr>
            <w:tcW w:w="943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rPr>
            </w:pPr>
            <w:r>
              <w:rPr>
                <w:b/>
                <w:bCs/>
                <w:noProof/>
                <w:sz w:val="18"/>
                <w:szCs w:val="18"/>
              </w:rPr>
              <w:t>Réserve pour aides d'urgence</w:t>
            </w:r>
          </w:p>
        </w:tc>
      </w:tr>
      <w:tr>
        <w:trPr>
          <w:trHeight w:val="240"/>
          <w:jc w:val="center"/>
        </w:trPr>
        <w:tc>
          <w:tcPr>
            <w:tcW w:w="943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rPr>
            </w:pPr>
            <w:r>
              <w:rPr>
                <w:i/>
                <w:iCs/>
                <w:noProof/>
                <w:sz w:val="18"/>
                <w:szCs w:val="18"/>
              </w:rPr>
              <w:t>en Mio EUR</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2014</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2015</w:t>
            </w:r>
          </w:p>
        </w:tc>
        <w:tc>
          <w:tcPr>
            <w:tcW w:w="809"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2016</w:t>
            </w:r>
          </w:p>
        </w:tc>
        <w:tc>
          <w:tcPr>
            <w:tcW w:w="77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2017</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2018</w:t>
            </w:r>
          </w:p>
        </w:tc>
        <w:tc>
          <w:tcPr>
            <w:tcW w:w="803"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2019</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2020</w:t>
            </w:r>
          </w:p>
        </w:tc>
        <w:tc>
          <w:tcPr>
            <w:tcW w:w="858"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rPr>
            </w:pPr>
            <w:r>
              <w:rPr>
                <w:b/>
                <w:bCs/>
                <w:noProof/>
                <w:sz w:val="18"/>
                <w:szCs w:val="18"/>
              </w:rPr>
              <w:t>Total</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Montants annuels aux prix de 2011</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280</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280</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280</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300</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300</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300</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300</w:t>
            </w:r>
          </w:p>
        </w:tc>
        <w:tc>
          <w:tcPr>
            <w:tcW w:w="858"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2 040</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Montants annuels aux prix courants</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297,0</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303,0</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309,0</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337,8</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344,6</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351,5</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358,5</w:t>
            </w:r>
          </w:p>
        </w:tc>
        <w:tc>
          <w:tcPr>
            <w:tcW w:w="858"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2 301,4</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Report de l’exercice précédent</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198,9</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219,4</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98,6</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61,7</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34,1</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45,6</w:t>
            </w:r>
          </w:p>
        </w:tc>
        <w:tc>
          <w:tcPr>
            <w:tcW w:w="858"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Utilisation annuelle</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98,1</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282,5</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429,8</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374,7</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372,2</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340,0</w:t>
            </w:r>
          </w:p>
        </w:tc>
        <w:tc>
          <w:tcPr>
            <w:tcW w:w="875"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58"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1 897,3</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Report à l’exercice suivant</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198,9</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219,4</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98,6</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61,7</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34,1</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45,6</w:t>
            </w:r>
          </w:p>
        </w:tc>
        <w:tc>
          <w:tcPr>
            <w:tcW w:w="875"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58"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gridAfter w:val="1"/>
          <w:wAfter w:w="9" w:type="dxa"/>
          <w:trHeight w:val="240"/>
          <w:jc w:val="center"/>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Annulation</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09"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77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03"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 </w:t>
            </w:r>
          </w:p>
        </w:tc>
        <w:tc>
          <w:tcPr>
            <w:tcW w:w="858"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0,0</w:t>
            </w:r>
          </w:p>
        </w:tc>
      </w:tr>
    </w:tbl>
    <w:p>
      <w:pPr>
        <w:pStyle w:val="ManualHeading2"/>
        <w:ind w:left="0" w:firstLine="0"/>
        <w:rPr>
          <w:noProof/>
        </w:rPr>
      </w:pPr>
      <w:r>
        <w:rPr>
          <w:noProof/>
        </w:rPr>
        <w:t>3.2.</w:t>
      </w:r>
      <w:r>
        <w:rPr>
          <w:noProof/>
        </w:rPr>
        <w:tab/>
      </w:r>
      <w:bookmarkStart w:id="6" w:name="_Toc360453134"/>
      <w:r>
        <w:rPr>
          <w:noProof/>
        </w:rPr>
        <w:t>Fonds de solidarité de l’Union européenne</w:t>
      </w:r>
      <w:bookmarkEnd w:id="6"/>
      <w:r>
        <w:rPr>
          <w:noProof/>
        </w:rPr>
        <w:t xml:space="preserve"> (FSUE)</w:t>
      </w:r>
    </w:p>
    <w:p>
      <w:pPr>
        <w:pStyle w:val="Text1"/>
        <w:rPr>
          <w:noProof/>
        </w:rPr>
      </w:pPr>
      <w:r>
        <w:rPr>
          <w:noProof/>
        </w:rPr>
        <w:t xml:space="preserve">En vertu de l’article 10 du règlement CFP, le </w:t>
      </w:r>
      <w:r>
        <w:rPr>
          <w:i/>
          <w:iCs/>
          <w:noProof/>
        </w:rPr>
        <w:t>Fonds de solidarité de l’Union européenne</w:t>
      </w:r>
      <w:r>
        <w:rPr>
          <w:noProof/>
        </w:rPr>
        <w:t xml:space="preserve"> peut être mobilisé jusqu’à un montant maximal de 500 millions d’EUR par an aux prix de 2011, ce qui représente 597,5 millions d’EUR en 2020 à prix courants (soit 3 944,7 millions d’EUR à prix courants pour l’ensemble de la période considérée). La part du montant non utilisé de l’exercice précédent peut faire l’objet d’un report à l’exercice suivant. Le report de 2019 à 2020 se chiffrait à 553,0 millions d’EUR. Aucun montant n’a été annulé à la fin de 2019.</w:t>
      </w:r>
    </w:p>
    <w:p>
      <w:pPr>
        <w:pStyle w:val="Text1"/>
        <w:rPr>
          <w:noProof/>
        </w:rPr>
      </w:pPr>
      <w:r>
        <w:rPr>
          <w:noProof/>
        </w:rPr>
        <w:t>Le tableau qui suit présente le détail des disponibilités et de l’utilisation annuelles du FSUE depuis 2014:</w:t>
      </w:r>
    </w:p>
    <w:tbl>
      <w:tblPr>
        <w:tblW w:w="9511" w:type="dxa"/>
        <w:jc w:val="center"/>
        <w:tblCellMar>
          <w:left w:w="70" w:type="dxa"/>
          <w:right w:w="70" w:type="dxa"/>
        </w:tblCellMar>
        <w:tblLook w:val="04A0" w:firstRow="1" w:lastRow="0" w:firstColumn="1" w:lastColumn="0" w:noHBand="0" w:noVBand="1"/>
      </w:tblPr>
      <w:tblGrid>
        <w:gridCol w:w="2712"/>
        <w:gridCol w:w="850"/>
        <w:gridCol w:w="930"/>
        <w:gridCol w:w="850"/>
        <w:gridCol w:w="822"/>
        <w:gridCol w:w="850"/>
        <w:gridCol w:w="851"/>
        <w:gridCol w:w="850"/>
        <w:gridCol w:w="796"/>
      </w:tblGrid>
      <w:tr>
        <w:trPr>
          <w:trHeight w:val="240"/>
          <w:jc w:val="center"/>
        </w:trPr>
        <w:tc>
          <w:tcPr>
            <w:tcW w:w="951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rPr>
            </w:pPr>
            <w:r>
              <w:rPr>
                <w:b/>
                <w:bCs/>
                <w:noProof/>
                <w:sz w:val="18"/>
                <w:szCs w:val="18"/>
              </w:rPr>
              <w:t>Fonds de solidarité de l'Union européenne</w:t>
            </w:r>
          </w:p>
        </w:tc>
      </w:tr>
      <w:tr>
        <w:trPr>
          <w:trHeight w:val="240"/>
          <w:jc w:val="center"/>
        </w:trPr>
        <w:tc>
          <w:tcPr>
            <w:tcW w:w="951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rPr>
            </w:pPr>
            <w:r>
              <w:rPr>
                <w:i/>
                <w:iCs/>
                <w:noProof/>
                <w:sz w:val="18"/>
                <w:szCs w:val="18"/>
              </w:rPr>
              <w:t>en Mio EUR</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2014</w:t>
            </w:r>
          </w:p>
        </w:tc>
        <w:tc>
          <w:tcPr>
            <w:tcW w:w="93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2016</w:t>
            </w:r>
          </w:p>
        </w:tc>
        <w:tc>
          <w:tcPr>
            <w:tcW w:w="822"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2017</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2018</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2019</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2020</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rPr>
            </w:pPr>
            <w:r>
              <w:rPr>
                <w:b/>
                <w:bCs/>
                <w:noProof/>
                <w:sz w:val="18"/>
                <w:szCs w:val="18"/>
              </w:rPr>
              <w:t>Total</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Montants annuels aux prix de 2011</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3 500</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Montants annuels aux prix courants</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530,6</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541,2</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552,0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563,1</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574,3</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585,8</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597,5</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3 944,7</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Report de l’exercice précédent</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403,9</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541,2</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552,0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140,8</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265,3</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553,0</w:t>
            </w:r>
          </w:p>
        </w:tc>
        <w:tc>
          <w:tcPr>
            <w:tcW w:w="796"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Versement anticipé de l’exercice suivant</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294,0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-294,0</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96"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Utilisation annuelle</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126,7</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82,8</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33,1</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1 268,3</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155,9</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298,1</w:t>
            </w:r>
          </w:p>
        </w:tc>
        <w:tc>
          <w:tcPr>
            <w:tcW w:w="850"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1 964,9</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Report à l’exercice suivant</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403,9</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541,2</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552,0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140,8</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265,3</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553,0</w:t>
            </w:r>
          </w:p>
        </w:tc>
        <w:tc>
          <w:tcPr>
            <w:tcW w:w="850"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796"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trHeight w:val="240"/>
          <w:jc w:val="center"/>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Annulation</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93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321,1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508,1</w:t>
            </w:r>
          </w:p>
        </w:tc>
        <w:tc>
          <w:tcPr>
            <w:tcW w:w="822"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 </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829,2</w:t>
            </w:r>
          </w:p>
        </w:tc>
      </w:tr>
    </w:tbl>
    <w:p>
      <w:pPr>
        <w:pStyle w:val="ManualHeading2"/>
        <w:rPr>
          <w:noProof/>
        </w:rPr>
      </w:pPr>
      <w:bookmarkStart w:id="7" w:name="_Toc360453135"/>
      <w:r>
        <w:rPr>
          <w:noProof/>
        </w:rPr>
        <w:t>3.3.</w:t>
      </w:r>
      <w:r>
        <w:rPr>
          <w:noProof/>
        </w:rPr>
        <w:tab/>
        <w:t>Instrument de flexibilité</w:t>
      </w:r>
      <w:bookmarkEnd w:id="7"/>
    </w:p>
    <w:p>
      <w:pPr>
        <w:pStyle w:val="Text1"/>
        <w:rPr>
          <w:noProof/>
        </w:rPr>
      </w:pPr>
      <w:r>
        <w:rPr>
          <w:noProof/>
        </w:rPr>
        <w:t>En vertu de l'article 11 du règlement CFP modifié, l'</w:t>
      </w:r>
      <w:r>
        <w:rPr>
          <w:i/>
          <w:iCs/>
          <w:noProof/>
        </w:rPr>
        <w:t>instrument de flexibilité</w:t>
      </w:r>
      <w:r>
        <w:rPr>
          <w:noProof/>
        </w:rPr>
        <w:t xml:space="preserve"> peut être mobilisé jusqu'à un montant maximal de 600 millions d'EUR par an aux prix de 2011, ce qui représente 717 millions d'EUR en 2020 à prix courants (soit 4 315 millions d'EUR à prix courants pour l'ensemble de la période considérée). La </w:t>
      </w:r>
      <w:r>
        <w:rPr>
          <w:noProof/>
        </w:rPr>
        <w:lastRenderedPageBreak/>
        <w:t>part du montant non utilisé des trois exercices précédents peut faire l'objet d'un report.</w:t>
      </w:r>
    </w:p>
    <w:p>
      <w:pPr>
        <w:pStyle w:val="Text1"/>
        <w:rPr>
          <w:noProof/>
        </w:rPr>
      </w:pPr>
      <w:r>
        <w:rPr>
          <w:noProof/>
        </w:rPr>
        <w:t xml:space="preserve">Conformément à l’article 6, paragraphe 1, point f), qui renvoie à l’article 11, paragraphe 1, deuxième alinéa, </w:t>
      </w:r>
      <w:r>
        <w:rPr>
          <w:i/>
          <w:noProof/>
        </w:rPr>
        <w:t>chaque année, à compter de 2017, le montant annuel disponible pour l’instrument de flexibilité est augmenté de</w:t>
      </w:r>
      <w:r>
        <w:rPr>
          <w:noProof/>
        </w:rPr>
        <w:t xml:space="preserve"> montants équivalents à la part de la dotation annuelle du Fonds de solidarité de l’Union européenne et à celle du Fonds européen d’ajustement à la mondialisation qui ont été annulées au cours de l’exercice précédent. </w:t>
      </w:r>
    </w:p>
    <w:p>
      <w:pPr>
        <w:pStyle w:val="Text1"/>
        <w:rPr>
          <w:noProof/>
        </w:rPr>
      </w:pPr>
      <w:r>
        <w:rPr>
          <w:noProof/>
        </w:rPr>
        <w:t>Le tableau qui suit présente le détail des disponibilités et de l’utilisation annuelles de l’instrument de flexibilité depuis 2014:</w:t>
      </w:r>
    </w:p>
    <w:tbl>
      <w:tblPr>
        <w:tblW w:w="9600" w:type="dxa"/>
        <w:jc w:val="center"/>
        <w:tblCellMar>
          <w:left w:w="70" w:type="dxa"/>
          <w:right w:w="70" w:type="dxa"/>
        </w:tblCellMar>
        <w:tblLook w:val="04A0" w:firstRow="1" w:lastRow="0" w:firstColumn="1" w:lastColumn="0" w:noHBand="0" w:noVBand="1"/>
      </w:tblPr>
      <w:tblGrid>
        <w:gridCol w:w="3020"/>
        <w:gridCol w:w="889"/>
        <w:gridCol w:w="867"/>
        <w:gridCol w:w="867"/>
        <w:gridCol w:w="745"/>
        <w:gridCol w:w="756"/>
        <w:gridCol w:w="796"/>
        <w:gridCol w:w="819"/>
        <w:gridCol w:w="841"/>
      </w:tblGrid>
      <w:tr>
        <w:trPr>
          <w:trHeight w:val="240"/>
          <w:jc w:val="center"/>
        </w:trPr>
        <w:tc>
          <w:tcPr>
            <w:tcW w:w="960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rPr>
            </w:pPr>
            <w:r>
              <w:rPr>
                <w:b/>
                <w:bCs/>
                <w:noProof/>
                <w:sz w:val="18"/>
                <w:szCs w:val="18"/>
              </w:rPr>
              <w:t>Instrument de flexibilité</w:t>
            </w:r>
          </w:p>
        </w:tc>
      </w:tr>
      <w:tr>
        <w:trPr>
          <w:trHeight w:val="104"/>
          <w:jc w:val="center"/>
        </w:trPr>
        <w:tc>
          <w:tcPr>
            <w:tcW w:w="960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rPr>
            </w:pPr>
            <w:r>
              <w:rPr>
                <w:i/>
                <w:iCs/>
                <w:noProof/>
                <w:sz w:val="18"/>
                <w:szCs w:val="18"/>
              </w:rPr>
              <w:t>en Mio EUR</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2014</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2015</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2016</w:t>
            </w:r>
          </w:p>
        </w:tc>
        <w:tc>
          <w:tcPr>
            <w:tcW w:w="74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2017</w:t>
            </w:r>
          </w:p>
        </w:tc>
        <w:tc>
          <w:tcPr>
            <w:tcW w:w="75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2018</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2019</w:t>
            </w:r>
          </w:p>
        </w:tc>
        <w:tc>
          <w:tcPr>
            <w:tcW w:w="819"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2020</w:t>
            </w:r>
          </w:p>
        </w:tc>
        <w:tc>
          <w:tcPr>
            <w:tcW w:w="841"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rPr>
            </w:pPr>
            <w:r>
              <w:rPr>
                <w:b/>
                <w:bCs/>
                <w:noProof/>
                <w:sz w:val="18"/>
                <w:szCs w:val="18"/>
              </w:rPr>
              <w:t>Total</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Montants annuels aux prix de 2011</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471</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471</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471</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600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600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600</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600</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3 813</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Montants annuels aux prix courants</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510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520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676</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689</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703</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717</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4 315</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Report de l’exercice précédent</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276,0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686,7</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1010,0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517,0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519,8</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202,4</w:t>
            </w:r>
          </w:p>
        </w:tc>
        <w:tc>
          <w:tcPr>
            <w:tcW w:w="841"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Augmentation suite à montant annulé du FEM</w:t>
            </w:r>
          </w:p>
        </w:tc>
        <w:tc>
          <w:tcPr>
            <w:tcW w:w="889"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138</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151</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144</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175</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608</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Augmentation suite à montant annulé du FSUE</w:t>
            </w:r>
          </w:p>
        </w:tc>
        <w:tc>
          <w:tcPr>
            <w:tcW w:w="889"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508</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508</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Utilisation annuelle</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89,3</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149,4</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1 530,0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805,0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837,2</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1 164,3</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778,1</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5 353,4</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Report à l’exercice suivant</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686,7</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1 010,0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517,0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519,8</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202,4</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41"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Disponible</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316,3</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316,3</w:t>
            </w:r>
          </w:p>
        </w:tc>
      </w:tr>
      <w:tr>
        <w:trPr>
          <w:trHeight w:val="24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Annulation</w:t>
            </w:r>
          </w:p>
        </w:tc>
        <w:tc>
          <w:tcPr>
            <w:tcW w:w="889"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37,2</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745"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75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19"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41"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37,2</w:t>
            </w:r>
          </w:p>
        </w:tc>
      </w:tr>
    </w:tbl>
    <w:p>
      <w:pPr>
        <w:pStyle w:val="ManualHeading2"/>
        <w:rPr>
          <w:noProof/>
        </w:rPr>
      </w:pPr>
      <w:r>
        <w:rPr>
          <w:noProof/>
        </w:rPr>
        <w:t>3.4.</w:t>
      </w:r>
      <w:r>
        <w:rPr>
          <w:noProof/>
        </w:rPr>
        <w:tab/>
      </w:r>
      <w:bookmarkStart w:id="8" w:name="_Toc360453136"/>
      <w:r>
        <w:rPr>
          <w:noProof/>
        </w:rPr>
        <w:t>Fonds européen d’ajustement à la mondialisation</w:t>
      </w:r>
      <w:bookmarkEnd w:id="8"/>
      <w:r>
        <w:rPr>
          <w:noProof/>
        </w:rPr>
        <w:t xml:space="preserve"> (FEM)</w:t>
      </w:r>
    </w:p>
    <w:p>
      <w:pPr>
        <w:pStyle w:val="Text1"/>
        <w:rPr>
          <w:noProof/>
        </w:rPr>
      </w:pPr>
      <w:r>
        <w:rPr>
          <w:noProof/>
        </w:rPr>
        <w:t xml:space="preserve">En vertu de l’article 12 du règlement CFP, le </w:t>
      </w:r>
      <w:r>
        <w:rPr>
          <w:i/>
          <w:noProof/>
        </w:rPr>
        <w:t>Fonds européen d’ajustement à la mondialisation</w:t>
      </w:r>
      <w:r>
        <w:rPr>
          <w:noProof/>
        </w:rPr>
        <w:t xml:space="preserve"> peut être mobilisé jusqu’à un montant maximal de 150 millions d’EUR par an aux prix de 2011, ce qui représente 179,3 millions d’EUR en 2020 à prix courants (soit 1 183,4 millions d’EUR à prix courants pour l’ensemble de la période considérée). Les montants inutilisés de l’exercice précédent ne peuvent pas faire l’objet d’un report. Le montant de 175,1 millions d’EUR qui a été annulé à la fin de 2019 est destiné à renforcer l’instrument de flexibilité en 2020.</w:t>
      </w:r>
    </w:p>
    <w:p>
      <w:pPr>
        <w:pStyle w:val="Text1"/>
        <w:rPr>
          <w:noProof/>
        </w:rPr>
      </w:pPr>
      <w:r>
        <w:rPr>
          <w:noProof/>
        </w:rPr>
        <w:t xml:space="preserve">Le tableau qui suit présente le détail des disponibilités et de l’utilisation annuelles du FEM depuis 2014: </w:t>
      </w:r>
    </w:p>
    <w:tbl>
      <w:tblPr>
        <w:tblW w:w="9505" w:type="dxa"/>
        <w:jc w:val="center"/>
        <w:tblCellMar>
          <w:left w:w="70" w:type="dxa"/>
          <w:right w:w="70" w:type="dxa"/>
        </w:tblCellMar>
        <w:tblLook w:val="04A0" w:firstRow="1" w:lastRow="0" w:firstColumn="1" w:lastColumn="0" w:noHBand="0" w:noVBand="1"/>
      </w:tblPr>
      <w:tblGrid>
        <w:gridCol w:w="2603"/>
        <w:gridCol w:w="817"/>
        <w:gridCol w:w="870"/>
        <w:gridCol w:w="821"/>
        <w:gridCol w:w="876"/>
        <w:gridCol w:w="766"/>
        <w:gridCol w:w="878"/>
        <w:gridCol w:w="905"/>
        <w:gridCol w:w="969"/>
      </w:tblGrid>
      <w:tr>
        <w:trPr>
          <w:trHeight w:val="240"/>
          <w:jc w:val="center"/>
        </w:trPr>
        <w:tc>
          <w:tcPr>
            <w:tcW w:w="950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rPr>
            </w:pPr>
            <w:r>
              <w:rPr>
                <w:b/>
                <w:bCs/>
                <w:noProof/>
                <w:sz w:val="18"/>
                <w:szCs w:val="18"/>
              </w:rPr>
              <w:t>Fonds européen d'ajustement à la mondialisation</w:t>
            </w:r>
          </w:p>
        </w:tc>
      </w:tr>
      <w:tr>
        <w:trPr>
          <w:trHeight w:val="240"/>
          <w:jc w:val="center"/>
        </w:trPr>
        <w:tc>
          <w:tcPr>
            <w:tcW w:w="950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rPr>
            </w:pPr>
            <w:r>
              <w:rPr>
                <w:i/>
                <w:iCs/>
                <w:noProof/>
                <w:sz w:val="18"/>
                <w:szCs w:val="18"/>
              </w:rPr>
              <w:t>en Mio EUR</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17"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2014</w:t>
            </w:r>
          </w:p>
        </w:tc>
        <w:tc>
          <w:tcPr>
            <w:tcW w:w="87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2015</w:t>
            </w:r>
          </w:p>
        </w:tc>
        <w:tc>
          <w:tcPr>
            <w:tcW w:w="821"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2016</w:t>
            </w:r>
          </w:p>
        </w:tc>
        <w:tc>
          <w:tcPr>
            <w:tcW w:w="87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2017</w:t>
            </w:r>
          </w:p>
        </w:tc>
        <w:tc>
          <w:tcPr>
            <w:tcW w:w="76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2018</w:t>
            </w:r>
          </w:p>
        </w:tc>
        <w:tc>
          <w:tcPr>
            <w:tcW w:w="878"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2019</w:t>
            </w:r>
          </w:p>
        </w:tc>
        <w:tc>
          <w:tcPr>
            <w:tcW w:w="90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2020</w:t>
            </w:r>
          </w:p>
        </w:tc>
        <w:tc>
          <w:tcPr>
            <w:tcW w:w="969"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rPr>
            </w:pPr>
            <w:r>
              <w:rPr>
                <w:b/>
                <w:bCs/>
                <w:noProof/>
                <w:sz w:val="18"/>
                <w:szCs w:val="18"/>
              </w:rPr>
              <w:t>Total</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Montants annuels aux prix de 2011</w:t>
            </w:r>
          </w:p>
        </w:tc>
        <w:tc>
          <w:tcPr>
            <w:tcW w:w="81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87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82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8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76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878"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90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969"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1 050</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Montants annuels aux prix courants</w:t>
            </w:r>
          </w:p>
        </w:tc>
        <w:tc>
          <w:tcPr>
            <w:tcW w:w="81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159,2</w:t>
            </w:r>
          </w:p>
        </w:tc>
        <w:tc>
          <w:tcPr>
            <w:tcW w:w="87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162,4</w:t>
            </w:r>
          </w:p>
        </w:tc>
        <w:tc>
          <w:tcPr>
            <w:tcW w:w="82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165,6</w:t>
            </w:r>
          </w:p>
        </w:tc>
        <w:tc>
          <w:tcPr>
            <w:tcW w:w="8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168,9</w:t>
            </w:r>
          </w:p>
        </w:tc>
        <w:tc>
          <w:tcPr>
            <w:tcW w:w="76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172,3</w:t>
            </w:r>
          </w:p>
        </w:tc>
        <w:tc>
          <w:tcPr>
            <w:tcW w:w="878"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175,7</w:t>
            </w:r>
          </w:p>
        </w:tc>
        <w:tc>
          <w:tcPr>
            <w:tcW w:w="90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179,3</w:t>
            </w:r>
          </w:p>
        </w:tc>
        <w:tc>
          <w:tcPr>
            <w:tcW w:w="969"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1 183,4</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Utilisation annuelle</w:t>
            </w:r>
          </w:p>
        </w:tc>
        <w:tc>
          <w:tcPr>
            <w:tcW w:w="81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81,0</w:t>
            </w:r>
          </w:p>
        </w:tc>
        <w:tc>
          <w:tcPr>
            <w:tcW w:w="87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43,4</w:t>
            </w:r>
          </w:p>
        </w:tc>
        <w:tc>
          <w:tcPr>
            <w:tcW w:w="82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28,0</w:t>
            </w:r>
          </w:p>
        </w:tc>
        <w:tc>
          <w:tcPr>
            <w:tcW w:w="8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18,1</w:t>
            </w:r>
          </w:p>
        </w:tc>
        <w:tc>
          <w:tcPr>
            <w:tcW w:w="76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28,0</w:t>
            </w:r>
          </w:p>
        </w:tc>
        <w:tc>
          <w:tcPr>
            <w:tcW w:w="878"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0,6</w:t>
            </w:r>
          </w:p>
        </w:tc>
        <w:tc>
          <w:tcPr>
            <w:tcW w:w="905"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969"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199,1</w:t>
            </w:r>
          </w:p>
        </w:tc>
      </w:tr>
      <w:tr>
        <w:trPr>
          <w:trHeight w:val="240"/>
          <w:jc w:val="center"/>
        </w:trPr>
        <w:tc>
          <w:tcPr>
            <w:tcW w:w="260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Annulation</w:t>
            </w:r>
          </w:p>
        </w:tc>
        <w:tc>
          <w:tcPr>
            <w:tcW w:w="817"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78,2</w:t>
            </w:r>
          </w:p>
        </w:tc>
        <w:tc>
          <w:tcPr>
            <w:tcW w:w="87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119,0</w:t>
            </w:r>
          </w:p>
        </w:tc>
        <w:tc>
          <w:tcPr>
            <w:tcW w:w="821"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137,6</w:t>
            </w:r>
          </w:p>
        </w:tc>
        <w:tc>
          <w:tcPr>
            <w:tcW w:w="87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150,8</w:t>
            </w:r>
          </w:p>
        </w:tc>
        <w:tc>
          <w:tcPr>
            <w:tcW w:w="76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144,3</w:t>
            </w:r>
          </w:p>
        </w:tc>
        <w:tc>
          <w:tcPr>
            <w:tcW w:w="878"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175,1</w:t>
            </w:r>
          </w:p>
        </w:tc>
        <w:tc>
          <w:tcPr>
            <w:tcW w:w="905" w:type="dxa"/>
            <w:tcBorders>
              <w:top w:val="nil"/>
              <w:left w:val="nil"/>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 </w:t>
            </w:r>
          </w:p>
        </w:tc>
        <w:tc>
          <w:tcPr>
            <w:tcW w:w="969"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629,9</w:t>
            </w:r>
          </w:p>
        </w:tc>
      </w:tr>
    </w:tbl>
    <w:p>
      <w:pPr>
        <w:pStyle w:val="ManualHeading2"/>
        <w:rPr>
          <w:noProof/>
        </w:rPr>
      </w:pPr>
      <w:bookmarkStart w:id="9" w:name="_Toc360453137"/>
      <w:r>
        <w:rPr>
          <w:noProof/>
        </w:rPr>
        <w:t>3.5.</w:t>
      </w:r>
      <w:r>
        <w:rPr>
          <w:noProof/>
        </w:rPr>
        <w:tab/>
        <w:t>Marge pour imprévus</w:t>
      </w:r>
      <w:bookmarkEnd w:id="9"/>
    </w:p>
    <w:p>
      <w:pPr>
        <w:pStyle w:val="Text1"/>
        <w:rPr>
          <w:bCs/>
          <w:noProof/>
        </w:rPr>
      </w:pPr>
      <w:r>
        <w:rPr>
          <w:noProof/>
        </w:rPr>
        <w:t>En vertu de l’article 13 du règlement CFP, une marge pour imprévus pouvant atteindre 0,03 % du revenu national brut de l’Union est constituée en dehors des plafonds du cadre financier pour la période 2014</w:t>
      </w:r>
      <w:r>
        <w:rPr>
          <w:noProof/>
        </w:rPr>
        <w:noBreakHyphen/>
        <w:t>2020.</w:t>
      </w:r>
    </w:p>
    <w:p>
      <w:pPr>
        <w:pStyle w:val="Text1"/>
        <w:rPr>
          <w:bCs/>
          <w:noProof/>
        </w:rPr>
      </w:pPr>
      <w:r>
        <w:rPr>
          <w:noProof/>
        </w:rPr>
        <w:lastRenderedPageBreak/>
        <w:t>Le montant en valeur absolue de la marge pour imprévus pour l’exercice 2020 s'établit à 5 096,8 millions d’EUR, conformément à l’ajustement technique du CFP pour 2020 adopté en mai 2019.</w:t>
      </w:r>
    </w:p>
    <w:p>
      <w:pPr>
        <w:pStyle w:val="Text1"/>
        <w:rPr>
          <w:bCs/>
          <w:noProof/>
        </w:rPr>
      </w:pPr>
      <w:r>
        <w:rPr>
          <w:noProof/>
        </w:rPr>
        <w:t>Le tableau qui suit présente le détail des disponibilités et de l’utilisation annuelles de la marge pour imprévus depuis 2014:</w:t>
      </w:r>
    </w:p>
    <w:tbl>
      <w:tblPr>
        <w:tblW w:w="9605" w:type="dxa"/>
        <w:jc w:val="center"/>
        <w:tblCellMar>
          <w:left w:w="70" w:type="dxa"/>
          <w:right w:w="70" w:type="dxa"/>
        </w:tblCellMar>
        <w:tblLook w:val="04A0" w:firstRow="1" w:lastRow="0" w:firstColumn="1" w:lastColumn="0" w:noHBand="0" w:noVBand="1"/>
      </w:tblPr>
      <w:tblGrid>
        <w:gridCol w:w="2012"/>
        <w:gridCol w:w="925"/>
        <w:gridCol w:w="925"/>
        <w:gridCol w:w="925"/>
        <w:gridCol w:w="1016"/>
        <w:gridCol w:w="925"/>
        <w:gridCol w:w="925"/>
        <w:gridCol w:w="925"/>
        <w:gridCol w:w="1016"/>
        <w:gridCol w:w="11"/>
      </w:tblGrid>
      <w:tr>
        <w:trPr>
          <w:trHeight w:val="255"/>
          <w:jc w:val="center"/>
        </w:trPr>
        <w:tc>
          <w:tcPr>
            <w:tcW w:w="960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keepNext/>
              <w:keepLines/>
              <w:spacing w:before="0" w:after="0"/>
              <w:jc w:val="center"/>
              <w:rPr>
                <w:b/>
                <w:bCs/>
                <w:noProof/>
                <w:sz w:val="18"/>
                <w:szCs w:val="18"/>
              </w:rPr>
            </w:pPr>
            <w:r>
              <w:rPr>
                <w:b/>
                <w:bCs/>
                <w:noProof/>
                <w:sz w:val="18"/>
                <w:szCs w:val="18"/>
              </w:rPr>
              <w:t>Marge pour imprévus</w:t>
            </w:r>
          </w:p>
        </w:tc>
      </w:tr>
      <w:tr>
        <w:trPr>
          <w:trHeight w:val="212"/>
          <w:jc w:val="center"/>
        </w:trPr>
        <w:tc>
          <w:tcPr>
            <w:tcW w:w="960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keepNext/>
              <w:keepLines/>
              <w:spacing w:before="0" w:after="0"/>
              <w:jc w:val="right"/>
              <w:rPr>
                <w:i/>
                <w:iCs/>
                <w:noProof/>
                <w:sz w:val="18"/>
                <w:szCs w:val="18"/>
              </w:rPr>
            </w:pPr>
            <w:r>
              <w:rPr>
                <w:i/>
                <w:iCs/>
                <w:noProof/>
                <w:sz w:val="18"/>
                <w:szCs w:val="18"/>
              </w:rPr>
              <w:t>en Mio EUR</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2014</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2015</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2016</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2017</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2018</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2019</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2020</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center"/>
              <w:rPr>
                <w:b/>
                <w:bCs/>
                <w:noProof/>
                <w:sz w:val="18"/>
                <w:szCs w:val="18"/>
              </w:rPr>
            </w:pPr>
            <w:r>
              <w:rPr>
                <w:b/>
                <w:bCs/>
                <w:noProof/>
                <w:sz w:val="18"/>
                <w:szCs w:val="18"/>
              </w:rPr>
              <w:t>Total</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Montants annuels disponibles</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4 026,7</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4 175,4</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4 438,2</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4 496,8</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4 711,3</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4 946,7</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5 096,8</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rPr>
            </w:pPr>
            <w:r>
              <w:rPr>
                <w:b/>
                <w:bCs/>
                <w:noProof/>
                <w:sz w:val="18"/>
                <w:szCs w:val="18"/>
              </w:rPr>
              <w:t>31 892</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Utilisation annuelle</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b/>
                <w:bCs/>
                <w:noProof/>
                <w:sz w:val="18"/>
                <w:szCs w:val="18"/>
              </w:rPr>
            </w:pPr>
            <w:r>
              <w:rPr>
                <w:b/>
                <w:bCs/>
                <w:noProof/>
                <w:sz w:val="18"/>
                <w:szCs w:val="18"/>
              </w:rPr>
              <w:t> </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rPr>
            </w:pPr>
            <w:r>
              <w:rPr>
                <w:i/>
                <w:iCs/>
                <w:noProof/>
                <w:sz w:val="18"/>
                <w:szCs w:val="18"/>
              </w:rPr>
              <w:t>en engagements</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240,1</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1 906,2</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rPr>
            </w:pPr>
            <w:r>
              <w:rPr>
                <w:b/>
                <w:bCs/>
                <w:noProof/>
                <w:sz w:val="18"/>
                <w:szCs w:val="18"/>
              </w:rPr>
              <w:t>2 146,3</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rPr>
            </w:pPr>
            <w:r>
              <w:rPr>
                <w:i/>
                <w:iCs/>
                <w:noProof/>
                <w:sz w:val="18"/>
                <w:szCs w:val="18"/>
              </w:rPr>
              <w:t>en paiements</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2 818,2</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rPr>
            </w:pPr>
            <w:r>
              <w:rPr>
                <w:b/>
                <w:bCs/>
                <w:noProof/>
                <w:sz w:val="18"/>
                <w:szCs w:val="18"/>
              </w:rPr>
              <w:t>2 818,2</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Compensation annuelle</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b/>
                <w:bCs/>
                <w:noProof/>
                <w:sz w:val="18"/>
                <w:szCs w:val="18"/>
              </w:rPr>
            </w:pPr>
            <w:r>
              <w:rPr>
                <w:b/>
                <w:bCs/>
                <w:noProof/>
                <w:sz w:val="18"/>
                <w:szCs w:val="18"/>
              </w:rPr>
              <w:t> </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rPr>
            </w:pPr>
            <w:r>
              <w:rPr>
                <w:i/>
                <w:iCs/>
                <w:noProof/>
                <w:sz w:val="18"/>
                <w:szCs w:val="18"/>
              </w:rPr>
              <w:t>en engagements</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-240,1</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-1 082,3</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-318,0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-253,9</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-252,0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rPr>
            </w:pPr>
            <w:r>
              <w:rPr>
                <w:b/>
                <w:bCs/>
                <w:noProof/>
                <w:sz w:val="18"/>
                <w:szCs w:val="18"/>
              </w:rPr>
              <w:t>-2 146,3</w:t>
            </w:r>
          </w:p>
        </w:tc>
      </w:tr>
      <w:tr>
        <w:trPr>
          <w:gridAfter w:val="1"/>
          <w:wAfter w:w="11" w:type="dxa"/>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rPr>
            </w:pPr>
            <w:r>
              <w:rPr>
                <w:i/>
                <w:iCs/>
                <w:noProof/>
                <w:sz w:val="18"/>
                <w:szCs w:val="18"/>
              </w:rPr>
              <w:t>en paiements</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-2 818,2</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b/>
                <w:bCs/>
                <w:noProof/>
                <w:sz w:val="18"/>
                <w:szCs w:val="18"/>
              </w:rPr>
            </w:pPr>
            <w:r>
              <w:rPr>
                <w:b/>
                <w:bCs/>
                <w:noProof/>
                <w:sz w:val="18"/>
                <w:szCs w:val="18"/>
              </w:rPr>
              <w:t>-2 818,2</w:t>
            </w:r>
          </w:p>
        </w:tc>
      </w:tr>
    </w:tbl>
    <w:p>
      <w:pPr>
        <w:pStyle w:val="ManualHeading2"/>
        <w:rPr>
          <w:noProof/>
        </w:rPr>
      </w:pPr>
      <w:r>
        <w:rPr>
          <w:noProof/>
        </w:rPr>
        <w:t>3.6.</w:t>
      </w:r>
      <w:r>
        <w:rPr>
          <w:noProof/>
        </w:rPr>
        <w:tab/>
      </w:r>
      <w:bookmarkStart w:id="10" w:name="_Toc360453131"/>
      <w:r>
        <w:rPr>
          <w:noProof/>
        </w:rPr>
        <w:t>Marge globale pour les engagements</w:t>
      </w:r>
      <w:bookmarkEnd w:id="10"/>
      <w:r>
        <w:rPr>
          <w:noProof/>
        </w:rPr>
        <w:t xml:space="preserve"> en faveur de la croissance et de l’emploi, en particulier celui des jeunes, et en faveur de mesures en matière de migration et de sécurité (MGE)</w:t>
      </w:r>
    </w:p>
    <w:p>
      <w:pPr>
        <w:pStyle w:val="Text1"/>
        <w:rPr>
          <w:noProof/>
        </w:rPr>
      </w:pPr>
      <w:r>
        <w:rPr>
          <w:noProof/>
        </w:rPr>
        <w:t>Conformément à l’article 14 du règlement CFP, tel que modifié par le règlement (UE, Euratom) 2017/1123 du Conseil, les marges laissées disponibles sous les plafonds du cadre financier pour les crédits d'engagement constituent une marge globale du CFP pour les engagements, à mobiliser au-delà des plafonds établis dans le cadre financier pour les années 2016 à 2020 afin d'atteindre les objectifs des politiques liées à la croissance et à l'emploi, en particulier celui des jeunes, ainsi qu'à la migration et à la sécurité.</w:t>
      </w:r>
    </w:p>
    <w:p>
      <w:pPr>
        <w:pStyle w:val="Text1"/>
        <w:rPr>
          <w:noProof/>
        </w:rPr>
      </w:pPr>
      <w:r>
        <w:rPr>
          <w:noProof/>
        </w:rPr>
        <w:t>Dans le budget définitif pour 2019, la marge restant disponible sous le plafond des engagements s’élève à 1 291,1 millions d’EUR. Les engagements concernant les instruments spéciaux (y compris l’utilisation de la MGE et de la marge pour imprévus) ne sont pas pris en compte car ils sont exécutés au-delà des plafonds du CFP.</w:t>
      </w:r>
    </w:p>
    <w:p>
      <w:pPr>
        <w:pStyle w:val="Text1"/>
        <w:rPr>
          <w:noProof/>
        </w:rPr>
      </w:pPr>
      <w:r>
        <w:rPr>
          <w:noProof/>
        </w:rPr>
        <w:t>Conformément à l’article 6, paragraphe 2, du règlement CFP, le déflateur annuel de 2 % est appliqué pour le calcul de la MGE. Le montant de la marge restante de 2019 qui est rendue disponible pour 2020 correspond à 1 316,9 millions d'EUR à prix courants. Le montant de la MGE aux prix de 2011 représente 1 101,9 millions d’EUR.</w:t>
      </w:r>
    </w:p>
    <w:p>
      <w:pPr>
        <w:pStyle w:val="Text1"/>
        <w:rPr>
          <w:noProof/>
        </w:rPr>
      </w:pPr>
      <w:r>
        <w:rPr>
          <w:noProof/>
        </w:rPr>
        <w:t>Le tableau figurant ci-dessous détaille le calcul de la MGE 2019:</w:t>
      </w:r>
    </w:p>
    <w:tbl>
      <w:tblPr>
        <w:tblW w:w="5870" w:type="dxa"/>
        <w:jc w:val="center"/>
        <w:tblCellMar>
          <w:left w:w="70" w:type="dxa"/>
          <w:right w:w="70" w:type="dxa"/>
        </w:tblCellMar>
        <w:tblLook w:val="04A0" w:firstRow="1" w:lastRow="0" w:firstColumn="1" w:lastColumn="0" w:noHBand="0" w:noVBand="1"/>
      </w:tblPr>
      <w:tblGrid>
        <w:gridCol w:w="4794"/>
        <w:gridCol w:w="1076"/>
      </w:tblGrid>
      <w:tr>
        <w:trPr>
          <w:trHeight w:val="270"/>
          <w:jc w:val="center"/>
        </w:trPr>
        <w:tc>
          <w:tcPr>
            <w:tcW w:w="5870" w:type="dxa"/>
            <w:gridSpan w:val="2"/>
            <w:tcBorders>
              <w:top w:val="single" w:sz="8" w:space="0" w:color="auto"/>
              <w:left w:val="single" w:sz="8" w:space="0" w:color="auto"/>
              <w:bottom w:val="single" w:sz="8" w:space="0" w:color="auto"/>
              <w:right w:val="single" w:sz="8" w:space="0" w:color="000000"/>
            </w:tcBorders>
            <w:shd w:val="clear" w:color="auto" w:fill="auto"/>
            <w:hideMark/>
          </w:tcPr>
          <w:p>
            <w:pPr>
              <w:spacing w:before="0" w:after="0"/>
              <w:jc w:val="center"/>
              <w:rPr>
                <w:b/>
                <w:bCs/>
                <w:noProof/>
                <w:sz w:val="18"/>
                <w:szCs w:val="18"/>
              </w:rPr>
            </w:pPr>
            <w:r>
              <w:rPr>
                <w:b/>
                <w:bCs/>
                <w:noProof/>
                <w:sz w:val="18"/>
                <w:szCs w:val="18"/>
              </w:rPr>
              <w:t>Marge globale pour les engagements - 2019</w:t>
            </w:r>
          </w:p>
        </w:tc>
      </w:tr>
      <w:tr>
        <w:trPr>
          <w:trHeight w:val="270"/>
          <w:jc w:val="center"/>
        </w:trPr>
        <w:tc>
          <w:tcPr>
            <w:tcW w:w="5870" w:type="dxa"/>
            <w:gridSpan w:val="2"/>
            <w:tcBorders>
              <w:top w:val="nil"/>
              <w:left w:val="single" w:sz="8" w:space="0" w:color="auto"/>
              <w:bottom w:val="single" w:sz="8" w:space="0" w:color="auto"/>
              <w:right w:val="single" w:sz="8" w:space="0" w:color="auto"/>
            </w:tcBorders>
            <w:shd w:val="clear" w:color="auto" w:fill="auto"/>
            <w:hideMark/>
          </w:tcPr>
          <w:p>
            <w:pPr>
              <w:spacing w:before="0" w:after="0"/>
              <w:jc w:val="right"/>
              <w:rPr>
                <w:i/>
                <w:iCs/>
                <w:noProof/>
                <w:sz w:val="18"/>
                <w:szCs w:val="18"/>
              </w:rPr>
            </w:pPr>
            <w:r>
              <w:rPr>
                <w:b/>
                <w:bCs/>
                <w:noProof/>
                <w:sz w:val="18"/>
                <w:szCs w:val="18"/>
              </w:rPr>
              <w:t> </w:t>
            </w:r>
            <w:r>
              <w:rPr>
                <w:i/>
                <w:iCs/>
                <w:noProof/>
                <w:sz w:val="18"/>
                <w:szCs w:val="18"/>
              </w:rPr>
              <w:t>en Mio EUR</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noProof/>
                <w:sz w:val="18"/>
                <w:szCs w:val="18"/>
              </w:rPr>
            </w:pPr>
            <w:r>
              <w:rPr>
                <w:noProof/>
                <w:sz w:val="18"/>
                <w:szCs w:val="18"/>
              </w:rPr>
              <w:t>Plafond CE 2019</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noProof/>
                <w:sz w:val="18"/>
                <w:szCs w:val="18"/>
              </w:rPr>
            </w:pPr>
            <w:r>
              <w:rPr>
                <w:noProof/>
                <w:sz w:val="18"/>
                <w:szCs w:val="18"/>
              </w:rPr>
              <w:t>164 123,0</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noProof/>
                <w:sz w:val="18"/>
                <w:szCs w:val="18"/>
              </w:rPr>
            </w:pPr>
            <w:r>
              <w:rPr>
                <w:noProof/>
                <w:sz w:val="18"/>
                <w:szCs w:val="18"/>
              </w:rPr>
              <w:t>Total crédits autorisés budget 2019</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noProof/>
                <w:sz w:val="18"/>
                <w:szCs w:val="18"/>
              </w:rPr>
            </w:pPr>
            <w:r>
              <w:rPr>
                <w:noProof/>
                <w:sz w:val="18"/>
                <w:szCs w:val="18"/>
              </w:rPr>
              <w:t>166 189,2</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noProof/>
                <w:sz w:val="18"/>
                <w:szCs w:val="18"/>
              </w:rPr>
            </w:pPr>
            <w:r>
              <w:rPr>
                <w:noProof/>
                <w:sz w:val="18"/>
                <w:szCs w:val="18"/>
              </w:rPr>
              <w:t>dont instruments spéciaux:</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noProof/>
                <w:sz w:val="18"/>
                <w:szCs w:val="18"/>
              </w:rPr>
            </w:pPr>
            <w:r>
              <w:rPr>
                <w:noProof/>
                <w:sz w:val="18"/>
                <w:szCs w:val="18"/>
              </w:rPr>
              <w:t>3 357,3</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rPr>
            </w:pPr>
            <w:r>
              <w:rPr>
                <w:noProof/>
                <w:sz w:val="18"/>
                <w:szCs w:val="18"/>
              </w:rPr>
              <w:t>Fonds de solidarité de l'Union européenne</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343,6</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rPr>
            </w:pPr>
            <w:r>
              <w:rPr>
                <w:noProof/>
                <w:sz w:val="18"/>
                <w:szCs w:val="18"/>
              </w:rPr>
              <w:t>Fonds européen d'ajustement à la mondialisation</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175,7</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rPr>
            </w:pPr>
            <w:r>
              <w:rPr>
                <w:noProof/>
                <w:sz w:val="18"/>
                <w:szCs w:val="18"/>
              </w:rPr>
              <w:t>Réserve pour aides d'urgence</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351,5</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rPr>
            </w:pPr>
            <w:r>
              <w:rPr>
                <w:noProof/>
                <w:sz w:val="18"/>
                <w:szCs w:val="18"/>
              </w:rPr>
              <w:t>Instrument de flexibilité</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1 164,3</w:t>
            </w:r>
          </w:p>
        </w:tc>
      </w:tr>
      <w:tr>
        <w:trPr>
          <w:trHeight w:val="270"/>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rPr>
            </w:pPr>
            <w:r>
              <w:rPr>
                <w:noProof/>
                <w:sz w:val="18"/>
                <w:szCs w:val="18"/>
              </w:rPr>
              <w:t>Marge pour imprévus</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-253,9</w:t>
            </w:r>
          </w:p>
        </w:tc>
      </w:tr>
      <w:tr>
        <w:trPr>
          <w:trHeight w:val="270"/>
          <w:jc w:val="center"/>
        </w:trPr>
        <w:tc>
          <w:tcPr>
            <w:tcW w:w="4794" w:type="dxa"/>
            <w:tcBorders>
              <w:top w:val="nil"/>
              <w:left w:val="single" w:sz="8" w:space="0" w:color="auto"/>
              <w:bottom w:val="nil"/>
              <w:right w:val="single" w:sz="8" w:space="0" w:color="auto"/>
            </w:tcBorders>
            <w:shd w:val="clear" w:color="auto" w:fill="auto"/>
            <w:hideMark/>
          </w:tcPr>
          <w:p>
            <w:pPr>
              <w:spacing w:before="0" w:after="0"/>
              <w:ind w:firstLineChars="100" w:firstLine="180"/>
              <w:jc w:val="left"/>
              <w:rPr>
                <w:noProof/>
                <w:sz w:val="18"/>
                <w:szCs w:val="18"/>
              </w:rPr>
            </w:pPr>
            <w:r>
              <w:rPr>
                <w:noProof/>
                <w:sz w:val="18"/>
                <w:szCs w:val="18"/>
              </w:rPr>
              <w:lastRenderedPageBreak/>
              <w:t>MGE mobilisée en 2019</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1 576,0</w:t>
            </w:r>
          </w:p>
        </w:tc>
      </w:tr>
      <w:tr>
        <w:trPr>
          <w:trHeight w:val="270"/>
          <w:jc w:val="center"/>
        </w:trPr>
        <w:tc>
          <w:tcPr>
            <w:tcW w:w="479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b/>
                <w:bCs/>
                <w:noProof/>
                <w:sz w:val="18"/>
                <w:szCs w:val="18"/>
              </w:rPr>
            </w:pPr>
            <w:r>
              <w:rPr>
                <w:b/>
                <w:bCs/>
                <w:noProof/>
                <w:sz w:val="18"/>
                <w:szCs w:val="18"/>
              </w:rPr>
              <w:t>Marge globale pour les engagements 2019 (prix courants)</w:t>
            </w:r>
          </w:p>
        </w:tc>
        <w:tc>
          <w:tcPr>
            <w:tcW w:w="1076" w:type="dxa"/>
            <w:tcBorders>
              <w:top w:val="single" w:sz="8" w:space="0" w:color="auto"/>
              <w:left w:val="nil"/>
              <w:bottom w:val="single" w:sz="8" w:space="0" w:color="auto"/>
              <w:right w:val="single" w:sz="8" w:space="0" w:color="auto"/>
            </w:tcBorders>
            <w:shd w:val="clear" w:color="auto" w:fill="auto"/>
            <w:hideMark/>
          </w:tcPr>
          <w:p>
            <w:pPr>
              <w:spacing w:before="0" w:after="0"/>
              <w:jc w:val="right"/>
              <w:rPr>
                <w:b/>
                <w:bCs/>
                <w:noProof/>
                <w:sz w:val="18"/>
                <w:szCs w:val="18"/>
              </w:rPr>
            </w:pPr>
            <w:r>
              <w:rPr>
                <w:b/>
                <w:bCs/>
                <w:noProof/>
                <w:sz w:val="18"/>
                <w:szCs w:val="18"/>
              </w:rPr>
              <w:t>1 291,1</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i/>
                <w:iCs/>
                <w:noProof/>
                <w:sz w:val="18"/>
                <w:szCs w:val="18"/>
              </w:rPr>
            </w:pPr>
            <w:r>
              <w:rPr>
                <w:i/>
                <w:iCs/>
                <w:noProof/>
                <w:sz w:val="18"/>
                <w:szCs w:val="18"/>
              </w:rPr>
              <w:t>Marge globale pour les engagements 2019 (prix de 2011)</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i/>
                <w:iCs/>
                <w:noProof/>
                <w:sz w:val="18"/>
                <w:szCs w:val="18"/>
              </w:rPr>
            </w:pPr>
            <w:r>
              <w:rPr>
                <w:i/>
                <w:iCs/>
                <w:noProof/>
                <w:sz w:val="18"/>
                <w:szCs w:val="18"/>
              </w:rPr>
              <w:t>1 101,9</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b/>
                <w:bCs/>
                <w:noProof/>
                <w:sz w:val="18"/>
                <w:szCs w:val="18"/>
              </w:rPr>
            </w:pPr>
            <w:r>
              <w:rPr>
                <w:b/>
                <w:bCs/>
                <w:noProof/>
                <w:sz w:val="18"/>
                <w:szCs w:val="18"/>
              </w:rPr>
              <w:t>MGE 2019 disponible en 2020 (prix courants)</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b/>
                <w:bCs/>
                <w:noProof/>
                <w:sz w:val="18"/>
                <w:szCs w:val="18"/>
              </w:rPr>
            </w:pPr>
            <w:r>
              <w:rPr>
                <w:b/>
                <w:bCs/>
                <w:noProof/>
                <w:sz w:val="18"/>
                <w:szCs w:val="18"/>
              </w:rPr>
              <w:t>1 316,9</w:t>
            </w:r>
          </w:p>
        </w:tc>
      </w:tr>
    </w:tbl>
    <w:p>
      <w:pPr>
        <w:pStyle w:val="Text1"/>
        <w:rPr>
          <w:noProof/>
        </w:rPr>
      </w:pPr>
      <w:r>
        <w:rPr>
          <w:noProof/>
        </w:rPr>
        <w:t>À l’heure actuelle, une partie de la MGE 2018 (1 075,5 millions d’EUR aux prix de 2020) reste disponible. Les disponibilités globales de la MGE en 2020 s'élèvent par conséquent à 2 392,4 millions d'EUR (aux prix de 2020).</w:t>
      </w:r>
    </w:p>
    <w:p>
      <w:pPr>
        <w:pStyle w:val="Text1"/>
        <w:rPr>
          <w:noProof/>
        </w:rPr>
      </w:pPr>
      <w:r>
        <w:rPr>
          <w:noProof/>
        </w:rPr>
        <w:t>Le tableau qui suit présente le détail des disponibilités et de l’utilisation de la MGE depuis 2014:</w:t>
      </w:r>
    </w:p>
    <w:tbl>
      <w:tblPr>
        <w:tblW w:w="9497" w:type="dxa"/>
        <w:tblInd w:w="70" w:type="dxa"/>
        <w:tblCellMar>
          <w:left w:w="70" w:type="dxa"/>
          <w:right w:w="70" w:type="dxa"/>
        </w:tblCellMar>
        <w:tblLook w:val="04A0" w:firstRow="1" w:lastRow="0" w:firstColumn="1" w:lastColumn="0" w:noHBand="0" w:noVBand="1"/>
      </w:tblPr>
      <w:tblGrid>
        <w:gridCol w:w="3544"/>
        <w:gridCol w:w="850"/>
        <w:gridCol w:w="851"/>
        <w:gridCol w:w="850"/>
        <w:gridCol w:w="851"/>
        <w:gridCol w:w="850"/>
        <w:gridCol w:w="851"/>
        <w:gridCol w:w="850"/>
      </w:tblGrid>
      <w:tr>
        <w:trPr>
          <w:trHeight w:val="270"/>
        </w:trPr>
        <w:tc>
          <w:tcPr>
            <w:tcW w:w="3544" w:type="dxa"/>
            <w:tcBorders>
              <w:top w:val="nil"/>
              <w:left w:val="nil"/>
              <w:bottom w:val="single" w:sz="8" w:space="0" w:color="auto"/>
              <w:right w:val="single" w:sz="8" w:space="0" w:color="000000"/>
            </w:tcBorders>
            <w:shd w:val="clear" w:color="auto" w:fill="auto"/>
            <w:noWrap/>
            <w:vAlign w:val="bottom"/>
            <w:hideMark/>
          </w:tcPr>
          <w:p>
            <w:pPr>
              <w:spacing w:before="0" w:after="0"/>
              <w:jc w:val="center"/>
              <w:rPr>
                <w:noProof/>
                <w:color w:val="000000"/>
                <w:sz w:val="18"/>
                <w:szCs w:val="18"/>
              </w:rPr>
            </w:pPr>
            <w:r>
              <w:rPr>
                <w:noProof/>
                <w:color w:val="000000"/>
                <w:sz w:val="18"/>
                <w:szCs w:val="18"/>
              </w:rPr>
              <w:t> </w:t>
            </w:r>
          </w:p>
        </w:tc>
        <w:tc>
          <w:tcPr>
            <w:tcW w:w="850" w:type="dxa"/>
            <w:tcBorders>
              <w:top w:val="single" w:sz="8" w:space="0" w:color="auto"/>
              <w:left w:val="nil"/>
              <w:bottom w:val="single" w:sz="8" w:space="0" w:color="auto"/>
              <w:right w:val="single" w:sz="4" w:space="0" w:color="000000"/>
            </w:tcBorders>
            <w:shd w:val="clear" w:color="auto" w:fill="auto"/>
            <w:vAlign w:val="center"/>
            <w:hideMark/>
          </w:tcPr>
          <w:p>
            <w:pPr>
              <w:spacing w:before="0" w:after="0"/>
              <w:jc w:val="center"/>
              <w:rPr>
                <w:b/>
                <w:bCs/>
                <w:noProof/>
                <w:sz w:val="18"/>
                <w:szCs w:val="18"/>
              </w:rPr>
            </w:pPr>
            <w:r>
              <w:rPr>
                <w:b/>
                <w:bCs/>
                <w:noProof/>
                <w:sz w:val="18"/>
                <w:szCs w:val="18"/>
              </w:rPr>
              <w:t>2014</w:t>
            </w:r>
          </w:p>
        </w:tc>
        <w:tc>
          <w:tcPr>
            <w:tcW w:w="851" w:type="dxa"/>
            <w:tcBorders>
              <w:top w:val="single" w:sz="8" w:space="0" w:color="auto"/>
              <w:left w:val="single" w:sz="8" w:space="0" w:color="000000"/>
              <w:bottom w:val="single" w:sz="8" w:space="0" w:color="auto"/>
              <w:right w:val="single" w:sz="4" w:space="0" w:color="000000"/>
            </w:tcBorders>
            <w:shd w:val="clear" w:color="auto" w:fill="auto"/>
            <w:vAlign w:val="center"/>
            <w:hideMark/>
          </w:tcPr>
          <w:p>
            <w:pPr>
              <w:spacing w:before="0" w:after="0"/>
              <w:jc w:val="center"/>
              <w:rPr>
                <w:b/>
                <w:bCs/>
                <w:noProof/>
                <w:sz w:val="18"/>
                <w:szCs w:val="18"/>
              </w:rPr>
            </w:pPr>
            <w:r>
              <w:rPr>
                <w:b/>
                <w:bCs/>
                <w:noProof/>
                <w:sz w:val="18"/>
                <w:szCs w:val="18"/>
              </w:rPr>
              <w:t>2015</w:t>
            </w:r>
          </w:p>
        </w:tc>
        <w:tc>
          <w:tcPr>
            <w:tcW w:w="850" w:type="dxa"/>
            <w:tcBorders>
              <w:top w:val="single" w:sz="8" w:space="0" w:color="auto"/>
              <w:left w:val="single" w:sz="8" w:space="0" w:color="000000"/>
              <w:bottom w:val="single" w:sz="8" w:space="0" w:color="auto"/>
              <w:right w:val="single" w:sz="4" w:space="0" w:color="000000"/>
            </w:tcBorders>
            <w:shd w:val="clear" w:color="auto" w:fill="auto"/>
            <w:vAlign w:val="center"/>
            <w:hideMark/>
          </w:tcPr>
          <w:p>
            <w:pPr>
              <w:spacing w:before="0" w:after="0"/>
              <w:jc w:val="center"/>
              <w:rPr>
                <w:b/>
                <w:bCs/>
                <w:noProof/>
                <w:sz w:val="18"/>
                <w:szCs w:val="18"/>
              </w:rPr>
            </w:pPr>
            <w:r>
              <w:rPr>
                <w:b/>
                <w:bCs/>
                <w:noProof/>
                <w:sz w:val="18"/>
                <w:szCs w:val="18"/>
              </w:rPr>
              <w:t>2016</w:t>
            </w:r>
          </w:p>
        </w:tc>
        <w:tc>
          <w:tcPr>
            <w:tcW w:w="851" w:type="dxa"/>
            <w:tcBorders>
              <w:top w:val="single" w:sz="8" w:space="0" w:color="auto"/>
              <w:left w:val="single" w:sz="8" w:space="0" w:color="000000"/>
              <w:bottom w:val="single" w:sz="8" w:space="0" w:color="auto"/>
              <w:right w:val="single" w:sz="4" w:space="0" w:color="000000"/>
            </w:tcBorders>
            <w:shd w:val="clear" w:color="auto" w:fill="auto"/>
            <w:vAlign w:val="center"/>
            <w:hideMark/>
          </w:tcPr>
          <w:p>
            <w:pPr>
              <w:spacing w:before="0" w:after="0"/>
              <w:jc w:val="center"/>
              <w:rPr>
                <w:b/>
                <w:bCs/>
                <w:noProof/>
                <w:sz w:val="18"/>
                <w:szCs w:val="18"/>
              </w:rPr>
            </w:pPr>
            <w:r>
              <w:rPr>
                <w:b/>
                <w:bCs/>
                <w:noProof/>
                <w:sz w:val="18"/>
                <w:szCs w:val="18"/>
              </w:rPr>
              <w:t>2017</w:t>
            </w:r>
          </w:p>
        </w:tc>
        <w:tc>
          <w:tcPr>
            <w:tcW w:w="850" w:type="dxa"/>
            <w:tcBorders>
              <w:top w:val="single" w:sz="8" w:space="0" w:color="auto"/>
              <w:left w:val="single" w:sz="8" w:space="0" w:color="000000"/>
              <w:bottom w:val="single" w:sz="8" w:space="0" w:color="auto"/>
              <w:right w:val="nil"/>
            </w:tcBorders>
            <w:shd w:val="clear" w:color="auto" w:fill="auto"/>
            <w:vAlign w:val="center"/>
            <w:hideMark/>
          </w:tcPr>
          <w:p>
            <w:pPr>
              <w:spacing w:before="0" w:after="0"/>
              <w:jc w:val="center"/>
              <w:rPr>
                <w:b/>
                <w:bCs/>
                <w:noProof/>
                <w:sz w:val="18"/>
                <w:szCs w:val="18"/>
              </w:rPr>
            </w:pPr>
            <w:r>
              <w:rPr>
                <w:b/>
                <w:bCs/>
                <w:noProof/>
                <w:sz w:val="18"/>
                <w:szCs w:val="18"/>
              </w:rPr>
              <w:t>2018</w:t>
            </w:r>
          </w:p>
        </w:tc>
        <w:tc>
          <w:tcPr>
            <w:tcW w:w="851" w:type="dxa"/>
            <w:tcBorders>
              <w:top w:val="single" w:sz="8" w:space="0" w:color="auto"/>
              <w:left w:val="single" w:sz="8" w:space="0" w:color="auto"/>
              <w:bottom w:val="single" w:sz="8" w:space="0" w:color="auto"/>
              <w:right w:val="nil"/>
            </w:tcBorders>
            <w:shd w:val="clear" w:color="auto" w:fill="auto"/>
            <w:vAlign w:val="center"/>
            <w:hideMark/>
          </w:tcPr>
          <w:p>
            <w:pPr>
              <w:spacing w:before="0" w:after="0"/>
              <w:jc w:val="center"/>
              <w:rPr>
                <w:b/>
                <w:bCs/>
                <w:noProof/>
                <w:sz w:val="18"/>
                <w:szCs w:val="18"/>
              </w:rPr>
            </w:pPr>
            <w:r>
              <w:rPr>
                <w:b/>
                <w:bCs/>
                <w:noProof/>
                <w:sz w:val="18"/>
                <w:szCs w:val="18"/>
              </w:rPr>
              <w:t>2019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b/>
                <w:bCs/>
                <w:noProof/>
                <w:sz w:val="18"/>
                <w:szCs w:val="18"/>
              </w:rPr>
            </w:pPr>
            <w:r>
              <w:rPr>
                <w:b/>
                <w:bCs/>
                <w:noProof/>
                <w:sz w:val="18"/>
                <w:szCs w:val="18"/>
              </w:rPr>
              <w:t>2020</w:t>
            </w: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noProof/>
                <w:color w:val="000000"/>
                <w:sz w:val="18"/>
                <w:szCs w:val="18"/>
              </w:rPr>
            </w:pPr>
            <w:r>
              <w:rPr>
                <w:noProof/>
                <w:color w:val="000000"/>
                <w:sz w:val="18"/>
                <w:szCs w:val="18"/>
              </w:rPr>
              <w:t>Marge engagements disponible à la fin de l’exercice (confirmée par ajustement technique annuel)</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521,9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1 383,2</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2 090,2</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1 115,5</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1 390,9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1 291,1</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noProof/>
                <w:sz w:val="18"/>
                <w:szCs w:val="18"/>
              </w:rPr>
            </w:pPr>
            <w:r>
              <w:rPr>
                <w:noProof/>
                <w:sz w:val="18"/>
                <w:szCs w:val="18"/>
              </w:rPr>
              <w:t> </w:t>
            </w: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b/>
                <w:bCs/>
                <w:noProof/>
                <w:color w:val="000000"/>
                <w:sz w:val="18"/>
                <w:szCs w:val="18"/>
              </w:rPr>
            </w:pPr>
            <w:r>
              <w:rPr>
                <w:b/>
                <w:bCs/>
                <w:noProof/>
                <w:color w:val="000000"/>
                <w:sz w:val="18"/>
                <w:szCs w:val="18"/>
              </w:rPr>
              <w:t>MGE annuelle disponible</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1 953,9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3 571,1</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2 802,4</w:t>
            </w:r>
          </w:p>
        </w:tc>
        <w:tc>
          <w:tcPr>
            <w:tcW w:w="851" w:type="dxa"/>
            <w:tcBorders>
              <w:top w:val="nil"/>
              <w:left w:val="single" w:sz="8" w:space="0" w:color="auto"/>
              <w:bottom w:val="single" w:sz="8" w:space="0" w:color="auto"/>
              <w:right w:val="nil"/>
            </w:tcBorders>
            <w:shd w:val="clear" w:color="auto" w:fill="auto"/>
            <w:vAlign w:val="center"/>
            <w:hideMark/>
          </w:tcPr>
          <w:p>
            <w:pPr>
              <w:spacing w:before="0" w:after="0"/>
              <w:jc w:val="right"/>
              <w:rPr>
                <w:b/>
                <w:bCs/>
                <w:noProof/>
                <w:sz w:val="18"/>
                <w:szCs w:val="18"/>
              </w:rPr>
            </w:pPr>
            <w:r>
              <w:rPr>
                <w:b/>
                <w:bCs/>
                <w:noProof/>
                <w:sz w:val="18"/>
                <w:szCs w:val="18"/>
              </w:rPr>
              <w:t>2 894,7</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b/>
                <w:bCs/>
                <w:noProof/>
                <w:sz w:val="18"/>
                <w:szCs w:val="18"/>
              </w:rPr>
            </w:pPr>
            <w:r>
              <w:rPr>
                <w:b/>
                <w:bCs/>
                <w:noProof/>
                <w:sz w:val="18"/>
                <w:szCs w:val="18"/>
              </w:rPr>
              <w:t>2 662,0</w:t>
            </w:r>
          </w:p>
        </w:tc>
      </w:tr>
      <w:tr>
        <w:trPr>
          <w:trHeight w:val="255"/>
        </w:trPr>
        <w:tc>
          <w:tcPr>
            <w:tcW w:w="3544"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2014</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543,0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2015</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1 410,9</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1 439,1</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2016</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2 132,0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1 664,6</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315,4</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2017</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1 137,8</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1 160,6</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2018</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1 418,7</w:t>
            </w:r>
          </w:p>
        </w:tc>
        <w:tc>
          <w:tcPr>
            <w:tcW w:w="850" w:type="dxa"/>
            <w:tcBorders>
              <w:top w:val="single" w:sz="4" w:space="0" w:color="auto"/>
              <w:left w:val="single" w:sz="8" w:space="0" w:color="000000"/>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1 345,1</w:t>
            </w:r>
          </w:p>
        </w:tc>
      </w:tr>
      <w:tr>
        <w:trPr>
          <w:trHeight w:val="270"/>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2019</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8" w:space="0" w:color="auto"/>
              <w:right w:val="nil"/>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1 316,9</w:t>
            </w: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b/>
                <w:bCs/>
                <w:noProof/>
                <w:color w:val="000000"/>
                <w:sz w:val="18"/>
                <w:szCs w:val="18"/>
              </w:rPr>
            </w:pPr>
            <w:r>
              <w:rPr>
                <w:b/>
                <w:bCs/>
                <w:noProof/>
                <w:color w:val="000000"/>
                <w:sz w:val="18"/>
                <w:szCs w:val="18"/>
              </w:rPr>
              <w:t>Utilisation annuelle de la MGE</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-543,0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-1 939,1</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-1 355,6</w:t>
            </w:r>
          </w:p>
        </w:tc>
        <w:tc>
          <w:tcPr>
            <w:tcW w:w="851" w:type="dxa"/>
            <w:tcBorders>
              <w:top w:val="nil"/>
              <w:left w:val="single" w:sz="8" w:space="0" w:color="auto"/>
              <w:bottom w:val="single" w:sz="8" w:space="0" w:color="auto"/>
              <w:right w:val="nil"/>
            </w:tcBorders>
            <w:shd w:val="clear" w:color="auto" w:fill="auto"/>
            <w:vAlign w:val="center"/>
            <w:hideMark/>
          </w:tcPr>
          <w:p>
            <w:pPr>
              <w:spacing w:before="0" w:after="0"/>
              <w:jc w:val="right"/>
              <w:rPr>
                <w:b/>
                <w:bCs/>
                <w:noProof/>
                <w:sz w:val="18"/>
                <w:szCs w:val="18"/>
              </w:rPr>
            </w:pPr>
            <w:r>
              <w:rPr>
                <w:b/>
                <w:bCs/>
                <w:noProof/>
                <w:sz w:val="18"/>
                <w:szCs w:val="18"/>
              </w:rPr>
              <w:t>-1 576,0</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b/>
                <w:bCs/>
                <w:noProof/>
                <w:sz w:val="18"/>
                <w:szCs w:val="18"/>
              </w:rPr>
            </w:pPr>
            <w:r>
              <w:rPr>
                <w:b/>
                <w:bCs/>
                <w:noProof/>
                <w:sz w:val="18"/>
                <w:szCs w:val="18"/>
              </w:rPr>
              <w:t>-269,6</w:t>
            </w:r>
          </w:p>
        </w:tc>
      </w:tr>
      <w:tr>
        <w:trPr>
          <w:trHeight w:val="255"/>
        </w:trPr>
        <w:tc>
          <w:tcPr>
            <w:tcW w:w="3544" w:type="dxa"/>
            <w:tcBorders>
              <w:top w:val="nil"/>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2014</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-543,0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2015</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-1 439,1</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2016</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-500,0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-1 355,6</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-315,4</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2017</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-1 160,6</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2018</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-100,0</w:t>
            </w:r>
          </w:p>
        </w:tc>
        <w:tc>
          <w:tcPr>
            <w:tcW w:w="850" w:type="dxa"/>
            <w:tcBorders>
              <w:top w:val="single" w:sz="4" w:space="0" w:color="auto"/>
              <w:left w:val="single" w:sz="8" w:space="0" w:color="000000"/>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-269,6</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2019</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lang w:val="fr-BE" w:eastAsia="fr-BE"/>
              </w:rPr>
            </w:pP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b/>
                <w:bCs/>
                <w:noProof/>
                <w:color w:val="000000"/>
                <w:sz w:val="18"/>
                <w:szCs w:val="18"/>
              </w:rPr>
            </w:pPr>
            <w:r>
              <w:rPr>
                <w:b/>
                <w:bCs/>
                <w:noProof/>
                <w:color w:val="000000"/>
                <w:sz w:val="18"/>
                <w:szCs w:val="18"/>
              </w:rPr>
              <w:t>MGE restant à la fin de l’exercice</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1 410,9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1 632,0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1 446,8</w:t>
            </w:r>
          </w:p>
        </w:tc>
        <w:tc>
          <w:tcPr>
            <w:tcW w:w="851" w:type="dxa"/>
            <w:tcBorders>
              <w:top w:val="nil"/>
              <w:left w:val="single" w:sz="8" w:space="0" w:color="auto"/>
              <w:bottom w:val="single" w:sz="8" w:space="0" w:color="auto"/>
              <w:right w:val="nil"/>
            </w:tcBorders>
            <w:shd w:val="clear" w:color="auto" w:fill="auto"/>
            <w:vAlign w:val="center"/>
            <w:hideMark/>
          </w:tcPr>
          <w:p>
            <w:pPr>
              <w:spacing w:before="0" w:after="0"/>
              <w:jc w:val="right"/>
              <w:rPr>
                <w:b/>
                <w:bCs/>
                <w:noProof/>
                <w:sz w:val="18"/>
                <w:szCs w:val="18"/>
              </w:rPr>
            </w:pPr>
            <w:r>
              <w:rPr>
                <w:b/>
                <w:bCs/>
                <w:noProof/>
                <w:sz w:val="18"/>
                <w:szCs w:val="18"/>
              </w:rPr>
              <w:t>1 318,7</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b/>
                <w:bCs/>
                <w:noProof/>
                <w:sz w:val="18"/>
                <w:szCs w:val="18"/>
              </w:rPr>
            </w:pPr>
            <w:r>
              <w:rPr>
                <w:b/>
                <w:bCs/>
                <w:noProof/>
                <w:sz w:val="18"/>
                <w:szCs w:val="18"/>
              </w:rPr>
              <w:t>2 392,4</w:t>
            </w:r>
          </w:p>
        </w:tc>
      </w:tr>
      <w:tr>
        <w:trPr>
          <w:trHeight w:val="255"/>
        </w:trPr>
        <w:tc>
          <w:tcPr>
            <w:tcW w:w="3544"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2014</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2015</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1 410,9</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2016</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1 632,0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309,0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2017</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1 137,8</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2018</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1 318,7</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1 075,5</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color w:val="000000"/>
                <w:sz w:val="18"/>
                <w:szCs w:val="18"/>
              </w:rPr>
              <w:t>MGE 2019</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1 316,9</w:t>
            </w:r>
          </w:p>
        </w:tc>
      </w:tr>
    </w:tbl>
    <w:p>
      <w:pPr>
        <w:pStyle w:val="Text1"/>
        <w:ind w:left="0"/>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163 du 24.6.2017, p. 1.</w:t>
      </w:r>
    </w:p>
  </w:footnote>
  <w:footnote w:id="3">
    <w:p>
      <w:pPr>
        <w:pStyle w:val="FootnoteText"/>
      </w:pPr>
      <w:r>
        <w:rPr>
          <w:rStyle w:val="FootnoteReference"/>
        </w:rPr>
        <w:footnoteRef/>
      </w:r>
      <w:r>
        <w:tab/>
        <w:t>COM(2019) 310 final du 15.5.2019.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5B8B29F9"/>
    <w:multiLevelType w:val="hybridMultilevel"/>
    <w:tmpl w:val="3222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hideSpellingErrors/>
  <w:hideGrammaticalErrors/>
  <w:revisionView w:markup="0"/>
  <w:defaultTabStop w:val="720"/>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E1B67B2-0710-434F-A009-B935C0BA653D"/>
    <w:docVar w:name="LW_COVERPAGE_TYPE" w:val="1"/>
    <w:docVar w:name="LW_CROSSREFERENCE" w:val="&lt;UNUSED&gt;"/>
    <w:docVar w:name="LW_DocType" w:val="NORMAL"/>
    <w:docVar w:name="LW_EMISSION" w:val="2.4.2020"/>
    <w:docVar w:name="LW_EMISSION_ISODATE" w:val="2020-04-02"/>
    <w:docVar w:name="LW_EMISSION_LOCATION" w:val="BRX"/>
    <w:docVar w:name="LW_EMISSION_PREFIX" w:val="Bruxelles, le "/>
    <w:docVar w:name="LW_EMISSION_SUFFIX" w:val=" "/>
    <w:docVar w:name="LW_ID_DOCTYPE_NONLW" w:val="CP-011"/>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justement technique concernant les instruments spéciaux pour 2020 [article 6, paragraphe 1, points e) et f), du règlement n° 1311/2013 du Conseil fixant le cadre financier pluriannuel pour la période 2014-2020]"/>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7B825F-A95C-4108-A8D2-2EAD0E37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2192</Words>
  <Characters>10392</Characters>
  <Application>Microsoft Office Word</Application>
  <DocSecurity>0</DocSecurity>
  <Lines>742</Lines>
  <Paragraphs>662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2019-04-11T08:28:00Z</cp:lastPrinted>
  <dcterms:created xsi:type="dcterms:W3CDTF">2020-03-30T14:53:00Z</dcterms:created>
  <dcterms:modified xsi:type="dcterms:W3CDTF">2020-04-06T16:28:00Z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CP-011</vt:lpwstr>
  </property>
</Properties>
</file>