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A93AF83E-9AD1-4B9C-95E1-A5996ABAD2FC" style="width:450.75pt;height:379.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Основания и цели на предложението</w:t>
      </w:r>
    </w:p>
    <w:p>
      <w:pPr>
        <w:rPr>
          <w:rFonts w:eastAsia="Calibri"/>
          <w:noProof/>
        </w:rPr>
      </w:pPr>
      <w:r>
        <w:rPr>
          <w:noProof/>
        </w:rPr>
        <w:t xml:space="preserve">С Решение № 2003/17/ЕО на Съвета се предоставя еквивалентност на някои държави извън ЕС по отношение на полските инспекции и производството на семена от определени култури, извършвани в съответствие с директиви 66/401/ЕИО, 66/402/ЕИО, 2002/54/ЕО и 2002/57/ЕО. Националните разпоредби, свързани с добиването и контрола на семената в тези държави, предоставят същите гаранции по отношение на характеристиките на семената и мерките за изследването им, за осигуряването на идентификацията им, и за маркирането и контрола им, както разпоредбите, приложими за семената, добити и контролирани в Европейския съюз. Украйна не е включена сред тези държави извън ЕС, поради което понастоящем не е възможен внос в Европейския съюз на семена от зърнени култури, добити в тази държава. </w:t>
      </w:r>
    </w:p>
    <w:p>
      <w:pPr>
        <w:rPr>
          <w:rFonts w:eastAsia="Calibri"/>
          <w:noProof/>
        </w:rPr>
      </w:pPr>
      <w:r>
        <w:rPr>
          <w:noProof/>
        </w:rPr>
        <w:t xml:space="preserve">Комисията получи искане от Украйна нейните семена от зърнени култури да бъдат обхванати от Решение 2003/17/ЕО на Съвета като еквивалентни. </w:t>
      </w:r>
    </w:p>
    <w:p>
      <w:pPr>
        <w:rPr>
          <w:rFonts w:eastAsia="Calibri"/>
          <w:noProof/>
        </w:rPr>
      </w:pPr>
      <w:r>
        <w:rPr>
          <w:noProof/>
        </w:rPr>
        <w:t xml:space="preserve">Вследствие на това искане Комисията направи проверка на приложимото законодателство на Украйна и извърши одит на полските инспекции и системата за сертифициране на семена за семена от зърнени култури, прилагани в Украйна. Тя стигна до заключението, че изискванията и системата на Украйна са еквивалентни на тези на Съюза и предлагат същите гаранции като системата на Съюза. </w:t>
      </w:r>
    </w:p>
    <w:p>
      <w:pPr>
        <w:rPr>
          <w:rFonts w:eastAsia="Calibri"/>
          <w:noProof/>
        </w:rPr>
      </w:pPr>
      <w:r>
        <w:rPr>
          <w:noProof/>
        </w:rPr>
        <w:t xml:space="preserve">Поради това е целесъобразно украинските семена да се признаят за еквивалентни на семената от зърнени култури, добити, произведени и контролирани в Европейския съюз, посредством решение, което да бъде прието от Европейския парламент и от Съвета.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Това е техническо изпълнение на съществуващите изисквания и следователно е в съответствие със съществуващите разпоредби в областта на политиката или на търговията със семена.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Настоящото предложение е в съответствие с целите на Споразумението за асоцииране между ЕС и Украйна, тъй като ще стимулира търговията със семена, които са в съответствие с правилата на Съюза.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на този акт е член 43, параграф 2 от ДФЕС, който оправомощава Европейския парламент и Съвета да установят необходимите разпоредби за постигане на целите на общата селскостопанска политика.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Изискванията за семената се регулират на равнището на Съюза. За да се гарантира, че внесените семена могат да се движат свободно в рамките на единния пазар, е необходимо действие на равнището на Съюза.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  <w:u w:color="000000"/>
          <w:bdr w:val="nil"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Това е единствената възможна форма на действие на Съюза за постигане на преследваната цел.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Правният инструмент е предвиден в правното основание, а именно член 43, параграф 2 от ДФЕС.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N/A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Държавите членки бяха информирани и с тях бяха проведени консултации в рамките на Постоянния комитет по растенията, животните, храните и фуражите. Не се изисква отделна консултация, тъй като инициативата се отнася само до техническото изпълнение на съществуващите правила и за подобни инициативи в миналото не са били провеждани отделни консултации. Самата Украйна направи коментари по проекта на одитния доклад, в който не са отбелязани съществени противоречия.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извърши законодателен анализ в сътрудничество с Украйна и нейните служби извършиха проверка в Украйна. Тя изготви доклад, в който се представят необходимите данни, обосноваващи инициативата.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Това е решение от чисто техническо естество, с което се прилагат съществуващите правила, поради което не се изисква оценка на въздействието.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Настоящото предложение не е свързано с Програмата за пригодност и резултатност на регулаторната рамка (REFIT). Предложението ще стимулира търговията между Украйна и ЕС. Като инвестират в капацитет за производство на семена в Украйна, базираните в ЕС предприятия се опитват да диверсифицират своите райони за производство на семена из цяла Европа, за да намалят рисковете от производство само в една климатична зона. Следователно еквивалентността би допринесла за поддържането на непрекъсната доставка на висококачествени семена в ЕС. Освен това европейските предприятия за семена търсят нови възможности, които ще бъдат осигурени чрез еквивалентността съгласно правилата на ЕС. Предложението няма отражение върху разходите на операторите за привеждане в съответствие. За настоящото предложение не е приложима „цифровата проверка“.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N/A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Няма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Планове за изпълнение и механизми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N/A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N/A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Подробно разяснение на отделните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</w:pPr>
      <w:r>
        <w:rPr>
          <w:noProof/>
        </w:rPr>
        <w:t>С единствената материалноправна разпоредба в предложението се добавя Украйна към списъка на държавите, за които е призната еквивалентност на полските инспекции на посеви за производство на семена от зърнени видове и еквивалентност на произведените семена.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2020/0053 (COD)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Решение 2003/17/ЕО на Съвета по отношение на еквивалентността на извършените в Украйна полски инспекции на посеви за производство на семена от зърнени култури и по отношение на еквивалентността на семената от зърнени култури, произведени в Украйна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  <w:szCs w:val="24"/>
        </w:rPr>
      </w:pPr>
      <w:r>
        <w:rPr>
          <w:noProof/>
        </w:rPr>
        <w:t>като взеха предвид Договора за функционирането на Европейския съюз, и по-специално член 43, параграф 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взеха предвид становището на Европейския икономически и социален комитет</w:t>
      </w:r>
      <w:r>
        <w:rPr>
          <w:rStyle w:val="FootnoteReference"/>
          <w:noProof/>
        </w:rPr>
        <w:footnoteReference w:id="1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Решение 2003/17/ЕО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предвижда, че при определени условия полските инспекции на определени посеви за производството на семена, извършвани във включените в списъка трети страни, трябва да се считат за еквивалентни на полските инспекции, извършвани в съответствие с правото на Съюза, и че при определени условия семената от някои видове зърнени култури, произведени в тези държави, трябва да се считат за еквивалентни на семената, произведени в съответствие с правото на Съюза.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Украйна подаде искане до Комисията за признаване на еквивалентността на нейната система за полски инспекции на семена от зърнени култури, както и на произведените и сертифицирани в Украйна семена от зърнени култури.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Комисията проучи съответното законодателство на Украйна и, въз основа на одит, извършен през 2015 г., на системата за официален контрол и за сертифициране на семената от зърнени култури в Украйна, както и на степента ѝ на еквивалентност с изискванията на Съюза, публикува констатациите си в доклад, озаглавен „Окончателен доклад за одита, проведен в Украйна от 26 май 2015 г. до 4 юни 2015 г. с цел оценка на системата на официален контрол и на сертифициране на семена от зърнени култури, както и на еквивалентността ѝ с изискванията на Европейския съюз“.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В резултат на одита беше заключено, че полските инспекции на посевите за производство на семена, вземането на проби, изпитването и официалният последващ контрол на семена от зърнени култури се извършват правилно и </w:t>
      </w:r>
      <w:r>
        <w:rPr>
          <w:noProof/>
        </w:rPr>
        <w:lastRenderedPageBreak/>
        <w:t>отговарят на условията на приложение II към Решение 2003/17/ЕО и на съответните изисквания на Директива 66/402/ЕИО. Освен това беше достигнато до заключението, че националните органи, отговарящи за сертифицирането на семена в Украйна, са компетентни и работят правилно.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Поради това е целесъобразно да се признае еквивалентността на извършваните полски инспекции на семената от зърнени култури в Украйна и еквивалентността на семената от зърнени култури, произведени в Украйна и официално сертифицирани от нейните органи.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Поради това Решение 2003/17/ЕО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ПРИЕХА НАСТОЯЩОТО РЕШЕНИЕ:</w:t>
      </w:r>
    </w:p>
    <w:p>
      <w:pPr>
        <w:pStyle w:val="Titrearticle"/>
        <w:rPr>
          <w:b/>
          <w:i w:val="0"/>
          <w:noProof/>
        </w:rPr>
      </w:pPr>
      <w:r>
        <w:rPr>
          <w:noProof/>
        </w:rPr>
        <w:t>Член 1</w:t>
      </w:r>
      <w:r>
        <w:rPr>
          <w:noProof/>
        </w:rPr>
        <w:br/>
      </w:r>
      <w:r>
        <w:rPr>
          <w:b/>
          <w:i w:val="0"/>
          <w:noProof/>
        </w:rPr>
        <w:t>Изменения на Решение 2003/17/ЕО</w:t>
      </w:r>
    </w:p>
    <w:p>
      <w:pPr>
        <w:rPr>
          <w:noProof/>
        </w:rPr>
      </w:pPr>
      <w:r>
        <w:rPr>
          <w:noProof/>
        </w:rPr>
        <w:t>Приложение I към Решение 2003/17/ЕО се изменя, както следва:</w:t>
      </w:r>
    </w:p>
    <w:p>
      <w:pPr>
        <w:pStyle w:val="Point0"/>
        <w:spacing w:after="360"/>
        <w:ind w:left="851" w:hanging="851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таблицата между „TR“ и „USA“ се вмъква следното вписване:</w:t>
      </w:r>
    </w:p>
    <w:tbl>
      <w:tblPr>
        <w:tblW w:w="0" w:type="auto"/>
        <w:tblInd w:w="9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29"/>
        <w:gridCol w:w="1751"/>
      </w:tblGrid>
      <w:tr>
        <w:tc>
          <w:tcPr>
            <w:tcW w:w="3510" w:type="dxa"/>
            <w:shd w:val="clear" w:color="auto" w:fill="auto"/>
          </w:tcPr>
          <w:p>
            <w:pPr>
              <w:spacing w:before="40" w:after="40"/>
              <w:jc w:val="left"/>
              <w:rPr>
                <w:rFonts w:eastAsia="Calibri"/>
                <w:noProof/>
              </w:rPr>
            </w:pPr>
            <w:r>
              <w:rPr>
                <w:noProof/>
                <w:sz w:val="22"/>
              </w:rPr>
              <w:t>„UA</w:t>
            </w:r>
          </w:p>
        </w:tc>
        <w:tc>
          <w:tcPr>
            <w:tcW w:w="2529" w:type="dxa"/>
            <w:shd w:val="clear" w:color="auto" w:fill="auto"/>
          </w:tcPr>
          <w:p>
            <w:pPr>
              <w:spacing w:before="40" w:after="40"/>
              <w:jc w:val="left"/>
              <w:rPr>
                <w:rFonts w:eastAsia="Calibri"/>
                <w:noProof/>
              </w:rPr>
            </w:pPr>
            <w:r>
              <w:rPr>
                <w:noProof/>
                <w:sz w:val="22"/>
              </w:rPr>
              <w:t>Ministry of Agrarian Policy and Food of Ukraine</w:t>
            </w:r>
          </w:p>
          <w:p>
            <w:pPr>
              <w:spacing w:before="40" w:after="40"/>
              <w:jc w:val="left"/>
              <w:rPr>
                <w:rFonts w:eastAsia="Calibri"/>
                <w:noProof/>
              </w:rPr>
            </w:pPr>
            <w:r>
              <w:rPr>
                <w:noProof/>
                <w:sz w:val="22"/>
              </w:rPr>
              <w:t>Khreshchatyk str., 24, 01001, KYIV</w:t>
            </w:r>
          </w:p>
        </w:tc>
        <w:tc>
          <w:tcPr>
            <w:tcW w:w="1751" w:type="dxa"/>
          </w:tcPr>
          <w:p>
            <w:pPr>
              <w:spacing w:before="40" w:after="40"/>
              <w:jc w:val="center"/>
              <w:rPr>
                <w:rFonts w:eastAsia="Calibri"/>
                <w:noProof/>
              </w:rPr>
            </w:pPr>
            <w:r>
              <w:rPr>
                <w:noProof/>
                <w:sz w:val="22"/>
              </w:rPr>
              <w:t>66/402/EEC“</w:t>
            </w:r>
          </w:p>
        </w:tc>
      </w:tr>
    </w:tbl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В бележката под линия към тази таблица между „TR – Турция“ и „US – Съединени щати“ се вмъква следният текст:  </w:t>
      </w:r>
    </w:p>
    <w:p>
      <w:pPr>
        <w:pStyle w:val="Text1"/>
        <w:rPr>
          <w:noProof/>
        </w:rPr>
      </w:pPr>
      <w:r>
        <w:rPr>
          <w:noProof/>
        </w:rPr>
        <w:t>„UA – Украйна,“.</w:t>
      </w:r>
    </w:p>
    <w:p>
      <w:pPr>
        <w:rPr>
          <w:noProof/>
        </w:rPr>
      </w:pPr>
    </w:p>
    <w:p>
      <w:pPr>
        <w:pStyle w:val="Titrearticle"/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br/>
      </w:r>
      <w:r>
        <w:rPr>
          <w:b/>
          <w:i w:val="0"/>
          <w:noProof/>
        </w:rPr>
        <w:t>Влизане в сила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на двадесетия ден след деня на публикуването му в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  <w:r>
        <w:rPr>
          <w:noProof/>
        </w:rPr>
        <w:br/>
      </w:r>
      <w:r>
        <w:rPr>
          <w:b/>
          <w:i w:val="0"/>
          <w:noProof/>
        </w:rPr>
        <w:t>Адресати</w:t>
      </w:r>
    </w:p>
    <w:p>
      <w:pPr>
        <w:rPr>
          <w:noProof/>
        </w:rPr>
      </w:pPr>
      <w:r>
        <w:rPr>
          <w:noProof/>
        </w:rPr>
        <w:t>Адресати на настоящото решение са държавите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C ,  г., стр. 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Решение 2003/17/ЕО на Съвета от 16 декември 2002 г. относно еквивалентността на полските инспекции на посеви за производство на семена, извършвани в трети страни, и относно еквивалентността на семената, произведени в трети страни (ОВ L 8, 14.1.2003 г., стр. 10).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C121F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084D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F6A3B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2C216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E448A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FF6A0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6BA07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A0C7E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3-30 14:12:4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A93AF83E-9AD1-4B9C-95E1-A5996ABAD2FC"/>
    <w:docVar w:name="LW_COVERPAGE_TYPE" w:val="1"/>
    <w:docVar w:name="LW_CROSSREFERENCE" w:val="&lt;UNUSED&gt;"/>
    <w:docVar w:name="LW_DocType" w:val="COM"/>
    <w:docVar w:name="LW_EMISSION" w:val="7.4.2020"/>
    <w:docVar w:name="LW_EMISSION_ISODATE" w:val="2020-04-07"/>
    <w:docVar w:name="LW_EMISSION_LOCATION" w:val="BRX"/>
    <w:docVar w:name="LW_EMISSION_PREFIX" w:val="Брюксел, "/>
    <w:docVar w:name="LW_EMISSION_SUFFIX" w:val=" \u1075?."/>
    <w:docVar w:name="LW_ID_DOCMODEL" w:val="SJ-025"/>
    <w:docVar w:name="LW_ID_DOCSIGNATURE" w:val="SJ-025"/>
    <w:docVar w:name="LW_ID_DOCSTRUCTURE" w:val="COM/PL/ORG"/>
    <w:docVar w:name="LW_ID_DOCTYPE" w:val="SJ-025"/>
    <w:docVar w:name="LW_ID_EXP.MOTIFS.NEW" w:val="EM_PL_"/>
    <w:docVar w:name="LW_ID_STATUT" w:val="SJ-025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053"/>
    <w:docVar w:name="LW_REF.II.NEW.CP_YEAR" w:val="2020"/>
    <w:docVar w:name="LW_REF.INST.NEW" w:val="COM"/>
    <w:docVar w:name="LW_REF.INST.NEW_ADOPTED" w:val="final"/>
    <w:docVar w:name="LW_REF.INST.NEW_TEXT" w:val="(2020) 1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96?\u1077?\u1085?\u1080?\u1077? 2003/17/\u1045?\u1054? \u1085?\u1072? \u1057?\u1098?\u1074?\u1077?\u1090?\u1072? \u1087?\u1086? \u1086?\u1090?\u1085?\u1086?\u1096?\u1077?\u1085?\u1080?\u1077? \u1085?\u1072? \u1077?\u1082?\u1074?\u1080?\u1074?\u1072?\u1083?\u1077?\u1085?\u1090?\u1085?\u1086?\u1089?\u1090?\u1090?\u1072? \u1085?\u1072? \u1080?\u1079?\u1074?\u1098?\u1088?\u1096?\u1077?\u1085?\u1080?\u1090?\u1077? \u1074? \u1059?\u1082?\u1088?\u1072?\u1081?\u1085?\u1072? \u1087?\u1086?\u1083?\u1089?\u1082?\u1080? \u1080?\u1085?\u1089?\u1087?\u1077?\u1082?\u1094?\u1080?\u1080? \u1085?\u1072? \u1087?\u1086?\u1089?\u1077?\u1074?\u1080? \u1079?\u1072? \u1087?\u1088?\u1086?\u1080?\u1079?\u1074?\u1086?\u1076?\u1089?\u1090?\u1074?\u1086? \u1085?\u1072? \u1089?\u1077?\u1084?\u1077?\u1085?\u1072? \u1086?\u1090? \u1079?\u1098?\u1088?\u1085?\u1077?\u1085?\u1080? \u1082?\u1091?\u1083?\u1090?\u1091?\u1088?\u1080? \u1080? \u1087?\u1086? \u1086?\u1090?\u1085?\u1086?\u1096?\u1077?\u1085?\u1080?\u1077? \u1085?\u1072? \u1077?\u1082?\u1074?\u1080?\u1074?\u1072?\u1083?\u1077?\u1085?\u1090?\u1085?\u1086?\u1089?\u1090?\u1090?\u1072? \u1085?\u1072? \u1089?\u1077?\u1084?\u1077?\u1085?\u1072?\u1090?\u1072? \u1086?\u1090? \u1079?\u1098?\u1088?\u1085?\u1077?\u1085?\u1080? \u1082?\u1091?\u1083?\u1090?\u1091?\u1088?\u1080?, \u1087?\u1088?\u1086?\u1080?\u1079?\u1074?\u1077?\u1076?\u1077?\u1085?\u1080? \u1074? \u1059?\u1082?\u1088?\u1072?\u1081?\u1085?\u1072?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6</Pages>
  <Words>1285</Words>
  <Characters>7676</Characters>
  <Application>Microsoft Office Word</Application>
  <DocSecurity>0</DocSecurity>
  <Lines>166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19</cp:revision>
  <dcterms:created xsi:type="dcterms:W3CDTF">2020-03-13T09:01:00Z</dcterms:created>
  <dcterms:modified xsi:type="dcterms:W3CDTF">2020-03-30T12:12:00Z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SJ-025</vt:lpwstr>
  </property>
  <property fmtid="{D5CDD505-2E9C-101B-9397-08002B2CF9AE}" pid="10" name="DQCStatus">
    <vt:lpwstr>Green (DQC version 03)</vt:lpwstr>
  </property>
</Properties>
</file>