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1EB55562-7FD6-45B9-A567-12CC09B8E101" style="width:450.7pt;height:393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highlight w:val="yellow"/>
        </w:rPr>
      </w:pPr>
      <w:r>
        <w:rPr>
          <w:noProof/>
        </w:rPr>
        <w:t xml:space="preserve">На 27 ноември 2019 г. Европейският парламент и Съветът решиха да се мобилизира Инструментът за гъвкавост за сума в размер на 778,1 милиона евро за функция 3 </w:t>
      </w:r>
      <w:r>
        <w:rPr>
          <w:i/>
          <w:iCs/>
          <w:noProof/>
        </w:rPr>
        <w:t>Сигурност и гражданство</w:t>
      </w:r>
      <w:r>
        <w:rPr>
          <w:noProof/>
        </w:rPr>
        <w:t>, съгласно предложението на Комисията.</w:t>
      </w:r>
    </w:p>
    <w:p>
      <w:pPr>
        <w:rPr>
          <w:noProof/>
        </w:rPr>
      </w:pPr>
      <w:r>
        <w:rPr>
          <w:noProof/>
        </w:rPr>
        <w:t>Днес Комисията представя проект на коригиращ бюджет (ПКБ) № 1/2020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който включва, наред с другото, цялостно увеличение на размера на бюджетните кредити за поети задължения за функция 3 в размер на 423,3 милиона евро, за да се посрещнат нуждите, произтичащи от увеличения миграционен натиск в Гърция, да се финансират незабавни мерки, необходими в контекста на епидемичния взрив от COVID-19, и да се покрие увеличение на бюджета за </w:t>
      </w:r>
      <w:r>
        <w:rPr>
          <w:i/>
          <w:iCs/>
          <w:noProof/>
        </w:rPr>
        <w:t>Европейската прокуратура</w:t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Както е предвидено в член 14 от Регламент (ЕС, Евратом) № 1311/2013 на Съвета от 2 декември 2013 г. за определяне на многогодишната финансова рамка за годините 2014 — 2020</w:t>
      </w:r>
      <w:r>
        <w:rPr>
          <w:rStyle w:val="FootnoteReference"/>
          <w:noProof/>
        </w:rPr>
        <w:footnoteReference w:id="2"/>
      </w:r>
      <w:r>
        <w:rPr>
          <w:noProof/>
        </w:rPr>
        <w:t>, в настоящия ПКБ се предлага да се използва останалият наличен от 2018 г. общ марж за поети задължения (ОМПЗ) за увеличението, свързано с миграцията (350 милиона евро). Останалата част от увеличението, която не попада в обхвата на ОМПЗ (73,3 милиона евро), изисква допълнително мобилизиране на Инструмента за гъвкавост.</w:t>
      </w:r>
    </w:p>
    <w:p>
      <w:pPr>
        <w:rPr>
          <w:bCs/>
          <w:noProof/>
        </w:rPr>
      </w:pPr>
      <w:r>
        <w:rPr>
          <w:noProof/>
        </w:rPr>
        <w:t xml:space="preserve">Поради това настоящото предложение придружава ПКБ № 1/2020 с цел съответно да се увеличат сумите, мобилизирани от Инструмента за гъвкавост, и да се разшири предназначението на мобилизирането. </w:t>
      </w:r>
    </w:p>
    <w:p>
      <w:pPr>
        <w:rPr>
          <w:bCs/>
          <w:noProof/>
        </w:rPr>
      </w:pPr>
      <w:r>
        <w:rPr>
          <w:noProof/>
        </w:rPr>
        <w:t>Коригираната мобилизирана сума по Инструмента за гъвкавост ще възлиза на 851,4 милиона евро (от 778,1 милиона евро) за функция 3.</w:t>
      </w:r>
    </w:p>
    <w:p>
      <w:pPr>
        <w:rPr>
          <w:noProof/>
        </w:rPr>
      </w:pPr>
      <w:r>
        <w:rPr>
          <w:noProof/>
        </w:rPr>
        <w:t>Предложеното решение за мобилизиране на средства ще измени Решение (ЕС) 2020/265 от 27 ноември 2019 г</w:t>
      </w:r>
      <w:r>
        <w:rPr>
          <w:rStyle w:val="FootnoteReference"/>
          <w:bCs/>
          <w:noProof/>
        </w:rPr>
        <w:footnoteReference w:id="3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Индикативните бюджетни кредити за плащания, съответстващи на актуализираното мобилизиране на Инструмента за гъвкавост, са представени в таблицата по-долу:</w:t>
      </w:r>
    </w:p>
    <w:p>
      <w:pPr>
        <w:ind w:left="5040" w:firstLine="720"/>
        <w:jc w:val="left"/>
        <w:rPr>
          <w:noProof/>
        </w:rPr>
      </w:pPr>
      <w:r>
        <w:rPr>
          <w:i/>
          <w:iCs/>
          <w:noProof/>
          <w:sz w:val="16"/>
          <w:szCs w:val="16"/>
        </w:rPr>
        <w:t>(в млн. евро по текущи цени)</w:t>
      </w: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04"/>
      </w:tblGrid>
      <w:tr>
        <w:trPr>
          <w:jc w:val="center"/>
        </w:trPr>
        <w:tc>
          <w:tcPr>
            <w:tcW w:w="1560" w:type="dxa"/>
            <w:shd w:val="clear" w:color="auto" w:fill="D9D9D9"/>
          </w:tcPr>
          <w:p>
            <w:pPr>
              <w:spacing w:before="30" w:after="3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Година</w:t>
            </w:r>
          </w:p>
        </w:tc>
        <w:tc>
          <w:tcPr>
            <w:tcW w:w="5604" w:type="dxa"/>
            <w:shd w:val="clear" w:color="auto" w:fill="D9D9D9"/>
          </w:tcPr>
          <w:p>
            <w:pPr>
              <w:spacing w:before="30" w:after="3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Бюджетни кредити за плащания, свързани с мобилизирането на Инструмента за гъвкавост през 2020 г.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2020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450,7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2021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342,2 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2022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42,4 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auto"/>
          </w:tcPr>
          <w:p>
            <w:pPr>
              <w:spacing w:before="30" w:after="3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2023 г.</w:t>
            </w:r>
          </w:p>
        </w:tc>
        <w:tc>
          <w:tcPr>
            <w:tcW w:w="5604" w:type="dxa"/>
            <w:shd w:val="clear" w:color="auto" w:fill="auto"/>
          </w:tcPr>
          <w:p>
            <w:pPr>
              <w:spacing w:before="30" w:after="3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16,1</w:t>
            </w:r>
          </w:p>
        </w:tc>
      </w:tr>
      <w:tr>
        <w:trPr>
          <w:jc w:val="center"/>
        </w:trPr>
        <w:tc>
          <w:tcPr>
            <w:tcW w:w="1560" w:type="dxa"/>
            <w:shd w:val="clear" w:color="auto" w:fill="D9D9D9"/>
          </w:tcPr>
          <w:p>
            <w:pPr>
              <w:spacing w:before="30" w:after="3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Общо</w:t>
            </w:r>
          </w:p>
        </w:tc>
        <w:tc>
          <w:tcPr>
            <w:tcW w:w="5604" w:type="dxa"/>
            <w:shd w:val="clear" w:color="auto" w:fill="D9D9D9"/>
          </w:tcPr>
          <w:p>
            <w:pPr>
              <w:spacing w:before="30" w:after="30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851,4</w:t>
            </w:r>
          </w:p>
        </w:tc>
      </w:tr>
    </w:tbl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2020/0050 (BUD)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 (ЕС) 2020/265 по отношение на корекциите на сумите, мобилизирани от Инструмента за гъвкавост за 2020 г., които да бъдат използвани за целите на миграцията, притоците от бежанци и заплахите за сигурността, за незабавни мерки в контекста на епидемичния взрив от COVID-19, и за укрепване на Европейската прокуратура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 декември 2013 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4"/>
      </w:r>
      <w:r>
        <w:rPr>
          <w:noProof/>
        </w:rPr>
        <w:t>, и по-специално точка 12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Инструментът за гъвкавост е предназначен да осигурява финансирането на ясно определени разходи, които не могат да се финансират в рамките на наличните тавани за една или повече функции на общия бюджет на Съвета.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Таванът за годишната сума, предоставена за Инструмента за гъвкавост, е 600 000 000 евро (по цени от 2011 г.), както е посочено в член 11 от Регламент (ЕС, Евратом) № 1311/2013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увеличен, когато е приложимо, със сумите, които не могат да се пренасят повече, предоставени в съответствие с параграф 1, втора алинея от този член.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На 27 ноември 2019 г. Европейският парламент и Съветът приеха Решение (ЕС) 2020/265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за мобилизиране на Инструмента за гъвкавост за предоставяне на сумата от 778 074 489 EUR бюджетни кредити за поети задължения по функция 3 (</w:t>
      </w:r>
      <w:r>
        <w:rPr>
          <w:i/>
          <w:noProof/>
        </w:rPr>
        <w:t>Сигурност и гражданство</w:t>
      </w:r>
      <w:r>
        <w:rPr>
          <w:noProof/>
        </w:rPr>
        <w:t>) за финансовата 2020 година за финансиране на мерки в областта на миграцията, бежанците и сигурността.</w:t>
      </w:r>
    </w:p>
    <w:p>
      <w:pPr>
        <w:pStyle w:val="ManualConsidrant"/>
        <w:rPr>
          <w:noProof/>
          <w:spacing w:val="-2"/>
        </w:rPr>
      </w:pPr>
      <w:r>
        <w:rPr>
          <w:noProof/>
        </w:rPr>
        <w:t>(4)</w:t>
      </w:r>
      <w:r>
        <w:rPr>
          <w:noProof/>
        </w:rPr>
        <w:tab/>
      </w:r>
      <w:r>
        <w:rPr>
          <w:noProof/>
          <w:spacing w:val="-2"/>
        </w:rPr>
        <w:t>Проектът на коригиращ бюджет № 1/2020</w:t>
      </w:r>
      <w:r>
        <w:rPr>
          <w:rStyle w:val="FootnoteReference"/>
          <w:noProof/>
          <w:spacing w:val="-2"/>
        </w:rPr>
        <w:footnoteReference w:id="7"/>
      </w:r>
      <w:r>
        <w:rPr>
          <w:noProof/>
          <w:spacing w:val="-2"/>
        </w:rPr>
        <w:t xml:space="preserve"> включва увеличение на бюджетните кредити за поети задължения за функция 3 с 423,3 милиона евро. От тях 350,0 милиона евро за допълнителни разходи за справяне с миграционния натиск в Гърция се покриват от общия марж за поетите задължения, посочен в член 14 от </w:t>
      </w:r>
      <w:r>
        <w:rPr>
          <w:noProof/>
          <w:spacing w:val="-2"/>
        </w:rPr>
        <w:lastRenderedPageBreak/>
        <w:t xml:space="preserve">Регламент (ЕС, Евратом) № 1311/2013 на Съвета. Оставащата сума от 73,3 милиона евро не е обхваната от общия марж за поетите задължения и поради това се изисква допълнително мобилизиране на Инструмента за гъвкавост за 2020 г. Необходимо е също така да се коригира индикативният профил на плащанията. 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Поради това Решение за изпълнение (ЕС) 2020/265 следва да бъде съответно изменено.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Мобилизирането на средства по линия на Инструмента за гъвкавост следа да бъде прието едновременно с изменението на бюджета за 2020 г., тъй като мобилизирането на Инструмента за гъвкавост позволява финансирането на някои действия над тавана, посочен в многогодишната финансова рамка. За да се осигури съгласуваност с това изменение на бюджета за 2020 година, настоящото решение следва да влезе в сила в деня на публикуването му.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7"/>
      </w:tblGrid>
      <w:tr>
        <w:tc>
          <w:tcPr>
            <w:tcW w:w="0" w:type="auto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>
            <w:pPr>
              <w:spacing w:after="0" w:line="312" w:lineRule="atLeast"/>
              <w:rPr>
                <w:rFonts w:ascii="&amp;quot" w:eastAsia="Times New Roman" w:hAnsi="&amp;quot"/>
                <w:noProof/>
                <w:color w:val="444444"/>
                <w:szCs w:val="24"/>
              </w:rPr>
            </w:pPr>
          </w:p>
        </w:tc>
      </w:tr>
    </w:tbl>
    <w:p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Решение (ЕС) 2020/265 член 1 се изменя, както следва:</w:t>
      </w:r>
    </w:p>
    <w:p>
      <w:pPr>
        <w:rPr>
          <w:noProof/>
        </w:rPr>
      </w:pPr>
      <w:r>
        <w:rPr>
          <w:noProof/>
        </w:rPr>
        <w:t>В параграф 1, първа алинея „778 074 489 EUR“ се заменя със „851 374 489 EUR“, а втората алинея се заменя със следното: „Посочените в първата алинея суми се използват за финансиране на мерки за справяне с текущите предизвикателства, свързани с миграцията, притоците на бежанци и заплахите за сигурността, както и с настоящата санитарна криза в Европейския съюз в резултат на епидемичния взрив от COVID-19 и нарасналите нужди на Европейската прокуратура.“</w:t>
      </w:r>
    </w:p>
    <w:p>
      <w:pPr>
        <w:rPr>
          <w:noProof/>
        </w:rPr>
      </w:pPr>
      <w:r>
        <w:rPr>
          <w:noProof/>
        </w:rPr>
        <w:t>В параграф 2, първа алинея букви а) и б) се заменят със следното:</w:t>
      </w:r>
    </w:p>
    <w:p>
      <w:pPr>
        <w:pStyle w:val="QuotedText"/>
        <w:rPr>
          <w:noProof/>
        </w:rPr>
      </w:pPr>
      <w:r>
        <w:rPr>
          <w:noProof/>
        </w:rPr>
        <w:t>„a)</w:t>
      </w:r>
      <w:r>
        <w:rPr>
          <w:noProof/>
        </w:rPr>
        <w:tab/>
        <w:t>450 702 108 EUR през 2020 г.;</w:t>
      </w:r>
    </w:p>
    <w:p>
      <w:pPr>
        <w:pStyle w:val="QuotedText"/>
        <w:rPr>
          <w:noProof/>
        </w:rPr>
      </w:pPr>
      <w:r>
        <w:rPr>
          <w:noProof/>
        </w:rPr>
        <w:t>б)</w:t>
      </w:r>
      <w:r>
        <w:rPr>
          <w:noProof/>
        </w:rPr>
        <w:tab/>
        <w:t>342 205 134 EUR през 2021 г.;“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COM(2020) 145, 27.3.2020 г.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347, 20.12.2013 г., стр. 884.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58, 27.2.2020 г., стр. 51.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C 373, 20.12.2013 г., стр. 1.</w:t>
      </w:r>
    </w:p>
  </w:footnote>
  <w:footnote w:id="5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</w:t>
      </w:r>
      <w:r>
        <w:t>EC</w:t>
      </w:r>
      <w:r>
        <w:rPr>
          <w:lang w:val="ru-RU"/>
        </w:rPr>
        <w:t xml:space="preserve">, Евратом) № 1311/2013 на Съвета от 2 декември 2013 г. за определяне на многогодишната финансова рамка за годините 2014 – 2020 (ОВ </w:t>
      </w:r>
      <w:r>
        <w:t>L</w:t>
      </w:r>
      <w:r>
        <w:rPr>
          <w:lang w:val="ru-RU"/>
        </w:rPr>
        <w:t xml:space="preserve"> 347, 20.12.2013 г., стр. 884).</w:t>
      </w:r>
    </w:p>
  </w:footnote>
  <w:footnote w:id="6">
    <w:p>
      <w:pPr>
        <w:pStyle w:val="doc-ti"/>
        <w:spacing w:before="0" w:beforeAutospacing="0" w:after="0" w:afterAutospacing="0"/>
        <w:ind w:left="709" w:hanging="709"/>
        <w:jc w:val="both"/>
      </w:pPr>
      <w:r>
        <w:rPr>
          <w:rStyle w:val="FootnoteReference"/>
        </w:rPr>
        <w:footnoteRef/>
      </w:r>
      <w:r>
        <w:tab/>
      </w:r>
      <w:r>
        <w:rPr>
          <w:sz w:val="20"/>
          <w:szCs w:val="20"/>
        </w:rPr>
        <w:t>Решение (ЕС) 2020/265 на Европейския парламент и на Съвета от 27 ноември 2019 година 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миграцията, притоците на бежанци и заплахите за сигурността (OВ L 058 27.2.2020 г., стр. 51)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COM(2020) 145, 27.3.2020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3EEB6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4F4D2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53895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C4A5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D5C9A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3E2A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721C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BE49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4-06 10:53:5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1EB55562-7FD6-45B9-A567-12CC09B8E101"/>
    <w:docVar w:name="LW_COVERPAGE_TYPE" w:val="1"/>
    <w:docVar w:name="LW_CROSSREFERENCE" w:val="&lt;UNUSED&gt;"/>
    <w:docVar w:name="LW_DocType" w:val="COM"/>
    <w:docVar w:name="LW_EMISSION" w:val="27.3.2020"/>
    <w:docVar w:name="LW_EMISSION_ISODATE" w:val="2020-03-27"/>
    <w:docVar w:name="LW_EMISSION_LOCATION" w:val="BRX"/>
    <w:docVar w:name="LW_EMISSION_PREFIX" w:val="Брюксел, "/>
    <w:docVar w:name="LW_EMISSION_SUFFIX" w:val=" \u1075?.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BUD"/>
    <w:docVar w:name="LW_REF.II.NEW.CP_NUMBER" w:val="0050"/>
    <w:docVar w:name="LW_REF.II.NEW.CP_YEAR" w:val="2020"/>
    <w:docVar w:name="LW_REF.INST.NEW" w:val="COM"/>
    <w:docVar w:name="LW_REF.INST.NEW_ADOPTED" w:val="final"/>
    <w:docVar w:name="LW_REF.INST.NEW_TEXT" w:val="(2020) 1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(\u1045?\u1057?) 2020/265 \u1087?\u1086? \u1086?\u1090?\u1085?\u1086?\u1096?\u1077?\u1085?\u1080?\u1077? \u1085?\u1072? \u1082?\u1086?\u1088?\u1077?\u1082?\u1094?\u1080?\u1080?\u1090?\u1077? \u1085?\u1072? \u1089?\u1091?\u1084?\u1080?\u1090?\u1077?, \u1084?\u1086?\u1073?\u1080?\u1083?\u1080?\u1079?\u1080?\u1088?\u1072?\u1085?\u1080? \u1086?\u1090? \u1048?\u1085?\u1089?\u1090?\u1088?\u1091?\u1084?\u1077?\u1085?\u1090?\u1072? \u1079?\u1072? \u1075?\u1098?\u1074?\u1082?\u1072?\u1074?\u1086?\u1089?\u1090? \u1079?\u1072? 2020 \u1075?., \u1082?\u1086?\u1080?\u1090?\u1086? \u1076?\u1072? \u1073?\u1098?\u1076?\u1072?\u1090? \u1080?\u1079?\u1087?\u1086?\u1083?\u1079?\u1074?\u1072?\u1085?\u1080? \u1079?\u1072? \u1094?\u1077?\u1083?\u1080?\u1090?\u1077? \u1085?\u1072? \u1084?\u1080?\u1075?\u1088?\u1072?\u1094?\u1080?\u1103?\u1090?\u1072?, \u1087?\u1088?\u1080?\u1090?\u1086?\u1094?\u1080?\u1090?\u1077? \u1086?\u1090? \u1073?\u1077?\u1078?\u1072?\u1085?\u1094?\u1080? \u1080? \u1079?\u1072?\u1087?\u1083?\u1072?\u1093?\u1080?\u1090?\u1077? \u1079?\u1072? \u1089?\u1080?\u1075?\u1091?\u1088?\u1085?\u1086?\u1089?\u1090?\u1090?\u1072?, \u1079?\u1072? \u1085?\u1077?\u1079?\u1072?\u1073?\u1072?\u1074?\u1085?\u1080? \u1084?\u1077?\u1088?\u1082?\u1080? \u1074? \u1082?\u1086?\u1085?\u1090?\u1077?\u1082?\u1089?\u1090?\u1072? \u1085?\u1072? \u1077?\u1087?\u1080?\u1076?\u1077?\u1084?\u1080?\u1095?\u1085?\u1080?\u1103? \u1074?\u1079?\u1088?\u1080?\u1074? \u1086?\u1090? COVID-19, \u1080? \u1079?\u1072? \u1091?\u1082?\u1088?\u1077?\u1087?\u1074?\u1072?\u1085?\u1077? \u1085?\u1072? \u1045?\u1074?\u1088?\u1086?\u1087?\u1077?\u1081?\u1089?\u1082?\u1072?\u1090?\u1072? \u1087?\u1088?\u1086?\u1082?\u1091?\u1088?\u1072?\u1090?\u1091?\u1088?\u1072?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pname">
    <w:name w:val="ep_name"/>
    <w:basedOn w:val="DefaultParagraphFont"/>
  </w:style>
  <w:style w:type="character" w:customStyle="1" w:styleId="epicon">
    <w:name w:val="ep_icon"/>
    <w:basedOn w:val="DefaultParagraphFont"/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pname">
    <w:name w:val="ep_name"/>
    <w:basedOn w:val="DefaultParagraphFont"/>
  </w:style>
  <w:style w:type="character" w:customStyle="1" w:styleId="epicon">
    <w:name w:val="ep_icon"/>
    <w:basedOn w:val="DefaultParagraphFont"/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CB59F5-18CE-4A5B-A50F-BECB7F8E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897</Words>
  <Characters>4882</Characters>
  <Application>Microsoft Office Word</Application>
  <DocSecurity>0</DocSecurity>
  <Lines>108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19</cp:revision>
  <cp:lastPrinted>2019-06-14T14:15:00Z</cp:lastPrinted>
  <dcterms:created xsi:type="dcterms:W3CDTF">2020-04-02T13:08:00Z</dcterms:created>
  <dcterms:modified xsi:type="dcterms:W3CDTF">2020-04-06T08:53:00Z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