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A0555ED-436C-433C-852E-D2C9E698A3B6" style="width:450.7pt;height:6in">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2018/0140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по приемането на Регламент на Европейския парламент и на Съвета относно електронната информация за товарни превози</w:t>
      </w:r>
    </w:p>
    <w:p>
      <w:pPr>
        <w:pStyle w:val="IntrtEEE"/>
        <w:rPr>
          <w:noProof/>
        </w:rPr>
      </w:pPr>
      <w:r>
        <w:rPr>
          <w:noProof/>
        </w:rPr>
        <w:t>(текст от значение за ЕИП)</w:t>
      </w:r>
    </w:p>
    <w:p>
      <w:pPr>
        <w:pStyle w:val="ManualHeading1"/>
        <w:rPr>
          <w:noProof/>
        </w:rPr>
      </w:pPr>
      <w:r>
        <w:rPr>
          <w:noProof/>
        </w:rPr>
        <w:t>1.</w:t>
      </w:r>
      <w:r>
        <w:rPr>
          <w:noProof/>
        </w:rPr>
        <w:tab/>
        <w:t>Контекст</w:t>
      </w:r>
    </w:p>
    <w:p>
      <w:pPr>
        <w:rPr>
          <w:noProof/>
        </w:rPr>
      </w:pPr>
      <w:r>
        <w:rPr>
          <w:noProof/>
        </w:rPr>
        <w:t xml:space="preserve">На 17 май 2018 г. Комисията прие, като част от третия пакет „Европа в движение“, предложение за регламент относно електронната информация за товарни превози. Целта на предложението е да се намали административната тежест и да се подобри ефективността на транспорта и логистиката, като се даде възможност на дружествата и органите да обменят информация по електронен път. </w:t>
      </w:r>
    </w:p>
    <w:tbl>
      <w:tblPr>
        <w:tblW w:w="9537" w:type="dxa"/>
        <w:tblLayout w:type="fixed"/>
        <w:tblLook w:val="0000" w:firstRow="0" w:lastRow="0" w:firstColumn="0" w:lastColumn="0" w:noHBand="0" w:noVBand="0"/>
      </w:tblPr>
      <w:tblGrid>
        <w:gridCol w:w="7054"/>
        <w:gridCol w:w="2483"/>
      </w:tblGrid>
      <w:tr>
        <w:tc>
          <w:tcPr>
            <w:tcW w:w="7054" w:type="dxa"/>
          </w:tcPr>
          <w:p>
            <w:pPr>
              <w:jc w:val="left"/>
              <w:rPr>
                <w:noProof/>
              </w:rPr>
            </w:pPr>
            <w:r>
              <w:rPr>
                <w:noProof/>
              </w:rPr>
              <w:t>Дата на предаване на предложението на Европейския парламент и на Съвета</w:t>
            </w:r>
            <w:r>
              <w:rPr>
                <w:noProof/>
              </w:rPr>
              <w:br/>
              <w:t>(документ COM(2018) 279 final – 2018/0140 COD):</w:t>
            </w:r>
          </w:p>
        </w:tc>
        <w:tc>
          <w:tcPr>
            <w:tcW w:w="2483" w:type="dxa"/>
          </w:tcPr>
          <w:p>
            <w:pPr>
              <w:jc w:val="left"/>
              <w:rPr>
                <w:noProof/>
              </w:rPr>
            </w:pPr>
          </w:p>
          <w:p>
            <w:pPr>
              <w:jc w:val="left"/>
              <w:rPr>
                <w:noProof/>
              </w:rPr>
            </w:pPr>
            <w:r>
              <w:rPr>
                <w:noProof/>
              </w:rPr>
              <w:t>17 май 2018 г.</w:t>
            </w:r>
          </w:p>
        </w:tc>
      </w:tr>
      <w:tr>
        <w:tc>
          <w:tcPr>
            <w:tcW w:w="705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17 октомври 2018 г.</w:t>
            </w:r>
          </w:p>
        </w:tc>
      </w:tr>
      <w:tr>
        <w:tc>
          <w:tcPr>
            <w:tcW w:w="705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12 март 2019 г.</w:t>
            </w:r>
          </w:p>
        </w:tc>
      </w:tr>
      <w:tr>
        <w:tc>
          <w:tcPr>
            <w:tcW w:w="7054" w:type="dxa"/>
          </w:tcPr>
          <w:p>
            <w:pPr>
              <w:rPr>
                <w:noProof/>
              </w:rPr>
            </w:pPr>
            <w:r>
              <w:rPr>
                <w:noProof/>
              </w:rPr>
              <w:t>Дата на предаване на измененото предложение:</w:t>
            </w:r>
          </w:p>
        </w:tc>
        <w:tc>
          <w:tcPr>
            <w:tcW w:w="2483" w:type="dxa"/>
          </w:tcPr>
          <w:p>
            <w:pPr>
              <w:jc w:val="left"/>
              <w:rPr>
                <w:noProof/>
              </w:rPr>
            </w:pPr>
            <w:r>
              <w:rPr>
                <w:noProof/>
              </w:rPr>
              <w:t>Не се прилага.</w:t>
            </w:r>
          </w:p>
        </w:tc>
      </w:tr>
      <w:tr>
        <w:tc>
          <w:tcPr>
            <w:tcW w:w="7054" w:type="dxa"/>
          </w:tcPr>
          <w:p>
            <w:pPr>
              <w:rPr>
                <w:noProof/>
              </w:rPr>
            </w:pPr>
            <w:r>
              <w:rPr>
                <w:noProof/>
              </w:rPr>
              <w:t>Дата на приемане на позицията на Съвета:</w:t>
            </w:r>
          </w:p>
        </w:tc>
        <w:tc>
          <w:tcPr>
            <w:tcW w:w="2483" w:type="dxa"/>
          </w:tcPr>
          <w:p>
            <w:pPr>
              <w:jc w:val="left"/>
              <w:rPr>
                <w:noProof/>
              </w:rPr>
            </w:pPr>
            <w:r>
              <w:rPr>
                <w:noProof/>
                <w:lang w:val="en-US"/>
              </w:rPr>
              <w:t>7</w:t>
            </w:r>
            <w:r>
              <w:rPr>
                <w:noProof/>
              </w:rPr>
              <w:t xml:space="preserve"> април 2020 г.</w:t>
            </w:r>
          </w:p>
        </w:tc>
      </w:tr>
    </w:tbl>
    <w:p>
      <w:pPr>
        <w:pStyle w:val="ManualHeading1"/>
        <w:rPr>
          <w:noProof/>
        </w:rPr>
      </w:pPr>
      <w:r>
        <w:rPr>
          <w:noProof/>
        </w:rPr>
        <w:t>2.</w:t>
      </w:r>
      <w:r>
        <w:rPr>
          <w:noProof/>
        </w:rPr>
        <w:tab/>
        <w:t>Цел на предложението на Комисията</w:t>
      </w:r>
    </w:p>
    <w:p>
      <w:pPr>
        <w:rPr>
          <w:noProof/>
        </w:rPr>
      </w:pPr>
      <w:r>
        <w:rPr>
          <w:noProof/>
        </w:rPr>
        <w:t>Предложението на Комисията представлява нова законодателна инициатива, чиято цел е да се намали административната тежест и да се повиши ефективността на транспортния сектор чрез създаването на условия за по-широкото използване на цифровите технологии при обмена на регулаторна информация между стопанските субекти и органите. С него се въвежда набор от единни изисквания за обмен в електронен формат на регулаторната информация за превозваните на територията на ЕС стоки.</w:t>
      </w:r>
    </w:p>
    <w:p>
      <w:pPr>
        <w:rPr>
          <w:noProof/>
        </w:rPr>
      </w:pPr>
      <w:r>
        <w:rPr>
          <w:noProof/>
        </w:rPr>
        <w:t xml:space="preserve">С предложението на Комисията не се въвеждат нови изисквания във връзка с информацията, а се определят условията, при които органите са длъжни да приемат представената в електронен формат информация. Основното условие е, че когато представят на органите информация по електронен път стопанските субекти трябва да използват сигурни и сертифицирани информационни и комуникационни платформи. Същевременно в предложението на Комисията се съдържа изискване към органите да </w:t>
      </w:r>
      <w:r>
        <w:rPr>
          <w:noProof/>
        </w:rPr>
        <w:lastRenderedPageBreak/>
        <w:t xml:space="preserve">използват набор от общи правила и процедури, в т.ч. технически спецификации, при достъпа и обработването на информацията, която субектите им предоставят по електронен път. Стопанските субекти ще могат, без да са задължени, да използват тези електронни средства вместо хартиен носител. </w:t>
      </w:r>
    </w:p>
    <w:p>
      <w:pPr>
        <w:rPr>
          <w:noProof/>
        </w:rPr>
      </w:pPr>
      <w:r>
        <w:rPr>
          <w:noProof/>
        </w:rPr>
        <w:t xml:space="preserve">Новата цифрова среда е предназначена предимно за информационен обмен между машини, макар че четимите от човека документни формати ще продължат да се поддържат, така че органите да могат да изпълняват задълженията си при всякакви обстоятелства. </w:t>
      </w:r>
    </w:p>
    <w:p>
      <w:pPr>
        <w:pStyle w:val="ManualHeading1"/>
        <w:rPr>
          <w:noProof/>
        </w:rPr>
      </w:pPr>
      <w:r>
        <w:rPr>
          <w:noProof/>
        </w:rPr>
        <w:t>3.</w:t>
      </w:r>
      <w:r>
        <w:rPr>
          <w:noProof/>
        </w:rPr>
        <w:tab/>
        <w:t>Коментари по позицията на Съвета</w:t>
      </w:r>
    </w:p>
    <w:p>
      <w:pPr>
        <w:rPr>
          <w:noProof/>
        </w:rPr>
      </w:pPr>
      <w:r>
        <w:rPr>
          <w:noProof/>
        </w:rPr>
        <w:t>Позицията на Съвета напълно отразява политическото споразумение, постигнато от Европейския парламент и Съвета на 27 ноември 2019 г. Комисията подкрепя това споразумение, тъй като то в значителна степен се вписва в целите на нейното предложение и отчита всички основни специални разпоредби, предложени от нея за постигането на тези цели. Въведените от Съвета промени са предназначени да доизяснят или конкретизират разпоредбите в предложението на Комисията. Тук се включват измененията при основните елементи на предложението — обхвата, аспектите, които ще се доуточняват чрез актове за изпълнение и делегирани актове, срока на прилагане и бъдещите прегледи:</w:t>
      </w:r>
    </w:p>
    <w:p>
      <w:pPr>
        <w:pStyle w:val="ListBullet"/>
        <w:ind w:left="357" w:hanging="357"/>
        <w:contextualSpacing w:val="0"/>
        <w:rPr>
          <w:noProof/>
        </w:rPr>
      </w:pPr>
      <w:r>
        <w:rPr>
          <w:noProof/>
        </w:rPr>
        <w:t xml:space="preserve">С предложението на Комисията се създава ясно дефиниран и фокусиран обхват на изискванията във връзка с информацията, спрямо които се прилага регламентът — както е посочено в редица уреждащи превоза на стоки на територията на Съюза европейски и национални правни актове, които са изброени или ще бъдат изброени в приложение I към регламента. От своя страна позицията на Съвета, без да изменя фокуса на този обхват, запази само позоваванията на съответните членове от съответните актове на ЕС, като премести тези позовавания от приложението в постановителната част на регламента. Освен това Съветът добави позоваване на бъдещите актове за изпълнение или делегирани актове по Директива (ЕС) 2016/797 относно оперативната съвместимост в железопътния сектор, в случай че такива актове бъдат приети или изменени, за да се отразят попадащите в обхвата на регламента изисквания във връзка с информацията. По същество позицията на Съвета не променя обхвата на регламента, а от своя страна тези изменения са приемливи за Комисията. </w:t>
      </w:r>
    </w:p>
    <w:p>
      <w:pPr>
        <w:pStyle w:val="ListBullet"/>
        <w:ind w:left="357" w:hanging="357"/>
        <w:contextualSpacing w:val="0"/>
        <w:rPr>
          <w:noProof/>
        </w:rPr>
      </w:pPr>
      <w:r>
        <w:rPr>
          <w:noProof/>
        </w:rPr>
        <w:t xml:space="preserve">Поради подчертано техническия характер на внедряването на бъдещата среда за обмен по електронен път на информация за товарните превози („eFTI“), в предложението на Комисията не се съдържат всички подробности за архитектурата на системата, а само нейните основни компоненти, както и функционалните изисквания, които тези компоненти трябва да удовлетворяват. Предложено бе подробните правила и технически спецификации да бъдат приети на по-късен етап чрез актове на Комисията — предимно актове за изпълнение. В духа на целите на Комисията Съветът добави допълнителни насоки относно приемането на тези правила и технически спецификации, в частност: i) Комисията да търси оперативна съвместимост на общия набор от данни на eFTI и на неговите поднабори със съответните модели на данни, приети на международно равнище или на равнището на Съюза; както и ii) всички спецификации, приети във връзка с платформите за обмен по електронен път на информация за товарните превози, да останат доколкото е възможно технологично неутрални. Позицията на Съвета също така промени естеството на предоставените на Комисията правомощия — от приемане </w:t>
      </w:r>
      <w:r>
        <w:rPr>
          <w:noProof/>
        </w:rPr>
        <w:lastRenderedPageBreak/>
        <w:t>на актове за изпълнение на приемане на делегирани актове — за определяне, съобразно обхванатата от регламента регулаторна информация, на общия набор от данни на eFTI и на неговите поднабори. Последната промяна, подкрепена от Комисията, е и в отговор на позицията на Европейския парламент, който на първо четене призова за по-голямо участие на Парламента в приемането на подробните правила.</w:t>
      </w:r>
    </w:p>
    <w:p>
      <w:pPr>
        <w:pStyle w:val="ListBullet"/>
        <w:ind w:left="357" w:hanging="357"/>
        <w:contextualSpacing w:val="0"/>
        <w:rPr>
          <w:noProof/>
        </w:rPr>
      </w:pPr>
      <w:r>
        <w:rPr>
          <w:noProof/>
        </w:rPr>
        <w:t xml:space="preserve">Позицията на Съвета също така въведе специални срокове за приемането на повечето актове за изпълнение и делегирани актове и отложи с една година срока, в който държавите членки трябва да започнат да приемат предоставяната им по електронен път от стопанските субекти регулаторна информация. Като цяло, резултатът е балансиран, макар и амбициозен. Така се дава възможност на всички заинтересовани страни — Комисията, органите на държавите членки и субектите от частния сектор — да се подготвят за задълженията си по силата на предложения регламент и да започнат своевременно да ги изпълняват. </w:t>
      </w:r>
    </w:p>
    <w:p>
      <w:pPr>
        <w:pStyle w:val="ListBullet"/>
        <w:ind w:left="357" w:hanging="357"/>
        <w:contextualSpacing w:val="0"/>
        <w:rPr>
          <w:noProof/>
        </w:rPr>
      </w:pPr>
      <w:r>
        <w:rPr>
          <w:noProof/>
        </w:rPr>
        <w:t>И накрая, но не на последно място, позицията на Съвета добави редица детайли във връзка с обхвата и фокуса на оценката, която следва да придружи оценката на Комисията на действието на регламента в рамките на четири години и половина от началната дата на прилагането му. По-специално от Комисията се изисква да направи оценка на възможните инициативи за определяне на следното:</w:t>
      </w:r>
    </w:p>
    <w:p>
      <w:pPr>
        <w:rPr>
          <w:noProof/>
        </w:rPr>
      </w:pPr>
      <w:r>
        <w:rPr>
          <w:noProof/>
        </w:rPr>
        <w:t>а)</w:t>
      </w:r>
      <w:r>
        <w:rPr>
          <w:noProof/>
        </w:rPr>
        <w:tab/>
        <w:t xml:space="preserve">задължението за стопанските субекти да използват електронни средства вместо хартиен носител при предоставянето на регулаторна информация на органите; както и </w:t>
      </w:r>
    </w:p>
    <w:p>
      <w:pPr>
        <w:rPr>
          <w:noProof/>
        </w:rPr>
      </w:pPr>
      <w:r>
        <w:rPr>
          <w:noProof/>
        </w:rPr>
        <w:t>б)</w:t>
      </w:r>
      <w:r>
        <w:rPr>
          <w:noProof/>
        </w:rPr>
        <w:tab/>
        <w:t>оперативната съвместимост и взаимосвързаността между средата, в която се осъществява обменът по електронен път на информация за товарните превози, и различните системи, които понастоящем се използват от органите за завеждане и достъп до регулаторната информация, изисквана по силата на други актове на ЕС в областта на транспорта, останали извън обхвата на предложения регламент.</w:t>
      </w:r>
    </w:p>
    <w:p>
      <w:pPr>
        <w:rPr>
          <w:noProof/>
        </w:rPr>
      </w:pPr>
      <w:r>
        <w:rPr>
          <w:noProof/>
        </w:rPr>
        <w:t>Тези допълнения се вписват в целите на политиката на Комисията, а самият текст остава съобразен с нейните институционални прерогативи.</w:t>
      </w:r>
    </w:p>
    <w:p>
      <w:pPr>
        <w:pStyle w:val="ManualHeading1"/>
        <w:rPr>
          <w:noProof/>
        </w:rPr>
      </w:pPr>
      <w:r>
        <w:rPr>
          <w:noProof/>
        </w:rPr>
        <w:t>4.</w:t>
      </w:r>
      <w:r>
        <w:rPr>
          <w:noProof/>
        </w:rPr>
        <w:tab/>
        <w:t>Заключение</w:t>
      </w:r>
    </w:p>
    <w:p>
      <w:pPr>
        <w:keepNext/>
        <w:rPr>
          <w:noProof/>
        </w:rPr>
      </w:pPr>
      <w:r>
        <w:rPr>
          <w:noProof/>
        </w:rPr>
        <w:t xml:space="preserve">Комисията е съгласна с позицията, приета от Съвета на първо четене. Тази позиция напълно отразява резултата от преговорите между трите институции. Приемането от Европейския парламент на този съгласуван текст на второ четене ще отбележи важна стъпка към постигането на общите цели за намаляване на административната тежест, подобряване на правоприлагането и насърчаване на решителни действия от страна на транспортния и логистичния сектор за осъществяването на така необходимата цифрова трансформация.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F4CB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2F6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3AD1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1833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037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5208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A64E72"/>
    <w:lvl w:ilvl="0">
      <w:start w:val="1"/>
      <w:numFmt w:val="decimal"/>
      <w:pStyle w:val="ListNumber"/>
      <w:lvlText w:val="%1."/>
      <w:lvlJc w:val="left"/>
      <w:pPr>
        <w:tabs>
          <w:tab w:val="num" w:pos="360"/>
        </w:tabs>
        <w:ind w:left="360" w:hanging="360"/>
      </w:pPr>
    </w:lvl>
  </w:abstractNum>
  <w:abstractNum w:abstractNumId="7">
    <w:nsid w:val="FFFFFF89"/>
    <w:multiLevelType w:val="singleLevel"/>
    <w:tmpl w:val="F4481D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8 08:59: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A0555ED-436C-433C-852E-D2C9E698A3B6"/>
    <w:docVar w:name="LW_COVERPAGE_TYPE" w:val="1"/>
    <w:docVar w:name="LW_CROSSREFERENCE" w:val="&lt;UNUSED&gt;"/>
    <w:docVar w:name="LW_DocType" w:val="COM"/>
    <w:docVar w:name="LW_EMISSION" w:val="15.4.2020"/>
    <w:docVar w:name="LW_EMISSION_ISODATE" w:val="2020-04-15"/>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0"/>
    <w:docVar w:name="LW_REF.II.NEW.CP_YEAR" w:val="2018"/>
    <w:docVar w:name="LW_REF.INST.NEW" w:val="COM"/>
    <w:docVar w:name="LW_REF.INST.NEW_ADOPTED" w:val="final"/>
    <w:docVar w:name="LW_REF.INST.NEW_TEXT" w:val="(2020)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87?\u1086?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77?\u1083?\u1077?\u1082?\u1090?\u1088?\u1086?\u1085?\u1085?\u1072?\u1090?\u1072? \u1080?\u1085?\u1092?\u1086?\u1088?\u1084?\u1072?\u1094?\u1080?\u1103? \u1079?\u1072? \u1090?\u1086?\u1074?\u1072?\u1088?\u1085?\u1080? \u1087?\u1088?\u1077?\u1074?\u1086?\u1079?\u1080?"/>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1164</Words>
  <Characters>6870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2020-04-06T15:13:00Z</dcterms:created>
  <dcterms:modified xsi:type="dcterms:W3CDTF">2020-04-08T06:59:00Z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