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2F377536-4101-4658-BCD4-8955C4C36E6F" style="width:450.25pt;height:43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2018/0169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позицията на Съвета по приемането на Регламент на Европейския парламент и на Съвета относно минималните изисквания за повторно използване на водата</w:t>
      </w:r>
    </w:p>
    <w:p>
      <w:pPr>
        <w:pStyle w:val="IntrtEEE"/>
        <w:rPr>
          <w:noProof/>
        </w:rPr>
      </w:pPr>
      <w:r>
        <w:rPr>
          <w:noProof/>
        </w:rPr>
        <w:t>(текст от значение за ЕИП)</w:t>
      </w:r>
    </w:p>
    <w:p>
      <w:pPr>
        <w:pStyle w:val="ManualHeading1"/>
        <w:rPr>
          <w:noProof/>
          <w:sz w:val="22"/>
        </w:rPr>
      </w:pPr>
      <w:r>
        <w:rPr>
          <w:noProof/>
        </w:rPr>
        <w:t>1.</w:t>
      </w:r>
      <w:r>
        <w:rPr>
          <w:noProof/>
        </w:rPr>
        <w:tab/>
        <w:t>Контекст</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Дата на предаване на предложението на Европейския парламент и на Съвета (документ COM(2018) 337 final — 2018/0169 COD)</w:t>
            </w:r>
          </w:p>
        </w:tc>
        <w:tc>
          <w:tcPr>
            <w:tcW w:w="2483" w:type="dxa"/>
          </w:tcPr>
          <w:p>
            <w:pPr>
              <w:jc w:val="left"/>
              <w:rPr>
                <w:noProof/>
              </w:rPr>
            </w:pPr>
            <w:r>
              <w:rPr>
                <w:noProof/>
              </w:rPr>
              <w:t>28 май 2019 г.</w:t>
            </w:r>
          </w:p>
        </w:tc>
      </w:tr>
      <w:tr>
        <w:tc>
          <w:tcPr>
            <w:tcW w:w="6804" w:type="dxa"/>
          </w:tcPr>
          <w:p>
            <w:pPr>
              <w:jc w:val="left"/>
              <w:rPr>
                <w:noProof/>
              </w:rPr>
            </w:pPr>
            <w:r>
              <w:rPr>
                <w:noProof/>
              </w:rPr>
              <w:t>Дата на приемане на становището на Комитета на регионите относно предложението</w:t>
            </w:r>
          </w:p>
        </w:tc>
        <w:tc>
          <w:tcPr>
            <w:tcW w:w="2483" w:type="dxa"/>
          </w:tcPr>
          <w:p>
            <w:pPr>
              <w:jc w:val="left"/>
              <w:rPr>
                <w:noProof/>
              </w:rPr>
            </w:pPr>
            <w:r>
              <w:rPr>
                <w:noProof/>
              </w:rPr>
              <w:t>6 декември 2018 г.</w:t>
            </w:r>
          </w:p>
        </w:tc>
      </w:tr>
      <w:tr>
        <w:tc>
          <w:tcPr>
            <w:tcW w:w="6804" w:type="dxa"/>
          </w:tcPr>
          <w:p>
            <w:pPr>
              <w:rPr>
                <w:noProof/>
              </w:rPr>
            </w:pPr>
            <w:r>
              <w:rPr>
                <w:noProof/>
              </w:rPr>
              <w:t>Дата на приемане на становището на Европейският икономически и социален комитет относно предложението</w:t>
            </w:r>
          </w:p>
        </w:tc>
        <w:tc>
          <w:tcPr>
            <w:tcW w:w="2483" w:type="dxa"/>
          </w:tcPr>
          <w:p>
            <w:pPr>
              <w:jc w:val="left"/>
              <w:rPr>
                <w:noProof/>
                <w:highlight w:val="yellow"/>
              </w:rPr>
            </w:pPr>
            <w:r>
              <w:rPr>
                <w:noProof/>
              </w:rPr>
              <w:t>12 декември 2018 г.</w:t>
            </w:r>
          </w:p>
        </w:tc>
      </w:tr>
      <w:tr>
        <w:tc>
          <w:tcPr>
            <w:tcW w:w="6804" w:type="dxa"/>
          </w:tcPr>
          <w:p>
            <w:pPr>
              <w:jc w:val="left"/>
              <w:rPr>
                <w:noProof/>
              </w:rPr>
            </w:pPr>
          </w:p>
        </w:tc>
        <w:tc>
          <w:tcPr>
            <w:tcW w:w="2483" w:type="dxa"/>
          </w:tcPr>
          <w:p>
            <w:pPr>
              <w:jc w:val="left"/>
              <w:rPr>
                <w:noProof/>
              </w:rPr>
            </w:pPr>
          </w:p>
        </w:tc>
      </w:tr>
      <w:tr>
        <w:tc>
          <w:tcPr>
            <w:tcW w:w="6804" w:type="dxa"/>
          </w:tcPr>
          <w:p>
            <w:pPr>
              <w:rPr>
                <w:noProof/>
              </w:rPr>
            </w:pPr>
            <w:r>
              <w:rPr>
                <w:noProof/>
              </w:rPr>
              <w:t>Дата на позицията на Европейския парламент на първо четене:</w:t>
            </w:r>
          </w:p>
        </w:tc>
        <w:tc>
          <w:tcPr>
            <w:tcW w:w="2483" w:type="dxa"/>
          </w:tcPr>
          <w:p>
            <w:pPr>
              <w:jc w:val="left"/>
              <w:rPr>
                <w:noProof/>
              </w:rPr>
            </w:pPr>
            <w:r>
              <w:rPr>
                <w:noProof/>
              </w:rPr>
              <w:t>12 февруари 2019 г.</w:t>
            </w:r>
          </w:p>
        </w:tc>
      </w:tr>
      <w:tr>
        <w:tc>
          <w:tcPr>
            <w:tcW w:w="6804" w:type="dxa"/>
          </w:tcPr>
          <w:p>
            <w:pPr>
              <w:rPr>
                <w:noProof/>
                <w:szCs w:val="24"/>
              </w:rPr>
            </w:pPr>
            <w:r>
              <w:rPr>
                <w:noProof/>
              </w:rPr>
              <w:t>Дата на съгласието на Съвета относно общ подход</w:t>
            </w:r>
          </w:p>
        </w:tc>
        <w:tc>
          <w:tcPr>
            <w:tcW w:w="2483" w:type="dxa"/>
          </w:tcPr>
          <w:p>
            <w:pPr>
              <w:jc w:val="left"/>
              <w:rPr>
                <w:noProof/>
              </w:rPr>
            </w:pPr>
            <w:r>
              <w:rPr>
                <w:noProof/>
              </w:rPr>
              <w:t>26 юни 2019 г.</w:t>
            </w:r>
          </w:p>
        </w:tc>
      </w:tr>
      <w:tr>
        <w:tc>
          <w:tcPr>
            <w:tcW w:w="6804" w:type="dxa"/>
          </w:tcPr>
          <w:p>
            <w:pPr>
              <w:rPr>
                <w:noProof/>
              </w:rPr>
            </w:pPr>
            <w:r>
              <w:rPr>
                <w:noProof/>
              </w:rPr>
              <w:t>Дати на тристранните срещи</w:t>
            </w:r>
          </w:p>
        </w:tc>
        <w:tc>
          <w:tcPr>
            <w:tcW w:w="2483" w:type="dxa"/>
          </w:tcPr>
          <w:p>
            <w:pPr>
              <w:jc w:val="left"/>
              <w:rPr>
                <w:noProof/>
              </w:rPr>
            </w:pPr>
            <w:r>
              <w:rPr>
                <w:noProof/>
              </w:rPr>
              <w:t>10 октомври</w:t>
            </w:r>
            <w:r>
              <w:rPr>
                <w:noProof/>
                <w:lang w:val="ru-RU"/>
              </w:rPr>
              <w:t xml:space="preserve"> 2019 </w:t>
            </w:r>
            <w:r>
              <w:rPr>
                <w:noProof/>
              </w:rPr>
              <w:t>г.</w:t>
            </w:r>
          </w:p>
          <w:p>
            <w:pPr>
              <w:jc w:val="left"/>
              <w:rPr>
                <w:noProof/>
              </w:rPr>
            </w:pPr>
            <w:r>
              <w:rPr>
                <w:noProof/>
              </w:rPr>
              <w:t>12 ноември 2019 г.</w:t>
            </w:r>
          </w:p>
          <w:p>
            <w:pPr>
              <w:jc w:val="left"/>
              <w:rPr>
                <w:noProof/>
              </w:rPr>
            </w:pPr>
            <w:r>
              <w:rPr>
                <w:noProof/>
              </w:rPr>
              <w:t>2 декември 2019 г.</w:t>
            </w:r>
          </w:p>
        </w:tc>
      </w:tr>
      <w:tr>
        <w:tc>
          <w:tcPr>
            <w:tcW w:w="6804" w:type="dxa"/>
          </w:tcPr>
          <w:p>
            <w:pPr>
              <w:rPr>
                <w:noProof/>
              </w:rPr>
            </w:pPr>
            <w:r>
              <w:rPr>
                <w:noProof/>
              </w:rPr>
              <w:t xml:space="preserve">Дата на потвърждаване на компромисното споразумение от страна на Комитета на постоянните представители </w:t>
            </w:r>
          </w:p>
        </w:tc>
        <w:tc>
          <w:tcPr>
            <w:tcW w:w="2483" w:type="dxa"/>
          </w:tcPr>
          <w:p>
            <w:pPr>
              <w:jc w:val="left"/>
              <w:rPr>
                <w:noProof/>
              </w:rPr>
            </w:pPr>
            <w:r>
              <w:rPr>
                <w:noProof/>
              </w:rPr>
              <w:t>18 декември 2019 г.</w:t>
            </w:r>
          </w:p>
        </w:tc>
      </w:tr>
      <w:tr>
        <w:tc>
          <w:tcPr>
            <w:tcW w:w="6804" w:type="dxa"/>
          </w:tcPr>
          <w:p>
            <w:pPr>
              <w:rPr>
                <w:noProof/>
              </w:rPr>
            </w:pPr>
            <w:r>
              <w:rPr>
                <w:noProof/>
              </w:rPr>
              <w:t xml:space="preserve">Дата, на която комисията по околна среда, обществено здраве и безопасност на храните на Европейския парламент гласува за одобряване на компромисното споразумение </w:t>
            </w:r>
          </w:p>
        </w:tc>
        <w:tc>
          <w:tcPr>
            <w:tcW w:w="2483" w:type="dxa"/>
          </w:tcPr>
          <w:p>
            <w:pPr>
              <w:jc w:val="left"/>
              <w:rPr>
                <w:noProof/>
              </w:rPr>
            </w:pPr>
            <w:r>
              <w:rPr>
                <w:noProof/>
              </w:rPr>
              <w:t>21 януари 2020 г.</w:t>
            </w:r>
          </w:p>
        </w:tc>
      </w:tr>
      <w:tr>
        <w:tc>
          <w:tcPr>
            <w:tcW w:w="6804" w:type="dxa"/>
          </w:tcPr>
          <w:p>
            <w:pPr>
              <w:rPr>
                <w:noProof/>
              </w:rPr>
            </w:pPr>
            <w:r>
              <w:rPr>
                <w:noProof/>
              </w:rPr>
              <w:t>Дата на политическото споразумение в Комитета на постоянните представители (точка I/A)</w:t>
            </w:r>
          </w:p>
        </w:tc>
        <w:tc>
          <w:tcPr>
            <w:tcW w:w="2483" w:type="dxa"/>
          </w:tcPr>
          <w:p>
            <w:pPr>
              <w:jc w:val="left"/>
              <w:rPr>
                <w:noProof/>
              </w:rPr>
            </w:pPr>
            <w:r>
              <w:rPr>
                <w:noProof/>
              </w:rPr>
              <w:t xml:space="preserve">5 февруари 2020 г. </w:t>
            </w:r>
          </w:p>
        </w:tc>
      </w:tr>
      <w:tr>
        <w:tc>
          <w:tcPr>
            <w:tcW w:w="6804" w:type="dxa"/>
          </w:tcPr>
          <w:p>
            <w:pPr>
              <w:rPr>
                <w:noProof/>
              </w:rPr>
            </w:pPr>
            <w:r>
              <w:rPr>
                <w:noProof/>
              </w:rPr>
              <w:t>Дата на политическото споразумение в Съвета (точка I/A)</w:t>
            </w:r>
          </w:p>
        </w:tc>
        <w:tc>
          <w:tcPr>
            <w:tcW w:w="2483" w:type="dxa"/>
          </w:tcPr>
          <w:p>
            <w:pPr>
              <w:jc w:val="left"/>
              <w:rPr>
                <w:noProof/>
              </w:rPr>
            </w:pPr>
            <w:r>
              <w:rPr>
                <w:noProof/>
              </w:rPr>
              <w:t>18 февруари 2020 г.</w:t>
            </w:r>
          </w:p>
        </w:tc>
      </w:tr>
      <w:tr>
        <w:tc>
          <w:tcPr>
            <w:tcW w:w="6804" w:type="dxa"/>
          </w:tcPr>
          <w:p>
            <w:pPr>
              <w:rPr>
                <w:noProof/>
              </w:rPr>
            </w:pPr>
            <w:r>
              <w:rPr>
                <w:noProof/>
              </w:rPr>
              <w:t xml:space="preserve">Дата, на която позицията на Съвета е приета от Комитета на постоянните представители (точка I/A) </w:t>
            </w:r>
          </w:p>
        </w:tc>
        <w:tc>
          <w:tcPr>
            <w:tcW w:w="2483" w:type="dxa"/>
          </w:tcPr>
          <w:p>
            <w:pPr>
              <w:jc w:val="left"/>
              <w:rPr>
                <w:noProof/>
              </w:rPr>
            </w:pPr>
            <w:r>
              <w:rPr>
                <w:noProof/>
              </w:rPr>
              <w:t>20 март 2020 г.</w:t>
            </w:r>
          </w:p>
        </w:tc>
      </w:tr>
      <w:tr>
        <w:tc>
          <w:tcPr>
            <w:tcW w:w="6804" w:type="dxa"/>
          </w:tcPr>
          <w:p>
            <w:pPr>
              <w:rPr>
                <w:noProof/>
              </w:rPr>
            </w:pPr>
            <w:r>
              <w:rPr>
                <w:noProof/>
              </w:rPr>
              <w:lastRenderedPageBreak/>
              <w:t xml:space="preserve">Дата на приемане на позицията на Съвета на първо четене </w:t>
            </w:r>
          </w:p>
        </w:tc>
        <w:tc>
          <w:tcPr>
            <w:tcW w:w="2483" w:type="dxa"/>
          </w:tcPr>
          <w:p>
            <w:pPr>
              <w:jc w:val="left"/>
              <w:rPr>
                <w:noProof/>
              </w:rPr>
            </w:pPr>
            <w:r>
              <w:rPr>
                <w:noProof/>
              </w:rPr>
              <w:t>7 април 2020 г.</w:t>
            </w:r>
          </w:p>
        </w:tc>
      </w:tr>
    </w:tbl>
    <w:p>
      <w:pPr>
        <w:pStyle w:val="ManualHeading1"/>
        <w:rPr>
          <w:noProof/>
          <w:szCs w:val="24"/>
        </w:rPr>
      </w:pPr>
      <w:r>
        <w:rPr>
          <w:noProof/>
        </w:rPr>
        <w:t>2.</w:t>
      </w:r>
      <w:r>
        <w:rPr>
          <w:noProof/>
        </w:rPr>
        <w:tab/>
        <w:t>Цел на предложението на Комисията</w:t>
      </w:r>
    </w:p>
    <w:p>
      <w:pPr>
        <w:rPr>
          <w:noProof/>
          <w:szCs w:val="24"/>
        </w:rPr>
      </w:pPr>
    </w:p>
    <w:p>
      <w:pPr>
        <w:rPr>
          <w:noProof/>
          <w:szCs w:val="24"/>
        </w:rPr>
      </w:pPr>
      <w:r>
        <w:rPr>
          <w:noProof/>
        </w:rPr>
        <w:t>Водата е ограничен ресурс в ЕС, като на една трета от територията на ЕС има недостиг на вода. Нарастващите потребности на населението и изменението на климата ще превърнат в бъдеще наличието на вода в достатъчно количество и с достатъчно добро качество в Европа в още по-голямо предизвикателство.</w:t>
      </w:r>
    </w:p>
    <w:p>
      <w:pPr>
        <w:rPr>
          <w:noProof/>
          <w:szCs w:val="24"/>
        </w:rPr>
      </w:pPr>
      <w:r>
        <w:rPr>
          <w:noProof/>
        </w:rPr>
        <w:t xml:space="preserve">Целта на предложението за минималните изисквания за повторното използване на водата е да се допринесе за облекчаване на недостига на вода в ЕС в контекста на адаптирането към изменението на климата, като се увеличи възприемането на практиката за повторно използване на водата за напояване в селското стопанство. </w:t>
      </w:r>
    </w:p>
    <w:p>
      <w:pPr>
        <w:rPr>
          <w:noProof/>
          <w:szCs w:val="24"/>
        </w:rPr>
      </w:pPr>
      <w:r>
        <w:rPr>
          <w:noProof/>
        </w:rPr>
        <w:t xml:space="preserve">В допълнение на управлението на търсенето и мерките за ефективност, повторното използване на водата е важен инструмент в контекста на интегрираното управление на водите. То следва да се насърчава, винаги когато е осъществимо и ефективно спрямо разходите, като същевременно се опазва общественото здраве и се осигурява опазването на околната среда. </w:t>
      </w:r>
    </w:p>
    <w:p>
      <w:pPr>
        <w:rPr>
          <w:noProof/>
          <w:szCs w:val="24"/>
        </w:rPr>
      </w:pPr>
      <w:r>
        <w:rPr>
          <w:noProof/>
        </w:rPr>
        <w:t xml:space="preserve">С предложението се определят хармонизирани минимални изисквания за качество на водата за безопасната повторна употреба на пречистени градски отпадъчни води за напояване в селското стопанство. За да бъдат подходящи за използване в селското стопанство, пречистените градски отпадъчни води, които вече са преминали през някои видове пречистване съгласно правилата на Директивата за пречистването на градски отпадъчни води, ще трябва да бъдат подложени на допълнително пречистване, за да отговорят на минималните параметри за качество. </w:t>
      </w:r>
    </w:p>
    <w:p>
      <w:pPr>
        <w:rPr>
          <w:noProof/>
          <w:szCs w:val="24"/>
        </w:rPr>
      </w:pPr>
      <w:r>
        <w:rPr>
          <w:noProof/>
        </w:rPr>
        <w:t>Като определя минимални изисквания, предложението предвижда хармонизиран подход към повторното използване на вода за напояване в целия ЕС. Това ще осигури еднакви условия на конкуренция както за операторите, които произвеждат и доставят рециклирани води, така и за земеделските стопани.</w:t>
      </w:r>
    </w:p>
    <w:p>
      <w:pPr>
        <w:rPr>
          <w:noProof/>
          <w:szCs w:val="24"/>
        </w:rPr>
      </w:pPr>
      <w:r>
        <w:rPr>
          <w:noProof/>
        </w:rPr>
        <w:t xml:space="preserve">Счита се, че предложеният инструмент може да доведе до повторно използване на около 6,6 милиарда m³ вода годишно за напояване в селското стопанство в сравнение с 1,7 милиарда m³ годишно без никаква правна рамка на ЕС. Повторното използване на повече от 50 % от общия обем вода, теоретично наличен за напояване от пречиствателни станции за отпадъчни води в ЕС, ще позволи да се намали с повече от 5 % прякото водочерпене от повърхностни водни тела и подземни води. Това би довело до общо намаляване с над 5 % на недостига на вода. </w:t>
      </w:r>
    </w:p>
    <w:p>
      <w:pPr>
        <w:pStyle w:val="ManualHeading1"/>
        <w:rPr>
          <w:noProof/>
        </w:rPr>
      </w:pPr>
      <w:r>
        <w:rPr>
          <w:noProof/>
        </w:rPr>
        <w:t>4.</w:t>
      </w:r>
      <w:r>
        <w:rPr>
          <w:noProof/>
        </w:rPr>
        <w:tab/>
        <w:t>Коментари относно позицията на Европейския парламент</w:t>
      </w:r>
    </w:p>
    <w:p>
      <w:pPr>
        <w:pStyle w:val="Text1"/>
        <w:spacing w:before="240"/>
        <w:ind w:left="0"/>
        <w:rPr>
          <w:noProof/>
          <w:szCs w:val="24"/>
        </w:rPr>
      </w:pPr>
      <w:r>
        <w:rPr>
          <w:noProof/>
        </w:rPr>
        <w:t xml:space="preserve">В позицията на Европейския парламент на първо четене, приета на 12 февруари 2019 г., бяха предложени изменения на предложението на Комисията, а именно : </w:t>
      </w:r>
    </w:p>
    <w:p>
      <w:pPr>
        <w:pStyle w:val="Tiret0"/>
        <w:numPr>
          <w:ilvl w:val="0"/>
          <w:numId w:val="9"/>
        </w:numPr>
        <w:rPr>
          <w:noProof/>
        </w:rPr>
      </w:pPr>
      <w:r>
        <w:rPr>
          <w:noProof/>
        </w:rPr>
        <w:t xml:space="preserve">упоменаване на бъдещо разширяване на обхвата на законодателството; </w:t>
      </w:r>
    </w:p>
    <w:p>
      <w:pPr>
        <w:pStyle w:val="Tiret0"/>
        <w:rPr>
          <w:noProof/>
        </w:rPr>
      </w:pPr>
      <w:r>
        <w:rPr>
          <w:noProof/>
        </w:rPr>
        <w:t xml:space="preserve">нови отговорности за участниците в системата за повторно използване на водата, които са различни от операторите на инсталации за рециклиране; и </w:t>
      </w:r>
    </w:p>
    <w:p>
      <w:pPr>
        <w:pStyle w:val="Tiret0"/>
        <w:rPr>
          <w:noProof/>
        </w:rPr>
      </w:pPr>
      <w:r>
        <w:rPr>
          <w:noProof/>
        </w:rPr>
        <w:t xml:space="preserve">по-значителна роля на компетентните органи. </w:t>
      </w:r>
    </w:p>
    <w:p>
      <w:pPr>
        <w:pStyle w:val="Text1"/>
        <w:spacing w:before="240"/>
        <w:ind w:left="0"/>
        <w:rPr>
          <w:noProof/>
          <w:szCs w:val="24"/>
        </w:rPr>
      </w:pPr>
      <w:r>
        <w:rPr>
          <w:noProof/>
        </w:rPr>
        <w:lastRenderedPageBreak/>
        <w:t>В допълнение Европейският парламент въведе специални разпоредби за справяне с потенциалните рискове от пластмасовите микрочастици. Като част от споразумението, постигнато по време на тристранната среща, Комисията призна пластмасовите микрочастици като въпрос, който поражда растящо безпокойство, и се ангажира да продължи да полага усилия за разрешаване на проблема. За тази цел Комисията се съгласи да направи следната декларация: „</w:t>
      </w:r>
      <w:r>
        <w:rPr>
          <w:i/>
          <w:noProof/>
        </w:rPr>
        <w:t xml:space="preserve">Комисията признава, че пластмасовите микрочастици са вещества, които пораждат растящо безпокойство във връзка с качеството на водите. С оглед на горепосоченото и като се има предвид, че това е въпрос от общ характер, който не се ограничава само до рециклираната вода, Комисията се ангажира да продължи усилията си за по-нататъшно разрешаване на този важен въпрос.“ </w:t>
      </w:r>
    </w:p>
    <w:p>
      <w:pPr>
        <w:pStyle w:val="Text1"/>
        <w:spacing w:before="240"/>
        <w:ind w:left="0"/>
        <w:rPr>
          <w:noProof/>
          <w:szCs w:val="24"/>
        </w:rPr>
      </w:pPr>
      <w:r>
        <w:rPr>
          <w:noProof/>
        </w:rPr>
        <w:t>След като Съветът прие своята позиция на първо четене, се очаква Европейският парламент официално да одобри споразумението, постигнато на тристранните срещи.</w:t>
      </w:r>
    </w:p>
    <w:p>
      <w:pPr>
        <w:pStyle w:val="ManualHeading1"/>
        <w:rPr>
          <w:noProof/>
        </w:rPr>
      </w:pPr>
      <w:r>
        <w:rPr>
          <w:noProof/>
        </w:rPr>
        <w:t>5.</w:t>
      </w:r>
      <w:r>
        <w:rPr>
          <w:noProof/>
        </w:rPr>
        <w:tab/>
        <w:t>Коментари относно позицията на Съвета</w:t>
      </w:r>
    </w:p>
    <w:p>
      <w:pPr>
        <w:widowControl w:val="0"/>
        <w:rPr>
          <w:noProof/>
        </w:rPr>
      </w:pPr>
      <w:r>
        <w:rPr>
          <w:noProof/>
        </w:rPr>
        <w:t xml:space="preserve">Позицията на Съвета отразява съгласието, постигнато по време на тристранните срещи. Най-важните промени, въведени в сравнение с предложението на Комисията, включват: </w:t>
      </w:r>
    </w:p>
    <w:p>
      <w:pPr>
        <w:pStyle w:val="Tiret0"/>
        <w:rPr>
          <w:noProof/>
        </w:rPr>
      </w:pPr>
      <w:r>
        <w:rPr>
          <w:noProof/>
        </w:rPr>
        <w:t xml:space="preserve">дискреционна клауза, която дава възможност на държавите членки да решават дали повторното използване на вода ще бъде разрешено на тяхната територия или на част от нея, при спазването на строги условия и необходимост от мотивиране и редовно преразглеждане на такива решения; </w:t>
      </w:r>
    </w:p>
    <w:p>
      <w:pPr>
        <w:pStyle w:val="Tiret0"/>
        <w:rPr>
          <w:noProof/>
        </w:rPr>
      </w:pPr>
      <w:r>
        <w:rPr>
          <w:noProof/>
        </w:rPr>
        <w:t xml:space="preserve">въвеждане на концепцията за „система за повторно използване на водата“, която може да включва няколко участници от оператора на инсталацията за рециклиране до крайния потребител; </w:t>
      </w:r>
    </w:p>
    <w:p>
      <w:pPr>
        <w:pStyle w:val="Tiret0"/>
        <w:rPr>
          <w:noProof/>
        </w:rPr>
      </w:pPr>
      <w:r>
        <w:rPr>
          <w:noProof/>
        </w:rPr>
        <w:t xml:space="preserve">по-значителна роля на публичните органи в управлението на риска; и </w:t>
      </w:r>
    </w:p>
    <w:p>
      <w:pPr>
        <w:pStyle w:val="Tiret0"/>
        <w:rPr>
          <w:noProof/>
        </w:rPr>
      </w:pPr>
      <w:r>
        <w:rPr>
          <w:noProof/>
        </w:rPr>
        <w:t xml:space="preserve">по-голяма гъвкавост за държавите членки при организирането на системата за управление на риска и издаване на разрешителни. </w:t>
      </w:r>
    </w:p>
    <w:p>
      <w:pPr>
        <w:widowControl w:val="0"/>
        <w:rPr>
          <w:noProof/>
        </w:rPr>
      </w:pPr>
      <w:r>
        <w:rPr>
          <w:noProof/>
        </w:rPr>
        <w:t xml:space="preserve">Като цяло постигнатото съгласие запазва целите на първоначалното предложение на Комисията, запазвайки равнището на амбициозност на минималните изисквания, но допуска гъвкавостта, желана от държавите членки при изпълнението на новите правила. </w:t>
      </w:r>
    </w:p>
    <w:p>
      <w:pPr>
        <w:pStyle w:val="ManualHeading1"/>
        <w:rPr>
          <w:noProof/>
        </w:rPr>
      </w:pPr>
      <w:r>
        <w:rPr>
          <w:noProof/>
        </w:rPr>
        <w:t>6.</w:t>
      </w:r>
      <w:r>
        <w:rPr>
          <w:noProof/>
        </w:rPr>
        <w:tab/>
        <w:t>Заключение</w:t>
      </w:r>
    </w:p>
    <w:p>
      <w:pPr>
        <w:keepNext/>
        <w:rPr>
          <w:noProof/>
        </w:rPr>
      </w:pPr>
      <w:r>
        <w:rPr>
          <w:noProof/>
        </w:rPr>
        <w:t>Комисията е съгласна с позицията на Съвета.</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9347E9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57491C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C0B5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D468E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DAA13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6FE3F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0189A82"/>
    <w:lvl w:ilvl="0">
      <w:start w:val="1"/>
      <w:numFmt w:val="decimal"/>
      <w:pStyle w:val="ListNumber"/>
      <w:lvlText w:val="%1."/>
      <w:lvlJc w:val="left"/>
      <w:pPr>
        <w:tabs>
          <w:tab w:val="num" w:pos="360"/>
        </w:tabs>
        <w:ind w:left="360" w:hanging="360"/>
      </w:pPr>
    </w:lvl>
  </w:abstractNum>
  <w:abstractNum w:abstractNumId="7">
    <w:nsid w:val="FFFFFF89"/>
    <w:multiLevelType w:val="singleLevel"/>
    <w:tmpl w:val="9524FA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14 15:52:5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F377536-4101-4658-BCD4-8955C4C36E6F"/>
    <w:docVar w:name="LW_COVERPAGE_TYPE" w:val="1"/>
    <w:docVar w:name="LW_CROSSREFERENCE" w:val="&lt;UNUSED&gt;"/>
    <w:docVar w:name="LW_DocType" w:val="COM"/>
    <w:docVar w:name="LW_EMISSION" w:val="15.4.2020"/>
    <w:docVar w:name="LW_EMISSION_ISODATE" w:val="2020-04-15"/>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69"/>
    <w:docVar w:name="LW_REF.II.NEW.CP_YEAR" w:val="2018"/>
    <w:docVar w:name="LW_REF.INST.NEW" w:val="COM"/>
    <w:docVar w:name="LW_REF.INST.NEW_ADOPTED" w:val="final"/>
    <w:docVar w:name="LW_REF.INST.NEW_TEXT" w:val="(2020) 1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7?\u1086?\u1079?\u1080?\u1094?\u1080?\u1103?\u1090?\u1072? \u1085?\u1072? \u1057?\u1098?\u1074?\u1077?\u1090?\u1072? \u1087?\u1086? \u1087?\u1088?\u1080?\u1077?\u1084?\u1072?\u1085?\u1077?\u1090?\u1086? \u1085?\u1072? \u1056?\u1077?\u1075?\u1083?\u1072?\u1084?\u1077?\u1085?\u1090? \u1085?\u1072? \u1045?\u1074?\u1088?\u1086?\u1087?\u1077?\u1081?\u1089?\u1082?\u1080?\u1103? \u1087?\u1072?\u1088?\u1083?\u1072?\u1084?\u1077?\u1085?\u1090? \u1080? \u1085?\u1072? \u1057?\u1098?\u1074?\u1077?\u1090?\u1072? \u1086?\u1090?\u1085?\u1086?\u1089?\u1085?\u1086? \u1084?\u1080?\u1085?\u1080?\u1084?\u1072?\u1083?\u1085?\u1080?\u1090?\u1077? \u1080?\u1079?\u1080?\u1089?\u1082?\u1074?\u1072?\u1085?\u1080?\u1103? \u1079?\u1072? \u1087?\u1086?\u1074?\u1090?\u1086?\u1088?\u1085?\u1086? \u1080?\u1079?\u1087?\u1086?\u1083?\u1079?\u1074?\u1072?\u1085?\u1077? \u1085?\u1072? \u1074?\u1086?\u1076?\u1072?\u1090?\u1072?"/>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9D4F773-E41E-4B3F-8097-4F6B799A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961</Words>
  <Characters>5586</Characters>
  <Application>Microsoft Office Word</Application>
  <DocSecurity>0</DocSecurity>
  <Lines>124</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2020-04-14T09:26:00Z</dcterms:created>
  <dcterms:modified xsi:type="dcterms:W3CDTF">2020-04-14T13:52:00Z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