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2A994D3-56AE-4C39-8C50-3F913F4CB789" style="width:450.75pt;height:42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2018/0154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amending Regulation (EC) No 862/2007 on Community statistics on migration and international protection</w:t>
      </w:r>
      <w:r>
        <w:rPr>
          <w:noProof/>
        </w:rPr>
        <w:br/>
      </w:r>
      <w:r>
        <w:rPr>
          <w:noProof/>
        </w:rPr>
        <w:br/>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Date of transmission of the proposal to the European Parliament and to the Council (document COM(2018) 307 final – </w:t>
            </w:r>
            <w:r>
              <w:rPr>
                <w:rFonts w:eastAsia="Times New Roman"/>
                <w:noProof/>
                <w:szCs w:val="20"/>
              </w:rPr>
              <w:t>018/0154(COD))</w:t>
            </w:r>
            <w:r>
              <w:rPr>
                <w:noProof/>
              </w:rPr>
              <w:t xml:space="preserve">: </w:t>
            </w:r>
          </w:p>
        </w:tc>
        <w:tc>
          <w:tcPr>
            <w:tcW w:w="2483" w:type="dxa"/>
          </w:tcPr>
          <w:p>
            <w:pPr>
              <w:pStyle w:val="Text1"/>
              <w:spacing w:after="0"/>
              <w:ind w:left="0"/>
              <w:rPr>
                <w:noProof/>
              </w:rPr>
            </w:pPr>
            <w:r>
              <w:rPr>
                <w:noProof/>
              </w:rPr>
              <w:t>16.5.2018</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16.4.2019</w:t>
            </w:r>
          </w:p>
        </w:tc>
      </w:tr>
      <w:tr>
        <w:tc>
          <w:tcPr>
            <w:tcW w:w="6804" w:type="dxa"/>
          </w:tcPr>
          <w:p>
            <w:pPr>
              <w:rPr>
                <w:noProof/>
              </w:rPr>
            </w:pPr>
            <w:r>
              <w:rPr>
                <w:noProof/>
              </w:rPr>
              <w:t>Date of adoption of the position of the Council:</w:t>
            </w:r>
          </w:p>
        </w:tc>
        <w:tc>
          <w:tcPr>
            <w:tcW w:w="2483" w:type="dxa"/>
          </w:tcPr>
          <w:p>
            <w:pPr>
              <w:jc w:val="left"/>
              <w:rPr>
                <w:noProof/>
                <w:color w:val="0000FF"/>
              </w:rPr>
            </w:pPr>
            <w:r>
              <w:rPr>
                <w:noProof/>
              </w:rPr>
              <w:t>20.3.2020</w:t>
            </w:r>
          </w:p>
        </w:tc>
      </w:tr>
    </w:tbl>
    <w:p>
      <w:pPr>
        <w:pStyle w:val="ManualHeading1"/>
        <w:rPr>
          <w:noProof/>
        </w:rPr>
      </w:pPr>
      <w:r>
        <w:rPr>
          <w:noProof/>
        </w:rPr>
        <w:t>2.</w:t>
      </w:r>
      <w:r>
        <w:rPr>
          <w:noProof/>
        </w:rPr>
        <w:tab/>
        <w:t>Objective of the proposal from the Commission</w:t>
      </w:r>
    </w:p>
    <w:p>
      <w:pPr>
        <w:pBdr>
          <w:top w:val="nil"/>
          <w:left w:val="nil"/>
          <w:bottom w:val="nil"/>
          <w:right w:val="nil"/>
          <w:between w:val="nil"/>
          <w:bar w:val="nil"/>
        </w:pBdr>
        <w:spacing w:after="240"/>
        <w:rPr>
          <w:rFonts w:eastAsia="Arial Unicode MS"/>
          <w:noProof/>
        </w:rPr>
      </w:pPr>
      <w:r>
        <w:rPr>
          <w:rFonts w:eastAsia="Arial Unicode MS"/>
          <w:noProof/>
        </w:rPr>
        <w:t>The aim of this proposal is: (i) to support the European agenda on migration by providing EU policy-makers and decision-makers with better and more timely statistics; and (ii) to strengthen the response to the challenges posed by migration. In particular, the initiative will upgrade European statistics on asylum and managed migration by providing a legal basis for statistics that are currently collected voluntarily.</w:t>
      </w:r>
    </w:p>
    <w:p>
      <w:pPr>
        <w:pBdr>
          <w:top w:val="nil"/>
          <w:left w:val="nil"/>
          <w:bottom w:val="nil"/>
          <w:right w:val="nil"/>
          <w:between w:val="nil"/>
          <w:bar w:val="nil"/>
        </w:pBdr>
        <w:spacing w:after="240"/>
        <w:rPr>
          <w:rFonts w:eastAsia="Arial Unicode MS"/>
          <w:noProof/>
        </w:rPr>
      </w:pPr>
      <w:r>
        <w:rPr>
          <w:rFonts w:eastAsia="Arial Unicode MS"/>
          <w:noProof/>
        </w:rPr>
        <w:t xml:space="preserve">In addition, the revision of Regulation (EC) No 862/2007 will improve the completeness, accuracy, timeliness and certainty of existing voluntary transmissions of data by national authorities. In particular, it will ensure that statistics are provided in areas where stakeholders have expressed clear needs, such as asylum, returns (where statistics will be compiled more frequently), resettlement, residence permits, and migrant children. </w:t>
      </w:r>
    </w:p>
    <w:p>
      <w:pPr>
        <w:pStyle w:val="Point0"/>
        <w:rPr>
          <w:b/>
          <w:smallCaps/>
          <w:noProof/>
        </w:rPr>
      </w:pPr>
      <w:r>
        <w:rPr>
          <w:b/>
          <w:smallCaps/>
          <w:noProof/>
        </w:rPr>
        <w:t>3.</w:t>
      </w:r>
      <w:r>
        <w:rPr>
          <w:b/>
          <w:smallCaps/>
          <w:noProof/>
        </w:rPr>
        <w:tab/>
        <w:t>Comments on the position of the European Parliament</w:t>
      </w:r>
    </w:p>
    <w:p>
      <w:pPr>
        <w:rPr>
          <w:noProof/>
          <w:lang w:val="en-US"/>
        </w:rPr>
      </w:pPr>
      <w:r>
        <w:rPr>
          <w:noProof/>
        </w:rPr>
        <w:t xml:space="preserve">The European Parliament adopted its first reading position on 16 April 2019 </w:t>
      </w:r>
      <w:r>
        <w:rPr>
          <w:noProof/>
          <w:lang w:val="en-US"/>
        </w:rPr>
        <w:t>based on the report voted by the LIBE Committee on 20 November 2018 and confirmed on 11 April 2019.</w:t>
      </w:r>
    </w:p>
    <w:p>
      <w:pPr>
        <w:rPr>
          <w:noProof/>
        </w:rPr>
      </w:pPr>
      <w:r>
        <w:rPr>
          <w:noProof/>
        </w:rPr>
        <w:t>This first reading position proposed many amendments to the Commission proposal, based on statistical needs, policy needs, and the feasibility of producing statistics. There were also some amendments on: (i) the introduction of new statistics; and (ii) changes to the frequency and timeliness of statistics.</w:t>
      </w:r>
    </w:p>
    <w:p>
      <w:pPr>
        <w:rPr>
          <w:noProof/>
          <w:lang w:val="en-US"/>
        </w:rPr>
      </w:pPr>
      <w:r>
        <w:rPr>
          <w:noProof/>
          <w:lang w:val="en-US"/>
        </w:rPr>
        <w:t xml:space="preserve">The European Parliament’s new negotiating team proposed to restart the negotiations based on the Romanian Presidency’s compromise proposal </w:t>
      </w:r>
      <w:r>
        <w:rPr>
          <w:noProof/>
          <w:color w:val="281C34"/>
          <w:lang w:val="en-US"/>
        </w:rPr>
        <w:t>(</w:t>
      </w:r>
      <w:hyperlink r:id="rId16" w:history="1">
        <w:r>
          <w:rPr>
            <w:rStyle w:val="Hyperlink"/>
            <w:noProof/>
            <w:lang w:val="en-US"/>
          </w:rPr>
          <w:t>doc. 7935/19</w:t>
        </w:r>
      </w:hyperlink>
      <w:r>
        <w:rPr>
          <w:rStyle w:val="Hyperlink"/>
          <w:noProof/>
          <w:lang w:val="en-US"/>
        </w:rPr>
        <w:t xml:space="preserve"> of 1 April 2019</w:t>
      </w:r>
      <w:r>
        <w:rPr>
          <w:noProof/>
          <w:lang w:val="en-US"/>
        </w:rPr>
        <w:t xml:space="preserve">). </w:t>
      </w:r>
    </w:p>
    <w:p>
      <w:pPr>
        <w:rPr>
          <w:noProof/>
        </w:rPr>
      </w:pPr>
      <w:r>
        <w:rPr>
          <w:noProof/>
        </w:rPr>
        <w:lastRenderedPageBreak/>
        <w:t>Following the Council’s adoption of its first reading position, the European Parliament is expected to formally endorse the agreement reached in trilogues.</w:t>
      </w:r>
    </w:p>
    <w:p>
      <w:pPr>
        <w:pStyle w:val="ManualHeading1"/>
        <w:rPr>
          <w:noProof/>
        </w:rPr>
      </w:pPr>
      <w:r>
        <w:rPr>
          <w:noProof/>
        </w:rPr>
        <w:t>4.</w:t>
      </w:r>
      <w:r>
        <w:rPr>
          <w:noProof/>
        </w:rPr>
        <w:tab/>
        <w:t>Comments on the position of the Council</w:t>
      </w:r>
    </w:p>
    <w:p>
      <w:pPr>
        <w:widowControl w:val="0"/>
        <w:rPr>
          <w:noProof/>
        </w:rPr>
      </w:pPr>
      <w:r>
        <w:rPr>
          <w:noProof/>
        </w:rPr>
        <w:t>The Council’s position reflects the agreement reached in trilogues. It supports and further refines the Commission proposal, and includes several requests from the European Parliament.</w:t>
      </w:r>
    </w:p>
    <w:p>
      <w:pPr>
        <w:widowControl w:val="0"/>
        <w:rPr>
          <w:noProof/>
        </w:rPr>
      </w:pPr>
      <w:r>
        <w:rPr>
          <w:noProof/>
        </w:rPr>
        <w:t>In particular, the Council in its first reading:</w:t>
      </w:r>
    </w:p>
    <w:p>
      <w:pPr>
        <w:pStyle w:val="Tiret0"/>
        <w:numPr>
          <w:ilvl w:val="0"/>
          <w:numId w:val="9"/>
        </w:numPr>
        <w:rPr>
          <w:noProof/>
          <w:lang w:val="en-US"/>
        </w:rPr>
      </w:pPr>
      <w:r>
        <w:rPr>
          <w:noProof/>
          <w:lang w:val="en-US"/>
        </w:rPr>
        <w:t xml:space="preserve">states that: (i) the feasibility of a number of proposed new variables should first be tested through pilot studies, rather than starting </w:t>
      </w:r>
      <w:r>
        <w:rPr>
          <w:noProof/>
        </w:rPr>
        <w:t>immediately</w:t>
      </w:r>
      <w:r>
        <w:rPr>
          <w:noProof/>
          <w:lang w:val="en-US"/>
        </w:rPr>
        <w:t xml:space="preserve"> on the data collection; and (ii) new data should only be collected if the evaluation of the results of the pilot studies is positive; </w:t>
      </w:r>
    </w:p>
    <w:p>
      <w:pPr>
        <w:pStyle w:val="Tiret0"/>
        <w:rPr>
          <w:noProof/>
        </w:rPr>
      </w:pPr>
      <w:r>
        <w:rPr>
          <w:noProof/>
        </w:rPr>
        <w:t>changes the frequency of one category of data collection from monthly to annual, while suggesting that the pilot study shall evaluate the provision of data with monthly frequency;</w:t>
      </w:r>
    </w:p>
    <w:p>
      <w:pPr>
        <w:pStyle w:val="Tiret0"/>
        <w:rPr>
          <w:noProof/>
        </w:rPr>
      </w:pPr>
      <w:r>
        <w:rPr>
          <w:noProof/>
        </w:rPr>
        <w:t>includes a new article on financing, which provides financial support for both adapting data-collection tools and further data-collection processes;</w:t>
      </w:r>
    </w:p>
    <w:p>
      <w:pPr>
        <w:pStyle w:val="Tiret0"/>
        <w:rPr>
          <w:noProof/>
        </w:rPr>
      </w:pPr>
      <w:r>
        <w:rPr>
          <w:noProof/>
        </w:rPr>
        <w:t>includes a new article allowing Member States to request derogations from data collection for up to 3 years, with an additional derogation of a further 2 years.</w:t>
      </w:r>
    </w:p>
    <w:p>
      <w:pPr>
        <w:pStyle w:val="ManualHeading1"/>
        <w:rPr>
          <w:noProof/>
        </w:rPr>
      </w:pPr>
      <w:r>
        <w:rPr>
          <w:noProof/>
        </w:rPr>
        <w:t>5.</w:t>
      </w:r>
      <w:r>
        <w:rPr>
          <w:noProof/>
        </w:rPr>
        <w:tab/>
        <w:t>Conclusion</w:t>
      </w:r>
    </w:p>
    <w:p>
      <w:pPr>
        <w:keepNext/>
        <w:rPr>
          <w:bCs/>
          <w:noProof/>
          <w:szCs w:val="24"/>
        </w:rPr>
      </w:pPr>
      <w:r>
        <w:rPr>
          <w:noProof/>
          <w:szCs w:val="24"/>
        </w:rPr>
        <w:t xml:space="preserve">The Commission accepts the position taken by the Council. </w:t>
      </w:r>
      <w:r>
        <w:rPr>
          <w:rFonts w:eastAsia="Times New Roman"/>
          <w:noProof/>
          <w:szCs w:val="24"/>
          <w:lang w:val="en-US" w:eastAsia="fr-BE"/>
        </w:rPr>
        <w:t xml:space="preserve">Financial support to Member States is subject to the condition that sufficient resources are made available under the new </w:t>
      </w:r>
      <w:r>
        <w:rPr>
          <w:bCs/>
          <w:noProof/>
          <w:szCs w:val="24"/>
        </w:rPr>
        <w:t>Multiannual Financial Framework 2021-2027.</w:t>
      </w:r>
    </w:p>
    <w:p>
      <w:pPr>
        <w:rPr>
          <w:noProof/>
          <w:szCs w:val="24"/>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7B0AC" w16cid:durableId="2208E0BD"/>
  <w16cid:commentId w16cid:paraId="5B0C20C9" w16cid:durableId="2208E0BE"/>
  <w16cid:commentId w16cid:paraId="308B8F82" w16cid:durableId="2208E0E6"/>
  <w16cid:commentId w16cid:paraId="261175CD" w16cid:durableId="2208E0BF"/>
  <w16cid:commentId w16cid:paraId="29A0B0C4" w16cid:durableId="2208E0C0"/>
  <w16cid:commentId w16cid:paraId="0BAD59EF" w16cid:durableId="2208E13D"/>
  <w16cid:commentId w16cid:paraId="7DD8BA55" w16cid:durableId="2208E0C1"/>
  <w16cid:commentId w16cid:paraId="3E64DFDA" w16cid:durableId="2208E1DF"/>
  <w16cid:commentId w16cid:paraId="518003A3" w16cid:durableId="2208E0C2"/>
  <w16cid:commentId w16cid:paraId="0AE6D11D" w16cid:durableId="2208E229"/>
  <w16cid:commentId w16cid:paraId="58B67FA9" w16cid:durableId="2208E0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4845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4A2C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11E92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DA40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DE4F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950E1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CAF1F2"/>
    <w:lvl w:ilvl="0">
      <w:start w:val="1"/>
      <w:numFmt w:val="decimal"/>
      <w:pStyle w:val="ListNumber"/>
      <w:lvlText w:val="%1."/>
      <w:lvlJc w:val="left"/>
      <w:pPr>
        <w:tabs>
          <w:tab w:val="num" w:pos="360"/>
        </w:tabs>
        <w:ind w:left="360" w:hanging="360"/>
      </w:pPr>
    </w:lvl>
  </w:abstractNum>
  <w:abstractNum w:abstractNumId="7">
    <w:nsid w:val="FFFFFF89"/>
    <w:multiLevelType w:val="singleLevel"/>
    <w:tmpl w:val="F77610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7 17:39: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2A994D3-56AE-4C39-8C50-3F913F4CB789"/>
    <w:docVar w:name="LW_COVERPAGE_TYPE" w:val="1"/>
    <w:docVar w:name="LW_CROSSREFERENCE" w:val="&lt;UNUSED&gt;"/>
    <w:docVar w:name="LW_DocType" w:val="COM"/>
    <w:docVar w:name="LW_EMISSION" w:val="15.4.2020"/>
    <w:docVar w:name="LW_EMISSION_ISODATE" w:val="2020-04-15"/>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54"/>
    <w:docVar w:name="LW_REF.II.NEW.CP_YEAR" w:val="2018"/>
    <w:docVar w:name="LW_REF.INST.NEW" w:val="COM"/>
    <w:docVar w:name="LW_REF.INST.NEW_ADOPTED" w:val="final"/>
    <w:docVar w:name="LW_REF.INST.NEW_TEXT" w:val="(2020) 1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amending Regulation (EC) No 862/2007 on Community statistics on migration and international protection_x000b__x000b_"/>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rPr>
      <w:color w:val="0000FF"/>
      <w:u w:val="single"/>
    </w:rPr>
  </w:style>
  <w:style w:type="character" w:customStyle="1" w:styleId="Text1Char">
    <w:name w:val="Text 1 Char"/>
    <w:rPr>
      <w:rFonts w:ascii="Times New Roman" w:hAnsi="Times New Roman" w:cs="Times New Roman"/>
      <w:sz w:val="24"/>
      <w:lang w:val="en-GB"/>
    </w:rPr>
  </w:style>
  <w:style w:type="paragraph" w:customStyle="1" w:styleId="PointManual1">
    <w:name w:val="Point Manual (1)"/>
    <w:basedOn w:val="Normal"/>
    <w:pPr>
      <w:spacing w:line="360" w:lineRule="auto"/>
      <w:ind w:left="1134" w:hanging="567"/>
      <w:jc w:val="left"/>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rPr>
      <w:color w:val="0000FF"/>
      <w:u w:val="single"/>
    </w:rPr>
  </w:style>
  <w:style w:type="character" w:customStyle="1" w:styleId="Text1Char">
    <w:name w:val="Text 1 Char"/>
    <w:rPr>
      <w:rFonts w:ascii="Times New Roman" w:hAnsi="Times New Roman" w:cs="Times New Roman"/>
      <w:sz w:val="24"/>
      <w:lang w:val="en-GB"/>
    </w:rPr>
  </w:style>
  <w:style w:type="paragraph" w:customStyle="1" w:styleId="PointManual1">
    <w:name w:val="Point Manual (1)"/>
    <w:basedOn w:val="Normal"/>
    <w:pPr>
      <w:spacing w:line="360" w:lineRule="auto"/>
      <w:ind w:left="1134" w:hanging="567"/>
      <w:jc w:val="left"/>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7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data.consilium.europa.eu/doc/document/ST-7935-2019-INIT/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9EC2BEC-5BEE-4479-A328-E9E0E81A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Pages>
  <Words>573</Words>
  <Characters>3257</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2020-03-02T16:03:00Z</cp:lastPrinted>
  <dcterms:created xsi:type="dcterms:W3CDTF">2020-04-06T15:36:00Z</dcterms:created>
  <dcterms:modified xsi:type="dcterms:W3CDTF">2020-04-07T15:39:00Z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