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2A2DC0-0A81-4072-A321-D31F8EFAAC11"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rPr>
          <w:noProof/>
        </w:rPr>
      </w:pP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(наричан по-нататък „Регламентът за ЕФПГ“).</w:t>
      </w:r>
    </w:p>
    <w:p>
      <w:pPr>
        <w:rPr>
          <w:b/>
          <w:noProof/>
        </w:rPr>
      </w:pPr>
    </w:p>
    <w:p>
      <w:pPr>
        <w:rPr>
          <w:b/>
          <w:noProof/>
        </w:rPr>
      </w:pPr>
      <w:r>
        <w:rPr>
          <w:b/>
          <w:noProof/>
        </w:rPr>
        <w:t>ОБОБЩЕНИ ДАННИ ЗА ЗАЯВЛЕНИЕТО И АНАЛИЗ</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Основни данни:</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Референтен номер по ЕФПГ</w:t>
      </w:r>
      <w:r>
        <w:rPr>
          <w:noProof/>
        </w:rPr>
        <w:tab/>
        <w:t>EGF/2020/000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Европейска комисия</w:t>
      </w:r>
      <w:r>
        <w:rPr>
          <w:noProof/>
        </w:rPr>
        <w:tab/>
        <w:t>Техническа помощ</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Административни разходи: бюджет в евро</w:t>
      </w:r>
      <w:r>
        <w:rPr>
          <w:noProof/>
        </w:rPr>
        <w:tab/>
        <w:t>345 000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Процент на административните разходи (таван: 0,5 %)</w:t>
      </w:r>
      <w:r>
        <w:rPr>
          <w:noProof/>
        </w:rPr>
        <w:tab/>
        <w:t>0,19 %</w:t>
      </w:r>
    </w:p>
    <w:p>
      <w:pPr>
        <w:rPr>
          <w:noProof/>
        </w:rPr>
      </w:pPr>
    </w:p>
    <w:p>
      <w:pPr>
        <w:rPr>
          <w:noProof/>
        </w:rPr>
      </w:pPr>
      <w:r>
        <w:rPr>
          <w:noProof/>
        </w:rPr>
        <w:t>Съгласно член 11, параграф 1 от Регламента за ЕФПГ по инициатива на Комисията всяка година за техническа помощ могат да бъдат предоставени най-много 0,5 % от максималния годишен размер на средствата от ЕФПГ.</w:t>
      </w:r>
    </w:p>
    <w:p>
      <w:pPr>
        <w:rPr>
          <w:b/>
          <w:noProof/>
          <w:u w:val="single"/>
        </w:rPr>
      </w:pPr>
    </w:p>
    <w:p>
      <w:pPr>
        <w:rPr>
          <w:b/>
          <w:noProof/>
          <w:u w:val="single"/>
        </w:rPr>
      </w:pPr>
      <w:r>
        <w:rPr>
          <w:b/>
          <w:noProof/>
          <w:u w:val="single"/>
        </w:rPr>
        <w:t>Техническа помощ, която ще се финансира, и разбивка на свързаните с нея прогнозни разходи</w:t>
      </w:r>
    </w:p>
    <w:p>
      <w:pPr>
        <w:pStyle w:val="ManualNumPar1"/>
        <w:rPr>
          <w:noProof/>
        </w:rPr>
      </w:pPr>
      <w:r>
        <w:rPr>
          <w:noProof/>
        </w:rPr>
        <w:t>1.</w:t>
      </w:r>
      <w:r>
        <w:rPr>
          <w:noProof/>
        </w:rPr>
        <w:tab/>
        <w:t>Финансовото участие ще бъде използвано за покриване на разходите, посочени в член 11, параграфи 1 и 4 и член 12, параграфи 2, 3 и 4 от Регламента за ЕФПГ. Подробна информация е представена по-долу.</w:t>
      </w:r>
    </w:p>
    <w:p>
      <w:pPr>
        <w:pStyle w:val="Text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tc>
          <w:tcPr>
            <w:tcW w:w="4786" w:type="dxa"/>
            <w:shd w:val="clear" w:color="auto" w:fill="auto"/>
          </w:tcPr>
          <w:p>
            <w:pPr>
              <w:pStyle w:val="Text1"/>
              <w:ind w:left="0"/>
              <w:jc w:val="center"/>
              <w:rPr>
                <w:b/>
                <w:noProof/>
              </w:rPr>
            </w:pPr>
            <w:r>
              <w:rPr>
                <w:b/>
                <w:noProof/>
              </w:rPr>
              <w:t>Описание</w:t>
            </w:r>
          </w:p>
        </w:tc>
        <w:tc>
          <w:tcPr>
            <w:tcW w:w="4394" w:type="dxa"/>
            <w:shd w:val="clear" w:color="auto" w:fill="auto"/>
          </w:tcPr>
          <w:p>
            <w:pPr>
              <w:pStyle w:val="Text1"/>
              <w:ind w:left="0"/>
              <w:jc w:val="center"/>
              <w:rPr>
                <w:b/>
                <w:noProof/>
              </w:rPr>
            </w:pPr>
            <w:r>
              <w:rPr>
                <w:b/>
                <w:noProof/>
              </w:rPr>
              <w:t>Общи разходи</w:t>
            </w:r>
            <w:r>
              <w:rPr>
                <w:b/>
                <w:noProof/>
              </w:rPr>
              <w:br/>
              <w:t>(EUR)</w:t>
            </w:r>
          </w:p>
        </w:tc>
      </w:tr>
      <w:tr>
        <w:tc>
          <w:tcPr>
            <w:tcW w:w="4786" w:type="dxa"/>
            <w:shd w:val="clear" w:color="auto" w:fill="auto"/>
          </w:tcPr>
          <w:p>
            <w:pPr>
              <w:pStyle w:val="Text1"/>
              <w:ind w:left="0"/>
              <w:jc w:val="left"/>
              <w:rPr>
                <w:noProof/>
              </w:rPr>
            </w:pPr>
            <w:r>
              <w:rPr>
                <w:noProof/>
              </w:rPr>
              <w:t>Административна подкрепа</w:t>
            </w:r>
          </w:p>
        </w:tc>
        <w:tc>
          <w:tcPr>
            <w:tcW w:w="4394" w:type="dxa"/>
            <w:shd w:val="clear" w:color="auto" w:fill="auto"/>
          </w:tcPr>
          <w:p>
            <w:pPr>
              <w:pStyle w:val="Text1"/>
              <w:ind w:left="0"/>
              <w:jc w:val="right"/>
              <w:rPr>
                <w:noProof/>
              </w:rPr>
            </w:pPr>
            <w:r>
              <w:rPr>
                <w:noProof/>
              </w:rPr>
              <w:t>210 000</w:t>
            </w:r>
          </w:p>
        </w:tc>
      </w:tr>
      <w:tr>
        <w:tc>
          <w:tcPr>
            <w:tcW w:w="4786" w:type="dxa"/>
            <w:shd w:val="clear" w:color="auto" w:fill="auto"/>
          </w:tcPr>
          <w:p>
            <w:pPr>
              <w:pStyle w:val="Text1"/>
              <w:ind w:left="0"/>
              <w:jc w:val="left"/>
              <w:rPr>
                <w:noProof/>
              </w:rPr>
            </w:pPr>
            <w:r>
              <w:rPr>
                <w:noProof/>
              </w:rPr>
              <w:t>Техническа подкрепа</w:t>
            </w:r>
          </w:p>
        </w:tc>
        <w:tc>
          <w:tcPr>
            <w:tcW w:w="4394" w:type="dxa"/>
            <w:shd w:val="clear" w:color="auto" w:fill="auto"/>
          </w:tcPr>
          <w:p>
            <w:pPr>
              <w:pStyle w:val="Text1"/>
              <w:ind w:left="0"/>
              <w:jc w:val="right"/>
              <w:rPr>
                <w:noProof/>
              </w:rPr>
            </w:pPr>
            <w:r>
              <w:rPr>
                <w:noProof/>
              </w:rPr>
              <w:t>135 000</w:t>
            </w:r>
          </w:p>
        </w:tc>
      </w:tr>
      <w:tr>
        <w:tc>
          <w:tcPr>
            <w:tcW w:w="4786" w:type="dxa"/>
            <w:shd w:val="clear" w:color="auto" w:fill="auto"/>
          </w:tcPr>
          <w:p>
            <w:pPr>
              <w:pStyle w:val="Text1"/>
              <w:ind w:left="0"/>
              <w:rPr>
                <w:b/>
                <w:noProof/>
              </w:rPr>
            </w:pPr>
            <w:r>
              <w:rPr>
                <w:b/>
                <w:noProof/>
              </w:rPr>
              <w:t>Общи прогнозни разходи</w:t>
            </w:r>
          </w:p>
        </w:tc>
        <w:tc>
          <w:tcPr>
            <w:tcW w:w="4394" w:type="dxa"/>
            <w:shd w:val="clear" w:color="auto" w:fill="auto"/>
          </w:tcPr>
          <w:p>
            <w:pPr>
              <w:pStyle w:val="Text1"/>
              <w:ind w:left="0"/>
              <w:jc w:val="right"/>
              <w:rPr>
                <w:b/>
                <w:noProof/>
              </w:rPr>
            </w:pPr>
            <w:r>
              <w:rPr>
                <w:b/>
                <w:noProof/>
              </w:rPr>
              <w:t xml:space="preserve">                                                 345 000</w:t>
            </w:r>
          </w:p>
        </w:tc>
      </w:tr>
    </w:tbl>
    <w:p>
      <w:pPr>
        <w:pStyle w:val="Text1"/>
        <w:rPr>
          <w:noProof/>
        </w:rPr>
      </w:pPr>
    </w:p>
    <w:p>
      <w:pPr>
        <w:pStyle w:val="ManualNumPar1"/>
        <w:rPr>
          <w:noProof/>
          <w:u w:val="single"/>
        </w:rPr>
      </w:pPr>
      <w:r>
        <w:rPr>
          <w:noProof/>
        </w:rPr>
        <w:t>2.</w:t>
      </w:r>
      <w:r>
        <w:rPr>
          <w:noProof/>
        </w:rPr>
        <w:tab/>
      </w:r>
      <w:r>
        <w:rPr>
          <w:noProof/>
          <w:u w:val="single"/>
        </w:rPr>
        <w:t>Административна подкрепа:</w:t>
      </w:r>
    </w:p>
    <w:p>
      <w:pPr>
        <w:pStyle w:val="Text1"/>
        <w:rPr>
          <w:noProof/>
        </w:rPr>
      </w:pPr>
    </w:p>
    <w:p>
      <w:pPr>
        <w:pStyle w:val="ListBullet4"/>
        <w:rPr>
          <w:noProof/>
        </w:rPr>
      </w:pPr>
      <w:r>
        <w:rPr>
          <w:noProof/>
        </w:rPr>
        <w:t>Експертната група на лицата за контакт за ЕФПГ, в която участват по двама членове от всяка държава членка, ще проведе двете си редовни заседания (през втората половина на 2020 г. и през първата половина на 2021 г.).</w:t>
      </w:r>
    </w:p>
    <w:p>
      <w:pPr>
        <w:pStyle w:val="ListBullet4"/>
        <w:rPr>
          <w:noProof/>
        </w:rPr>
      </w:pPr>
      <w:r>
        <w:rPr>
          <w:noProof/>
        </w:rPr>
        <w:lastRenderedPageBreak/>
        <w:t xml:space="preserve">За да насърчи работата в мрежа между държавите членки, Комисията ще организира два семинара с участието на изпълнителните органи по ЕФПГ и социалните партньори. Те ще бъдат насрочени за евентуално провеждане на същите дати като заседанията на експертната група. Семинарите ще бъдат съсредоточени върху последващата оценка на ЕФПГ и върху изпълнението на Регламента за ЕФПГ за периода след 2020 г. </w:t>
      </w:r>
    </w:p>
    <w:p>
      <w:pPr>
        <w:pStyle w:val="ListBullet4"/>
        <w:rPr>
          <w:noProof/>
        </w:rPr>
      </w:pPr>
      <w:r>
        <w:rPr>
          <w:noProof/>
        </w:rPr>
        <w:t>Информационни дейности. Уебсайтът на ЕФПГ</w:t>
      </w:r>
      <w:r>
        <w:rPr>
          <w:rStyle w:val="FootnoteReference"/>
          <w:noProof/>
        </w:rPr>
        <w:footnoteReference w:id="2"/>
      </w:r>
      <w:r>
        <w:rPr>
          <w:noProof/>
        </w:rPr>
        <w:t xml:space="preserve">, който Комисията създаде като част от интернет страницата, посветена на заетостта, социалните въпроси и приобщаването, и който поддържа в съответствие с изискванията по член 12, параграф 2 от Регламента за ЕФПГ, ще бъде осъвременяван редовно, като ще се добавя и нова информация, преведена на всички езици на ЕС. Широката общественост ще бъде по-добре информирана за ЕФПГ и дейността му ще се популяризира. Информация за ЕФПГ ще бъде включена в различни публикации и аудио-визуални дейности на Комисията, както е предвидено в член 11, параграф 4 от Регламента за ЕФПГ. </w:t>
      </w:r>
    </w:p>
    <w:p>
      <w:pPr>
        <w:pStyle w:val="Text1"/>
        <w:rPr>
          <w:noProof/>
        </w:rPr>
      </w:pPr>
    </w:p>
    <w:p>
      <w:pPr>
        <w:pStyle w:val="ManualNumPar1"/>
        <w:rPr>
          <w:noProof/>
        </w:rPr>
      </w:pPr>
      <w:r>
        <w:rPr>
          <w:noProof/>
        </w:rPr>
        <w:t>3.</w:t>
      </w:r>
      <w:r>
        <w:rPr>
          <w:noProof/>
        </w:rPr>
        <w:tab/>
      </w:r>
      <w:r>
        <w:rPr>
          <w:noProof/>
          <w:u w:val="single"/>
        </w:rPr>
        <w:t>Техническа подкрепа:</w:t>
      </w:r>
      <w:r>
        <w:rPr>
          <w:noProof/>
        </w:rPr>
        <w:t xml:space="preserve"> </w:t>
      </w:r>
    </w:p>
    <w:p>
      <w:pPr>
        <w:pStyle w:val="Text1"/>
        <w:rPr>
          <w:noProof/>
        </w:rPr>
      </w:pPr>
    </w:p>
    <w:p>
      <w:pPr>
        <w:pStyle w:val="ListBullet4"/>
        <w:rPr>
          <w:noProof/>
        </w:rPr>
      </w:pPr>
      <w:r>
        <w:rPr>
          <w:noProof/>
        </w:rPr>
        <w:t xml:space="preserve">Поддръжка и актуализиране на електронна система за обмен на данни. Комисията продължава работата си по въвеждането на стандартизирани процедури за управление на ЕФПГ и за обработване на заявленията по ЕФПГ, като използва функционалните възможности на общата система за споделено управление на фондове (SFC), в която ЕФПГ е в процес на интеграция. Това дава възможност за опростяване на заявленията съгласно Регламента за ЕФПГ, за по-бързото им обработване и за по-лесното генериране на различни видове отчети. Интерфейсът на SFC улеснява също така финансовите операции на ЕФПГ. </w:t>
      </w:r>
    </w:p>
    <w:p>
      <w:pPr>
        <w:pStyle w:val="ListBullet4"/>
        <w:rPr>
          <w:noProof/>
        </w:rPr>
      </w:pPr>
      <w:r>
        <w:rPr>
          <w:noProof/>
        </w:rPr>
        <w:t xml:space="preserve">Разработване на интерфейс в SFC за периода след 2020 г., което ще изисква допълнителни средства за създаването на нови функционални възможности и корекции вследствие на евентуални промени в Регламента за ЕФПГ за периода след 2020 г. </w:t>
      </w:r>
    </w:p>
    <w:p>
      <w:pPr>
        <w:pStyle w:val="ListBullet4"/>
        <w:rPr>
          <w:noProof/>
        </w:rPr>
      </w:pPr>
      <w:r>
        <w:rPr>
          <w:noProof/>
        </w:rPr>
        <w:t>Мониторинг и събиране на данни. Комисията ще събере данни за постъпилите, изплатените и приключените заявления, както и за предложените и предприетите мерки. Тези данни ще бъдат публикувани на уебсайта и ще бъдат представени в съответния формат, необходим за включването им в двугодишните доклади за 2021 г.</w:t>
      </w:r>
    </w:p>
    <w:p>
      <w:pPr>
        <w:rPr>
          <w:b/>
          <w:noProof/>
          <w:u w:val="single"/>
        </w:rPr>
      </w:pPr>
      <w:r>
        <w:rPr>
          <w:b/>
          <w:noProof/>
          <w:u w:val="single"/>
        </w:rPr>
        <w:t>Финансиране</w:t>
      </w:r>
    </w:p>
    <w:p>
      <w:pPr>
        <w:pStyle w:val="ManualNumPar1"/>
        <w:rPr>
          <w:noProof/>
        </w:rPr>
      </w:pPr>
      <w:r>
        <w:rPr>
          <w:noProof/>
        </w:rPr>
        <w:t>4.</w:t>
      </w:r>
      <w:r>
        <w:rPr>
          <w:noProof/>
        </w:rPr>
        <w:tab/>
      </w:r>
      <w:r>
        <w:rPr>
          <w:noProof/>
          <w:spacing w:val="-4"/>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spacing w:val="-4"/>
        </w:rPr>
        <w:footnoteReference w:id="3"/>
      </w:r>
      <w:r>
        <w:rPr>
          <w:noProof/>
          <w:spacing w:val="-4"/>
        </w:rPr>
        <w:t xml:space="preserve"> максималният годишен бюджет за ЕФПГ за 2020 г. е 150 милиона евро по цени от 2011 г. (179 264 000 EUR по цени от 2020 г.).</w:t>
      </w:r>
    </w:p>
    <w:p>
      <w:pPr>
        <w:pStyle w:val="ManualNumPar1"/>
        <w:rPr>
          <w:noProof/>
        </w:rPr>
      </w:pPr>
      <w:r>
        <w:rPr>
          <w:noProof/>
        </w:rPr>
        <w:t>5.</w:t>
      </w:r>
      <w:r>
        <w:rPr>
          <w:noProof/>
        </w:rPr>
        <w:tab/>
        <w:t xml:space="preserve">Съгласно член 11, параграф 1 от Регламента за ЕФПГ 0,5 % от тази сума могат да бъдат предоставени за техническа помощ по инициатива на Комисията. В момента на разположение е пълният размер на средствата за 2020 г.; все още не </w:t>
      </w:r>
      <w:r>
        <w:rPr>
          <w:noProof/>
        </w:rPr>
        <w:lastRenderedPageBreak/>
        <w:t>са разпределени суми за техническа помощ. Предложената сума представлява 0,19 % от максималния годишен бюджет, предвиден за ЕФПГ за 2020 г.</w:t>
      </w:r>
    </w:p>
    <w:p>
      <w:pPr>
        <w:pStyle w:val="ManualNumPar1"/>
        <w:rPr>
          <w:noProof/>
        </w:rPr>
      </w:pPr>
      <w:r>
        <w:rPr>
          <w:noProof/>
        </w:rPr>
        <w:t>6.</w:t>
      </w:r>
      <w:r>
        <w:rPr>
          <w:noProof/>
        </w:rPr>
        <w:tab/>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w:t>
      </w:r>
    </w:p>
    <w:p>
      <w:pPr>
        <w:pStyle w:val="Text1"/>
        <w:rPr>
          <w:noProof/>
        </w:rPr>
      </w:pPr>
    </w:p>
    <w:p>
      <w:pPr>
        <w:rPr>
          <w:b/>
          <w:noProof/>
          <w:u w:val="single"/>
        </w:rPr>
      </w:pPr>
      <w:r>
        <w:rPr>
          <w:b/>
          <w:noProof/>
          <w:u w:val="single"/>
        </w:rPr>
        <w:t>Свързани актове</w:t>
      </w:r>
    </w:p>
    <w:p>
      <w:pPr>
        <w:pStyle w:val="ManualNumPar1"/>
        <w:rPr>
          <w:noProof/>
        </w:rPr>
      </w:pPr>
      <w:r>
        <w:rPr>
          <w:noProof/>
        </w:rPr>
        <w:t>7.</w:t>
      </w:r>
      <w:r>
        <w:rPr>
          <w:noProof/>
        </w:rPr>
        <w:tab/>
        <w:t>Едновременно с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345 000 EUR към съответния бюджетен ред.</w:t>
      </w:r>
    </w:p>
    <w:p>
      <w:pPr>
        <w:rPr>
          <w:noProof/>
        </w:rPr>
      </w:pPr>
      <w:r>
        <w:rPr>
          <w:b/>
          <w:noProof/>
          <w:u w:val="single"/>
        </w:rPr>
        <w:t>Източник на бюджетните кредити за плащания</w:t>
      </w:r>
    </w:p>
    <w:p>
      <w:pPr>
        <w:pStyle w:val="ManualNumPar1"/>
        <w:rPr>
          <w:noProof/>
        </w:rPr>
      </w:pPr>
      <w:r>
        <w:rPr>
          <w:noProof/>
        </w:rPr>
        <w:t>8.</w:t>
      </w:r>
      <w:r>
        <w:rPr>
          <w:noProof/>
        </w:rPr>
        <w:tab/>
        <w:t>За осигуряване на сумата от 345 000 EUR, необходима за техническа помощ, ще се използват бюджетни кредити от бюджетния ред за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(EGF/2020/000 TA 2020 — Техническа помощ по инициатива на Комисията)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5"/>
      </w:r>
      <w:r>
        <w:rPr>
          <w:noProof/>
        </w:rPr>
        <w:t>, и по-специално член 11, параграф 2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6"/>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rPr>
          <w:noProof/>
        </w:rPr>
        <w:t>(1)</w:t>
      </w:r>
      <w:r>
        <w:rPr>
          <w:noProof/>
        </w:rPr>
        <w:tab/>
        <w:t>Европейският фонд за приспособяване към глобализацията (ЕФПГ) цели оказване на подкрепа на съкратени работници и самостоятелно заети лица, чиято дейност е била прекратена в резултат на големи структурни промени в моделите на световната търговия, произтичащи от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подпомагане на повторната им интеграция на пазара на труда.</w:t>
      </w:r>
    </w:p>
    <w:p>
      <w:pPr>
        <w:pStyle w:val="ManualConsidrant"/>
        <w:rPr>
          <w:noProof/>
        </w:rPr>
      </w:pPr>
      <w:r>
        <w:rPr>
          <w:noProof/>
        </w:rPr>
        <w:t>(2)</w:t>
      </w:r>
      <w:r>
        <w:rPr>
          <w:noProof/>
        </w:rPr>
        <w:tab/>
        <w:t>В съответствие с предвиденото в член 12 от Регламент (ЕС, Евратом) № 1311/2013 на Съвета</w:t>
      </w:r>
      <w:r>
        <w:rPr>
          <w:rStyle w:val="FootnoteReference"/>
          <w:noProof/>
        </w:rPr>
        <w:footnoteReference w:id="7"/>
      </w:r>
      <w:r>
        <w:rPr>
          <w:noProof/>
        </w:rPr>
        <w:t xml:space="preserve"> ЕФПГ не може да надхвърля максимален годишен размер от 150 милиона евро (по цени от 2011 г.).</w:t>
      </w:r>
    </w:p>
    <w:p>
      <w:pPr>
        <w:pStyle w:val="ManualConsidrant"/>
        <w:rPr>
          <w:noProof/>
        </w:rPr>
      </w:pPr>
      <w:r>
        <w:rPr>
          <w:noProof/>
        </w:rPr>
        <w:t>(3)</w:t>
      </w:r>
      <w:r>
        <w:rPr>
          <w:noProof/>
        </w:rPr>
        <w:tab/>
        <w:t>В Регламент (ЕС) № 1309/2013 е посочено, че по инициатива на Комисията всяка година за техническа помощ могат да бъдат използвани най-много 0,5 % от максималния годишен размер на средствата от ЕФПГ.</w:t>
      </w:r>
    </w:p>
    <w:p>
      <w:pPr>
        <w:pStyle w:val="ManualConsidrant"/>
        <w:rPr>
          <w:noProof/>
        </w:rPr>
      </w:pPr>
      <w:r>
        <w:rPr>
          <w:noProof/>
        </w:rPr>
        <w:t>(4)</w:t>
      </w:r>
      <w:r>
        <w:rPr>
          <w:noProof/>
        </w:rPr>
        <w:tab/>
        <w:t>Поради това следва да бъдат мобилизирани средства от ЕФПГ за предоставяне на сума в размер на 345 000 EUR за техническа помощ по инициатива на Комисията.</w:t>
      </w:r>
    </w:p>
    <w:p>
      <w:pPr>
        <w:pStyle w:val="ManualConsidrant"/>
        <w:rPr>
          <w:noProof/>
        </w:rPr>
      </w:pPr>
      <w:r>
        <w:rPr>
          <w:noProof/>
        </w:rPr>
        <w:t>(5)</w:t>
      </w:r>
      <w:r>
        <w:rPr>
          <w:noProof/>
        </w:rPr>
        <w:tab/>
        <w:t xml:space="preserve">За да се сведе до минимум времето за мобилизиране на средствата от ЕФПГ, настоящото решение следва да се прилага от датата на приемането му, </w:t>
      </w:r>
    </w:p>
    <w:p>
      <w:pPr>
        <w:pStyle w:val="Formuledadoption"/>
        <w:rPr>
          <w:noProof/>
        </w:rPr>
      </w:pPr>
      <w:r>
        <w:rPr>
          <w:noProof/>
        </w:rPr>
        <w:lastRenderedPageBreak/>
        <w:t>ПРИЕХА НАСТОЯЩОТО РЕШЕНИЕ:</w:t>
      </w:r>
    </w:p>
    <w:p>
      <w:pPr>
        <w:pStyle w:val="Titrearticle"/>
        <w:rPr>
          <w:noProof/>
        </w:rPr>
      </w:pPr>
      <w:r>
        <w:rPr>
          <w:noProof/>
        </w:rPr>
        <w:t>Член 1</w:t>
      </w:r>
    </w:p>
    <w:p>
      <w:pPr>
        <w:rPr>
          <w:noProof/>
        </w:rPr>
      </w:pPr>
      <w:r>
        <w:rPr>
          <w:noProof/>
        </w:rPr>
        <w:t>В рамките на общия бюджет на Съюза за финансовата 2020 година от Европейския фонд за приспособяване към глобализацията се мобилизират средства за предоставяне на сумата от 345 000 EUR под формата на бюджетни кредити за поети задължения и бюджетни кредити за плащания.</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iCs/>
          <w:noProof/>
        </w:rPr>
        <w:t>Официален вестник на Европейския съюз</w:t>
      </w:r>
      <w:r>
        <w:rPr>
          <w:noProof/>
        </w:rPr>
        <w:t xml:space="preserve">. То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8"/>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r>
      <w:hyperlink r:id="rId1" w:history="1">
        <w:r>
          <w:rPr>
            <w:rStyle w:val="Hyperlink"/>
          </w:rPr>
          <w:t>http://ec.europa.eu/egf</w:t>
        </w:r>
      </w:hyperlink>
      <w:r>
        <w:t xml:space="preserve"> </w:t>
      </w:r>
    </w:p>
  </w:footnote>
  <w:footnote w:id="3">
    <w:p>
      <w:pPr>
        <w:pStyle w:val="FootnoteText"/>
      </w:pPr>
      <w:r>
        <w:rPr>
          <w:rStyle w:val="FootnoteReference"/>
        </w:rPr>
        <w:footnoteRef/>
      </w:r>
      <w:r>
        <w:tab/>
        <w:t>ОВ L 347, 20.12.2013 г., стр. 884.</w:t>
      </w:r>
    </w:p>
  </w:footnote>
  <w:footnote w:id="4">
    <w:p>
      <w:pPr>
        <w:pStyle w:val="FootnoteText"/>
      </w:pPr>
      <w:r>
        <w:rPr>
          <w:rStyle w:val="FootnoteReference"/>
        </w:rPr>
        <w:footnoteRef/>
      </w:r>
      <w:r>
        <w:tab/>
        <w:t>ОВ С 373, 20.12.2013 г., стр. 1.</w:t>
      </w:r>
    </w:p>
  </w:footnote>
  <w:footnote w:id="5">
    <w:p>
      <w:pPr>
        <w:pStyle w:val="FootnoteText"/>
      </w:pPr>
      <w:r>
        <w:rPr>
          <w:rStyle w:val="FootnoteReference"/>
        </w:rPr>
        <w:footnoteRef/>
      </w:r>
      <w:r>
        <w:tab/>
        <w:t>ОВ L 347, 20.12.2013 г., стр. 855.</w:t>
      </w:r>
    </w:p>
  </w:footnote>
  <w:footnote w:id="6">
    <w:p>
      <w:pPr>
        <w:pStyle w:val="FootnoteText"/>
      </w:pPr>
      <w:r>
        <w:rPr>
          <w:rStyle w:val="FootnoteReference"/>
        </w:rPr>
        <w:footnoteRef/>
      </w:r>
      <w:r>
        <w:tab/>
        <w:t>ОВ С 373, 20.12.2013 г., стр. 1.</w:t>
      </w:r>
    </w:p>
  </w:footnote>
  <w:footnote w:id="7">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8">
    <w:p>
      <w:pPr>
        <w:pStyle w:val="FootnoteText"/>
        <w:rPr>
          <w:color w:val="FF0000"/>
        </w:rPr>
      </w:pPr>
      <w:r>
        <w:rPr>
          <w:rStyle w:val="FootnoteReference"/>
          <w:color w:val="FF0000"/>
        </w:rPr>
        <w:sym w:font="Symbol" w:char="F02A"/>
      </w:r>
      <w:r>
        <w:rPr>
          <w:color w:val="FF0000"/>
        </w:rPr>
        <w:t xml:space="preserve"> </w:t>
      </w:r>
      <w:r>
        <w:rPr>
          <w:color w:val="FF0000"/>
        </w:rPr>
        <w:tab/>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70B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FEC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22D1A0"/>
    <w:name w:val="0,078529"/>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C245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4C9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45B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425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2C06F5"/>
    <w:multiLevelType w:val="hybridMultilevel"/>
    <w:tmpl w:val="4454C12E"/>
    <w:styleLink w:val="ImportedStyle3"/>
    <w:lvl w:ilvl="0" w:tplc="A2C6222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EDCFAD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5605B4">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065419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BC24CEE">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D722EAB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0403EF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6F4732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2C2BD9E">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6 09:05:50"/>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2A2DC0-0A81-4072-A321-D31F8EFAAC11"/>
    <w:docVar w:name="LW_COVERPAGE_TYPE" w:val="1"/>
    <w:docVar w:name="LW_CROSSREFERENCE" w:val="&lt;UNUSED&gt;"/>
    <w:docVar w:name="LW_DocType" w:val="COM"/>
    <w:docVar w:name="LW_EMISSION" w:val="16.4.2020"/>
    <w:docVar w:name="LW_EMISSION_ISODATE" w:val="2020-04-16"/>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EGF/2020/000 TA 2020 \u8212? \u1058?\u1077?\u1093?\u1085?\u1080?\u1095?\u1077?\u1089?\u1082?\u1072? \u1087?\u1086?\u1084?\u1086?\u1097? \u1087?\u1086? \u1080?\u1085?\u1080?\u1094?\u1080?\u1072?\u1090?\u1080?\u1074?\u1072? \u1085?\u1072? \u1050?\u1086?\u1084?\u1080?\u1089?\u1080?\u1103?\u1090?\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B3D1-2F8C-49D7-A732-B5FC89B2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1208</Words>
  <Characters>6684</Characters>
  <Application>Microsoft Office Word</Application>
  <DocSecurity>0</DocSecurity>
  <Lines>155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2020-02-12T16:32:00Z</cp:lastPrinted>
  <dcterms:created xsi:type="dcterms:W3CDTF">2020-04-02T13:20:00Z</dcterms:created>
  <dcterms:modified xsi:type="dcterms:W3CDTF">2020-04-06T07:05:00Z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