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AD1C22CA-490B-4E5E-A3DB-B10399FF7296" style="width:450.75pt;height:333.75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ВКЛЮЧВАНЕ НА РЕПУБЛИКА СЕВЕРНА МАКЕДОНИЯ В СТРАТЕГИЯТА НА ЕС ЗА РЕГИОНА НА АДРИАТИЧЕСКО И ЙОНИЙСКО МОРЕ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Calibri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</w:rPr>
        <w:t>Въведение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В отговор на отправеното през декември 2012 г. искане на Европейския съвет Комисията да представи стратегия на ЕС за региона на Адриатическо и Йонийско море (EUSAIR) до края на 2014 г., същата прие съобщение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</w:t>
      </w:r>
      <w:r>
        <w:rPr>
          <w:rFonts w:ascii="Times New Roman" w:hAnsi="Times New Roman"/>
          <w:noProof/>
        </w:rPr>
        <w:t>въз основа на обширни консултации, по време на които събра становищата на заинтересованите страни.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Впоследствие Европейският съвет одобри EUSAIR в Заключенията си от 24 октомври 2014 г.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2"/>
      </w:r>
      <w:r>
        <w:rPr>
          <w:rFonts w:ascii="Times New Roman" w:hAnsi="Times New Roman"/>
          <w:noProof/>
        </w:rPr>
        <w:t xml:space="preserve"> и „призова всички участващи в стратегията страни незабавно да преминат към нейното изпълнение“.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Водещата цел на EUSAIR е да насърчава устойчивия икономически и социален просперитет в региона чрез растеж и създаване на работни места и чрез подобряване на неговата привлекателност, конкурентоспособност и възможности за осъществяване на връзки, като същевременно се опазва околната среда и се гарантира наличието на балансирани и здрави морски и крайбрежни екосистеми.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EUSAIR се прилага, наред с другото, чрез мобилизиране и съгласуване на съществуващо европейско и национално финансиране, което има отношение към четирите стълба и избраните теми. С одобряването на EUSAIR правителствата на участващите държави (четири държави — членки на ЕС — Хърватия, Гърция, Италия и Словения, както и четири държави от Западните Балкани — Албания, Босна и Херцеговина, Черна гора и Сърбия) се ангажираха да изпълнят Плана за действие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3"/>
      </w:r>
      <w:r>
        <w:rPr>
          <w:rFonts w:ascii="Times New Roman" w:hAnsi="Times New Roman"/>
          <w:noProof/>
        </w:rPr>
        <w:t xml:space="preserve"> с подходящо финансиране.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Тъй като EUSAIR остава отворена за други партньори в региона, участниците в министерската среща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4"/>
      </w:r>
      <w:r>
        <w:rPr>
          <w:rFonts w:ascii="Times New Roman" w:hAnsi="Times New Roman"/>
          <w:noProof/>
        </w:rPr>
        <w:t xml:space="preserve"> на Адриатическо-Йонийския съвет/EUSAIR от 24 май 2018 г. приеха в Декларацията си от Катания искането, представено от Северна Македония, да стане деветата участваща държава в Адриатическо-йонийската инициатива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5"/>
      </w:r>
      <w:r>
        <w:rPr>
          <w:rFonts w:ascii="Times New Roman" w:hAnsi="Times New Roman"/>
          <w:noProof/>
        </w:rPr>
        <w:t xml:space="preserve"> и приканиха Съвета на Европейския съюз и Европейската комисия да предприемат всички необходими стъпки за включването ѝ в EUSAIR. На 5 октомври 2018 г. четирите държави — членки на ЕС, участващи в EUSAIR, изпратиха писмо до австрийското председателство на Съвета и до Комисията в подкрепа на това искане.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В Заключенията си от 9 април 2019 г. Съветът на Европейския съюз приветства и прие искането на държавите, участващи в EUSAIR, за включването на Северна Македония и прикани Комисията „да предприеме необходимите стъпки за включването на Северна Македония в EUSAIR и да представи изменената в съответствие с това стратегия на Съвета“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6"/>
      </w:r>
      <w:r>
        <w:rPr>
          <w:rFonts w:ascii="Times New Roman" w:hAnsi="Times New Roman"/>
          <w:noProof/>
        </w:rPr>
        <w:t>.</w:t>
      </w:r>
    </w:p>
    <w:p>
      <w:pPr>
        <w:rPr>
          <w:rFonts w:ascii="Times New Roman" w:eastAsia="Calibri" w:hAnsi="Times New Roman" w:cs="Times New Roman"/>
          <w:b/>
          <w:smallCaps/>
          <w:noProof/>
          <w:sz w:val="24"/>
          <w:szCs w:val="24"/>
        </w:rPr>
      </w:pPr>
      <w:r>
        <w:rPr>
          <w:noProof/>
        </w:rPr>
        <w:br w:type="page"/>
      </w:r>
    </w:p>
    <w:p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Calibri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</w:rPr>
        <w:t xml:space="preserve">Включване на Северна Македония в EUSAIR </w:t>
      </w:r>
    </w:p>
    <w:p>
      <w:pPr>
        <w:keepNext/>
        <w:numPr>
          <w:ilvl w:val="0"/>
          <w:numId w:val="2"/>
        </w:numPr>
        <w:spacing w:before="120" w:after="120" w:line="240" w:lineRule="auto"/>
        <w:jc w:val="both"/>
        <w:outlineLvl w:val="1"/>
        <w:rPr>
          <w:rFonts w:ascii="Times New Roman" w:eastAsia="Calibri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</w:rPr>
        <w:t>Политическа воля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През юни 2018 г., под егидата на Организацията на обединените нации, Атина и Скопие подписаха споразумение по въпроса за името, което доведе до приключването на дългогодишните дискусии. Преспанското споразумение влезе в сила през февруари 2019 г. и беше горещо приветствано от Европейския съюз. Това споразумение представлява значително постижение, с което се дава положителен пример за региона и за света като цяло.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Включването на Северна Македония в EUSAIR допринася за политиката на разширяване на ЕС в Западните Балкани и за регионалното сътрудничество и добросъседските отношения. Това разширено сътрудничество позволява на участващите държави заедно да планират и програмират действия и операции във всички приоритетни области (стълбове) на EUSAIR, като същевременно дава възможност за участие на държава, която географски и исторически е част от региона на Адриатическо и Йонийско море.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Освен че допринася за растежа, заетостта и развитието, EUSAIR способства за утвърждаването на европейските ценности в Западните Балкани, като в същото време включва региона в обсега на съответните политики на ЕС, затвърждавайки по този начин преобразяващата сила на ЕС. Всички действия в рамките на EUSAIR следва да затвърждават Приоритетната програма, одобрена от лидерите на ЕС и Западните Балкани по време на срещата на върха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7"/>
      </w:r>
      <w:r>
        <w:rPr>
          <w:rFonts w:ascii="Times New Roman" w:hAnsi="Times New Roman"/>
          <w:noProof/>
        </w:rPr>
        <w:t xml:space="preserve"> между ЕС и Западните Балкани от 2018 г. С Декларацията от София се потвърждава ангажиментът на ЕС спрямо региона и се очертават приоритетите и областите на засилено съвместно сътрудничество, като конкретно се посочват предизвикателствата, пред които са изправени Западните Балкани. Особено важна за EUSAIR сред тях е подкрепата за социално-икономическото развитие, устойчиво и щадящо климата общество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8"/>
      </w:r>
      <w:r>
        <w:rPr>
          <w:rFonts w:ascii="Times New Roman" w:hAnsi="Times New Roman"/>
          <w:noProof/>
        </w:rPr>
        <w:t xml:space="preserve">, по-голяма свързаност (в области като енергетика и транспорт), както и за по-добри съседски отношения. </w:t>
      </w:r>
    </w:p>
    <w:p>
      <w:pPr>
        <w:keepNext/>
        <w:numPr>
          <w:ilvl w:val="0"/>
          <w:numId w:val="2"/>
        </w:numPr>
        <w:spacing w:before="120" w:after="120" w:line="240" w:lineRule="auto"/>
        <w:jc w:val="both"/>
        <w:outlineLvl w:val="1"/>
        <w:rPr>
          <w:rFonts w:ascii="Times New Roman" w:eastAsia="Calibri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</w:rPr>
        <w:t>Участие на Северна Македония в EUSAIR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В настоящото допълнение към съобщението на Комисията относно EUSAIR, наред с актуализирания план за действие, се определят ролите и отговорностите на Северна Македония при многостепенното управление на EUSAIR, както и отношенията ѝ с другите участващи държави.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За Северна Македония участието в EUSAIR предполага сътрудничество и координация с други държави от региона при планирането на националното финансиране и финансирането от ЕС (инструмент за предприсъединителна помощ (ИПП), европейско териториално сътрудничество (ЕТС) и други налични източници на финансиране за изпълнението на Плана за действие на EUSAIR.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С включването ѝ в EUSAIR Северна Македония ще участва във всички структури за управление на EUSAIR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9"/>
      </w:r>
      <w:r>
        <w:rPr>
          <w:rFonts w:ascii="Times New Roman" w:hAnsi="Times New Roman"/>
          <w:noProof/>
        </w:rPr>
        <w:t xml:space="preserve">, с координираща роля по отношение на стълб 2 (Свързване на региона), заедно с Италия и Сърбия, като целта е да се развият взаимосвързани и устойчиви транспортни и енергийни мрежи в региона.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За да се гарантира съгласуваност с политиките на ЕС в областта на транспорта и енергетиката, са необходими координация и сътрудничество между EUSAIR и Транспортната общност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10"/>
      </w:r>
      <w:r>
        <w:rPr>
          <w:rFonts w:ascii="Times New Roman" w:hAnsi="Times New Roman"/>
          <w:noProof/>
        </w:rPr>
        <w:t>, както и Енергийната общност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11"/>
      </w:r>
      <w:r>
        <w:rPr>
          <w:rFonts w:ascii="Times New Roman" w:hAnsi="Times New Roman"/>
          <w:noProof/>
        </w:rPr>
        <w:t>.</w:t>
      </w:r>
    </w:p>
    <w:p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Calibri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</w:rPr>
        <w:t>Заключения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Включването на Северна Македония в EUSAIR ще засили сътрудничеството в региона на Адриатическо и Йонийско море. Участието на Северна Македония ще укрепи партньорството в рамките на EUSAIR и ще задълбочи връзките между морския басейн и вътрешността. Действията и проектите в рамките на EUSAIR ще бъдат подпомогнати чрез по-широкото регионално сътрудничество и ще улеснят функционалната интеграция в области като опазването на околната среда, транспортните и енергийните връзки, в които реални резултати могат да бъдат постигнати само с общ подход за справяне с предизвикателствата и използване на възможностите. Участието в EUSAIR, в условия на равнопоставеност с всички участващи държави, включително държави — членки на ЕС, ще позволи на Северна Македония да се запознае по-добре с управленските механизми на една макрорегионална стратегия на ЕС, като същевременно задълбочи своя опит в прилагането на политиките на ЕС.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Приложена е нова карта на стратегията на ЕС за региона на Адриатическо и Йонийско море.</w:t>
      </w:r>
    </w:p>
    <w:p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mallCaps/>
          <w:noProof/>
          <w:sz w:val="24"/>
        </w:rPr>
      </w:pPr>
      <w:r>
        <w:rPr>
          <w:rFonts w:ascii="Times New Roman" w:hAnsi="Times New Roman"/>
          <w:b/>
          <w:bCs/>
          <w:smallCaps/>
          <w:noProof/>
        </w:rPr>
        <w:t>Карта на стратегията на ЕС за региона на Адриатическо и Йонийско море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mallCaps/>
          <w:noProof/>
          <w:sz w:val="24"/>
        </w:rPr>
      </w:pP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60720" cy="4087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89013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</w:rPr>
        <w:t>COM(2014) 357 final, 17.6.2014 г.</w:t>
      </w:r>
    </w:p>
  </w:footnote>
  <w:footnote w:id="2">
    <w:p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  <w:t>Заключения на Европейския съвет (23—24 октомври 2014 г.) EUCO 169/14.</w:t>
      </w:r>
    </w:p>
  </w:footnote>
  <w:footnote w:id="3">
    <w:p>
      <w:pPr>
        <w:pStyle w:val="FootnoteText"/>
        <w:ind w:left="567" w:hanging="567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  <w:t>SWD(2014) 190 final. В Плана за действие са набелязани конкретни приоритети за макрорегиона, позволяващи стратегията да заработи на практика.</w:t>
      </w:r>
    </w:p>
  </w:footnote>
  <w:footnote w:id="4">
    <w:p>
      <w:pPr>
        <w:pStyle w:val="FootnoteText"/>
        <w:ind w:left="567" w:hanging="567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  <w:t>След първия годишен форум на EUSAIR (Дубровник, 2—13 май 2016 г.) , представителството на политическо ниво, в лицето на министрите на външните работи и органите за управление на фондовете на ЕС  в участващите в EUSAIR и Адриатическо-йонийската инициатива държави, беше слято в т.нар. „министерска среща на Адриатическо-Йонийския съвет/EUSAIR“.</w:t>
      </w:r>
    </w:p>
  </w:footnote>
  <w:footnote w:id="5">
    <w:p>
      <w:pPr>
        <w:pStyle w:val="FootnoteText"/>
        <w:ind w:left="567" w:hanging="567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  <w:t>Началото на междуправителствената Адриатическо-йонийска инициатива беше поставено през 2000 г. с цел укрепване на регионалното сътрудничество и насърчаване на политическата и икономическата стабилност, като по този начин се създаде стабилна основа за процеса на европейска интеграция.</w:t>
      </w:r>
    </w:p>
  </w:footnote>
  <w:footnote w:id="6">
    <w:p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</w:r>
      <w:hyperlink r:id="rId1" w:history="1">
        <w:r>
          <w:rPr>
            <w:rStyle w:val="Hyperlink"/>
            <w:rFonts w:ascii="Times New Roman" w:hAnsi="Times New Roman"/>
          </w:rPr>
          <w:t>Съвет по общи въпроси, 9.4.2019 г.</w:t>
        </w:r>
      </w:hyperlink>
      <w:r>
        <w:rPr>
          <w:rFonts w:ascii="Times New Roman" w:hAnsi="Times New Roman"/>
        </w:rPr>
        <w:t xml:space="preserve"> </w:t>
      </w:r>
    </w:p>
  </w:footnote>
  <w:footnote w:id="7">
    <w:p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</w:r>
      <w:hyperlink r:id="rId2" w:history="1">
        <w:r>
          <w:rPr>
            <w:rStyle w:val="Hyperlink"/>
            <w:rFonts w:ascii="Times New Roman" w:hAnsi="Times New Roman"/>
          </w:rPr>
          <w:t>Декларация от София, 17 май 2018 г.</w:t>
        </w:r>
      </w:hyperlink>
      <w:r>
        <w:rPr>
          <w:rFonts w:ascii="Times New Roman" w:hAnsi="Times New Roman"/>
        </w:rPr>
        <w:t xml:space="preserve"> </w:t>
      </w:r>
    </w:p>
  </w:footnote>
  <w:footnote w:id="8">
    <w:p>
      <w:pPr>
        <w:pStyle w:val="FootnoteText"/>
        <w:ind w:left="567" w:hanging="567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  <w:t>В съответствие със Зелената програма за Западните Балкани (и свързания с нея план за действие), която се очаква да бъде приета през май 2020 г. и в рамките на която Северна Македония си сътрудничи със съседните държави, които вече участват в EUSAIR.</w:t>
      </w:r>
    </w:p>
  </w:footnote>
  <w:footnote w:id="9">
    <w:p>
      <w:pPr>
        <w:pStyle w:val="FootnoteText"/>
        <w:ind w:left="567" w:hanging="567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  <w:t xml:space="preserve">Политическо равнище (срещи на равнище министри), координационно равнище (управителен съвет на EUSAIR), оперативно равнище (тематични групи за управление). </w:t>
      </w:r>
    </w:p>
  </w:footnote>
  <w:footnote w:id="10">
    <w:p>
      <w:pPr>
        <w:pStyle w:val="FootnoteText"/>
        <w:ind w:left="567" w:hanging="567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  <w:t xml:space="preserve">Транспортната общност е международна организация, която обединява ЕС, представляван от Европейската комисия, и страните от Югоизточна Европа (Албания, Босна и Херцеговина, Косово*, Черна гора, Северна Македония и Сърбия) за целите на развитието на транспортната мрежа между Европейския съюз и страните от Югоизточна Европа. </w:t>
      </w:r>
    </w:p>
  </w:footnote>
  <w:footnote w:id="11">
    <w:p>
      <w:pPr>
        <w:pStyle w:val="FootnoteText"/>
        <w:ind w:left="567" w:hanging="567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ab/>
        <w:t>Енергийната общност е международна организация, която обединява ЕС, представляван от Европейската комисия, и неговите съседи (Албания, Босна и Херцеговина, Грузия, Косово*, Молдова, Черна гора, Северна Македония, Сърбия и Украйна) за целите на създаването на интергриран общоевропейски енергиен пазар.</w:t>
      </w:r>
    </w:p>
    <w:p>
      <w:pPr>
        <w:pStyle w:val="FootnoteText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ab/>
        <w:t>Това название не засяга позициите по отношение на статута и е съобразено с Резолюция 1244/1999 на Съвета за сигурност на ООН и становището на Международния съд относно обявяването на независимост от страна на Косово.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7DEB"/>
    <w:multiLevelType w:val="hybridMultilevel"/>
    <w:tmpl w:val="FBE4E71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D6DED"/>
    <w:multiLevelType w:val="hybridMultilevel"/>
    <w:tmpl w:val="C9BE3946"/>
    <w:lvl w:ilvl="0" w:tplc="080C000F">
      <w:start w:val="1"/>
      <w:numFmt w:val="decimal"/>
      <w:lvlText w:val="%1."/>
      <w:lvlJc w:val="left"/>
      <w:pPr>
        <w:ind w:left="1146" w:hanging="360"/>
      </w:pPr>
    </w:lvl>
    <w:lvl w:ilvl="1" w:tplc="080C0019">
      <w:start w:val="1"/>
      <w:numFmt w:val="lowerLetter"/>
      <w:lvlText w:val="%2."/>
      <w:lvlJc w:val="left"/>
      <w:pPr>
        <w:ind w:left="1866" w:hanging="360"/>
      </w:pPr>
    </w:lvl>
    <w:lvl w:ilvl="2" w:tplc="080C001B">
      <w:start w:val="1"/>
      <w:numFmt w:val="lowerRoman"/>
      <w:lvlText w:val="%3."/>
      <w:lvlJc w:val="right"/>
      <w:pPr>
        <w:ind w:left="2586" w:hanging="180"/>
      </w:pPr>
    </w:lvl>
    <w:lvl w:ilvl="3" w:tplc="080C000F">
      <w:start w:val="1"/>
      <w:numFmt w:val="decimal"/>
      <w:lvlText w:val="%4."/>
      <w:lvlJc w:val="left"/>
      <w:pPr>
        <w:ind w:left="3306" w:hanging="360"/>
      </w:pPr>
    </w:lvl>
    <w:lvl w:ilvl="4" w:tplc="080C0019">
      <w:start w:val="1"/>
      <w:numFmt w:val="lowerLetter"/>
      <w:lvlText w:val="%5."/>
      <w:lvlJc w:val="left"/>
      <w:pPr>
        <w:ind w:left="4026" w:hanging="360"/>
      </w:pPr>
    </w:lvl>
    <w:lvl w:ilvl="5" w:tplc="080C001B">
      <w:start w:val="1"/>
      <w:numFmt w:val="lowerRoman"/>
      <w:lvlText w:val="%6."/>
      <w:lvlJc w:val="right"/>
      <w:pPr>
        <w:ind w:left="4746" w:hanging="180"/>
      </w:pPr>
    </w:lvl>
    <w:lvl w:ilvl="6" w:tplc="080C000F">
      <w:start w:val="1"/>
      <w:numFmt w:val="decimal"/>
      <w:lvlText w:val="%7."/>
      <w:lvlJc w:val="left"/>
      <w:pPr>
        <w:ind w:left="5466" w:hanging="360"/>
      </w:pPr>
    </w:lvl>
    <w:lvl w:ilvl="7" w:tplc="080C0019">
      <w:start w:val="1"/>
      <w:numFmt w:val="lowerLetter"/>
      <w:lvlText w:val="%8."/>
      <w:lvlJc w:val="left"/>
      <w:pPr>
        <w:ind w:left="6186" w:hanging="360"/>
      </w:pPr>
    </w:lvl>
    <w:lvl w:ilvl="8" w:tplc="080C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AD1C22CA-490B-4E5E-A3DB-B10399FF7296"/>
    <w:docVar w:name="LW_COVERPAGE_TYPE" w:val="1"/>
    <w:docVar w:name="LW_CROSSREFERENCE" w:val="{SWD(2020) 57 final}"/>
    <w:docVar w:name="LW_DocType" w:val="NORMAL"/>
    <w:docVar w:name="LW_EMISSION" w:val="2.4.2020"/>
    <w:docVar w:name="LW_EMISSION_ISODATE" w:val="2020-04-02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13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Font=Calibri Cyr&gt;\u1086?\u1090?\u1085?\u1086?\u1089?\u1085?\u1086? \u1089?\u1090?\u1088?\u1072?\u1090?\u1077?\u1075?\u1080?\u1103?\u1090?\u1072? \u1085?\u1072? \u1045?\u1074?\u1088?\u1086?\u1087?\u1077?\u1081?\u1089?\u1082?\u1080?\u1103? \u1089?\u1098?\u1102?\u1079? \u1079?\u1072? \u1088?\u1077?\u1075?\u1080?\u1086?\u1085?\u1072? \u1085?\u1072? \u1040?\u1076?\u1088?\u1080?\u1072?\u1090?\u1080?\u1095?\u1077?\u1089?\u1082?\u1086? \u1080? \u1049?\u1086?\u1085?\u1080?\u1081?\u1089?\u1082?\u1086? \u1084?\u1086?\u1088?\u1077?&lt;/FMT&gt;"/>
    <w:docVar w:name="LW_TYPE.DOC.CP" w:val="\u1044?\u1086?\u1087?\u1098?\u1083?\u1085?\u1077?\u1085?\u1080?\u1077? \u1082?\u1098?\u1084? \u1057?\u1098?\u1086?\u1073?\u1097?\u1077?\u1085?\u1080?\u1077?\u1090?\u1086? \u1085?\u1072? \u1050?\u1086?\u1084?\u1080?\u1089?\u1080?\u1103?\u1090?\u1072? \u1076?\u1086? \u1045?\u1074?\u1088?\u1086?\u1087?\u1077?\u1081?\u1089?\u1082?\u1080?\u1103? \u1087?\u1072?\u1088?\u1083?\u1072?\u1084?\u1077?\u1085?\u1090?, \u1057?\u1098?\u1074?\u1077?\u1090?\u1072?, \u1045?\u1074?\u1088?\u1086?\u1087?\u1077?\u1081?\u1089?\u1082?\u1080?\u1103? \u1080?\u1082?\u1086?\u1085?\u1086?\u1084?\u1080?\u1095?\u1077?\u1089?\u1082?\u1080? \u1080? \u1089?\u1086?\u1094?\u1080?\u1072?\u1083?\u1077?\u1085? \u1082?\u1086?\u1084?\u1080?\u1090?\u1077?\u1090? \u1080? \u1050?\u1086?\u1084?\u1080?\u1090?\u1077?\u1090?\u1072? \u1085?\u1072? \u1088?\u1077?\u1075?\u1080?\u1086?\u1085?\u1080?\u1090?\u1077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Voetnootverwijzing,Times 10 Point,Exposant 3 Point,number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Voetnootverwijzing,Times 10 Point,Exposant 3 Point,number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ilium.europa.eu/media/34777/sofia-declaration_bg.pdf" TargetMode="External"/><Relationship Id="rId1" Type="http://schemas.openxmlformats.org/officeDocument/2006/relationships/hyperlink" Target="https://data.consilium.europa.eu/doc/document/ST-9896-2019-INIT/bg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7E8A-02EA-4154-A583-362F1A46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954</Words>
  <Characters>5594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20</cp:revision>
  <cp:lastPrinted>2020-03-02T14:50:00Z</cp:lastPrinted>
  <dcterms:created xsi:type="dcterms:W3CDTF">2020-03-02T14:40:00Z</dcterms:created>
  <dcterms:modified xsi:type="dcterms:W3CDTF">2020-03-26T07:47:00Z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CP-035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