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CD3" w:rsidRDefault="00994326" w:rsidP="00994326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6DF660D1-CC2C-4FE4-BAAE-D7BFB1535D99" style="width:450.6pt;height:334.45pt">
            <v:imagedata r:id="rId8" o:title=""/>
          </v:shape>
        </w:pict>
      </w:r>
    </w:p>
    <w:bookmarkEnd w:id="0"/>
    <w:p w:rsidR="00F64CD3" w:rsidRDefault="00F64CD3">
      <w:pPr>
        <w:rPr>
          <w:noProof/>
        </w:rPr>
        <w:sectPr w:rsidR="00F64CD3" w:rsidSect="0099432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F64CD3" w:rsidRDefault="0099432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w:t>Having regard to:</w:t>
      </w:r>
    </w:p>
    <w:p w:rsidR="00F64CD3" w:rsidRDefault="00994326">
      <w:pPr>
        <w:pStyle w:val="Tiret0"/>
        <w:rPr>
          <w:noProof/>
        </w:rPr>
      </w:pPr>
      <w:r>
        <w:rPr>
          <w:noProof/>
        </w:rPr>
        <w:t xml:space="preserve">the Treaty on the Functioning of the European Union, and in particular Article 314 thereof, in conjunction with the Treaty </w:t>
      </w:r>
      <w:r>
        <w:rPr>
          <w:noProof/>
        </w:rPr>
        <w:t>establishing the European Atomic Energy Community, and in particular Article 106a thereof,</w:t>
      </w:r>
    </w:p>
    <w:p w:rsidR="00F64CD3" w:rsidRDefault="00994326">
      <w:pPr>
        <w:pStyle w:val="Tiret0"/>
        <w:tabs>
          <w:tab w:val="clear" w:pos="850"/>
          <w:tab w:val="num" w:pos="927"/>
        </w:tabs>
        <w:rPr>
          <w:rFonts w:cs="Arial"/>
          <w:noProof/>
          <w:szCs w:val="18"/>
        </w:rPr>
      </w:pPr>
      <w:r>
        <w:rPr>
          <w:noProof/>
        </w:rPr>
        <w:t>Regulation (EU, Euratom) 2018/1046 of the European Parliament and of the Council of 18 July 2018 on the financial rules applicable to the general budget of the Union</w:t>
      </w:r>
      <w:r>
        <w:rPr>
          <w:noProof/>
        </w:rPr>
        <w:t xml:space="preserve"> (…)</w:t>
      </w:r>
      <w:r>
        <w:rPr>
          <w:rStyle w:val="FootnoteReference"/>
          <w:noProof/>
        </w:rPr>
        <w:footnoteReference w:id="1"/>
      </w:r>
      <w:r>
        <w:rPr>
          <w:noProof/>
        </w:rPr>
        <w:t>, and in particular Article 44 thereof,</w:t>
      </w:r>
    </w:p>
    <w:p w:rsidR="00F64CD3" w:rsidRDefault="00994326">
      <w:pPr>
        <w:pStyle w:val="Tiret0"/>
        <w:tabs>
          <w:tab w:val="clear" w:pos="850"/>
          <w:tab w:val="num" w:pos="927"/>
        </w:tabs>
        <w:rPr>
          <w:noProof/>
        </w:rPr>
      </w:pPr>
      <w:r>
        <w:rPr>
          <w:noProof/>
        </w:rPr>
        <w:t>the general budget of the European Union for the financial year 2020, as adopted on 27 November 2019</w:t>
      </w:r>
      <w:r>
        <w:rPr>
          <w:rStyle w:val="FootnoteReference"/>
          <w:noProof/>
        </w:rPr>
        <w:footnoteReference w:id="2"/>
      </w:r>
      <w:r>
        <w:rPr>
          <w:noProof/>
        </w:rPr>
        <w:t>,</w:t>
      </w:r>
    </w:p>
    <w:p w:rsidR="00F64CD3" w:rsidRDefault="00994326">
      <w:pPr>
        <w:pStyle w:val="Tiret0"/>
        <w:rPr>
          <w:noProof/>
        </w:rPr>
      </w:pPr>
      <w:r>
        <w:rPr>
          <w:noProof/>
        </w:rPr>
        <w:t>draft amending budget No°1/2020</w:t>
      </w:r>
      <w:r>
        <w:rPr>
          <w:rStyle w:val="FootnoteReference"/>
          <w:noProof/>
        </w:rPr>
        <w:footnoteReference w:id="3"/>
      </w:r>
      <w:r>
        <w:rPr>
          <w:noProof/>
        </w:rPr>
        <w:t>, adopted on 27 March 2020,</w:t>
      </w:r>
    </w:p>
    <w:p w:rsidR="00F64CD3" w:rsidRDefault="00994326">
      <w:pPr>
        <w:pStyle w:val="Tiret0"/>
        <w:rPr>
          <w:noProof/>
        </w:rPr>
      </w:pPr>
      <w:r>
        <w:rPr>
          <w:noProof/>
        </w:rPr>
        <w:t>draft amending budget No°2/2020</w:t>
      </w:r>
      <w:r>
        <w:rPr>
          <w:rStyle w:val="FootnoteReference"/>
          <w:noProof/>
        </w:rPr>
        <w:footnoteReference w:id="4"/>
      </w:r>
      <w:r>
        <w:rPr>
          <w:noProof/>
        </w:rPr>
        <w:t>, adopted on 2 A</w:t>
      </w:r>
      <w:r>
        <w:rPr>
          <w:noProof/>
        </w:rPr>
        <w:t>pril 2020,</w:t>
      </w:r>
    </w:p>
    <w:p w:rsidR="00F64CD3" w:rsidRDefault="009943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The European Commission hereby presents to the European Parliament and to the Council Draft Amending Budget No 3 to the 2020 budget.</w:t>
      </w:r>
    </w:p>
    <w:p w:rsidR="00F64CD3" w:rsidRDefault="0099432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ko-K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ko-KR"/>
        </w:rPr>
        <w:t>CHANGES TO THE STATEMENT OF REVENUE AND EXPENDITURE BY SECTION</w:t>
      </w:r>
    </w:p>
    <w:p w:rsidR="00F64CD3" w:rsidRDefault="009943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The changes to the general statement of revenue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are available on EUR-Lex (</w:t>
      </w:r>
      <w:hyperlink r:id="rId15" w:history="1">
        <w:r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en-GB"/>
          </w:rPr>
          <w:t>https://eur-lex.europa.eu/budget/www/index-en.htm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).</w:t>
      </w:r>
    </w:p>
    <w:p w:rsidR="00F64CD3" w:rsidRDefault="00F64CD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sectPr w:rsidR="00F64CD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 w:rsidR="00F64CD3" w:rsidRDefault="00994326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de-DE"/>
        </w:rPr>
      </w:pPr>
      <w:bookmarkStart w:id="2" w:name="_Toc194220890"/>
      <w:bookmarkStart w:id="3" w:name="_Toc294675429"/>
      <w:bookmarkStart w:id="4" w:name="_Toc378575883"/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de-DE"/>
        </w:rPr>
        <w:lastRenderedPageBreak/>
        <w:t>EXPLANATORY MEMORANDUM</w:t>
      </w:r>
    </w:p>
    <w:p w:rsidR="00F64CD3" w:rsidRDefault="009943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Draft Amending Budget (DAB)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No 3/2019 is intended to enter in the 2020 budget the surplus resulting from the implementation of the budget year 2019. As provided for in Article 18 § 3 of the Financial Regulation applicable to the general budget of the Union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en-GB"/>
        </w:rPr>
        <w:footnoteReference w:id="5"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>,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the surplus is the only s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ubject of this DAB, which has to be submitted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GB"/>
        </w:rPr>
        <w:t>within 15 days of the submission of the provisional accounts at the end of March 2020.</w:t>
      </w:r>
    </w:p>
    <w:p w:rsidR="00F64CD3" w:rsidRDefault="00994326">
      <w:pPr>
        <w:pStyle w:val="ListParagraph"/>
        <w:numPr>
          <w:ilvl w:val="0"/>
          <w:numId w:val="32"/>
        </w:numPr>
        <w:tabs>
          <w:tab w:val="num" w:pos="850"/>
        </w:tabs>
        <w:spacing w:before="120" w:after="120"/>
        <w:ind w:hanging="720"/>
        <w:contextualSpacing w:val="0"/>
        <w:jc w:val="both"/>
        <w:rPr>
          <w:noProof/>
          <w:lang w:eastAsia="de-DE"/>
        </w:rPr>
      </w:pPr>
      <w:r>
        <w:rPr>
          <w:noProof/>
          <w:lang w:eastAsia="de-DE"/>
        </w:rPr>
        <w:t>The implementation of the budget year 2019 shows a surplus of EUR 3 218 373 955, which is therefore entered as revenue in t</w:t>
      </w:r>
      <w:r>
        <w:rPr>
          <w:noProof/>
          <w:lang w:eastAsia="de-DE"/>
        </w:rPr>
        <w:t>he 2020 budget.</w:t>
      </w:r>
    </w:p>
    <w:p w:rsidR="00F64CD3" w:rsidRDefault="00994326">
      <w:pPr>
        <w:spacing w:before="120" w:after="0" w:line="240" w:lineRule="auto"/>
        <w:ind w:left="5954"/>
        <w:jc w:val="both"/>
        <w:rPr>
          <w:rFonts w:ascii="Times New Roman" w:eastAsia="Times New Roman" w:hAnsi="Times New Roman" w:cs="Times New Roman"/>
          <w:i/>
          <w:noProof/>
          <w:sz w:val="20"/>
          <w:szCs w:val="20"/>
          <w:lang w:eastAsia="de-DE"/>
        </w:rPr>
      </w:pPr>
      <w:r>
        <w:rPr>
          <w:rFonts w:ascii="Times New Roman" w:eastAsia="Times New Roman" w:hAnsi="Times New Roman" w:cs="Times New Roman"/>
          <w:i/>
          <w:noProof/>
          <w:sz w:val="20"/>
          <w:szCs w:val="20"/>
          <w:lang w:eastAsia="de-DE"/>
        </w:rPr>
        <w:t>(in EUR)</w:t>
      </w:r>
    </w:p>
    <w:tbl>
      <w:tblPr>
        <w:tblW w:w="3716" w:type="dxa"/>
        <w:jc w:val="center"/>
        <w:tblLook w:val="04A0" w:firstRow="1" w:lastRow="0" w:firstColumn="1" w:lastColumn="0" w:noHBand="0" w:noVBand="1"/>
      </w:tblPr>
      <w:tblGrid>
        <w:gridCol w:w="2159"/>
        <w:gridCol w:w="1557"/>
      </w:tblGrid>
      <w:tr w:rsidR="00F64CD3">
        <w:trPr>
          <w:trHeight w:val="570"/>
          <w:jc w:val="center"/>
        </w:trPr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F64CD3" w:rsidRDefault="0099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Outturn breakdown 2019</w:t>
            </w:r>
          </w:p>
        </w:tc>
      </w:tr>
      <w:tr w:rsidR="00F64CD3">
        <w:trPr>
          <w:trHeight w:val="270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 xml:space="preserve">Surplus Revenue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2 414 771 516</w:t>
            </w:r>
          </w:p>
        </w:tc>
      </w:tr>
      <w:tr w:rsidR="00F64CD3">
        <w:trPr>
          <w:trHeight w:val="270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Surplus Expenditure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803 602 438</w:t>
            </w:r>
          </w:p>
        </w:tc>
      </w:tr>
      <w:tr w:rsidR="00F64CD3">
        <w:trPr>
          <w:trHeight w:val="270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F64CD3" w:rsidRDefault="0099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Total surplus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3 218 373 955</w:t>
            </w:r>
          </w:p>
        </w:tc>
      </w:tr>
    </w:tbl>
    <w:bookmarkEnd w:id="2"/>
    <w:p w:rsidR="00F64CD3" w:rsidRDefault="00994326">
      <w:pPr>
        <w:pStyle w:val="ListParagraph"/>
        <w:numPr>
          <w:ilvl w:val="0"/>
          <w:numId w:val="32"/>
        </w:numPr>
        <w:tabs>
          <w:tab w:val="num" w:pos="850"/>
        </w:tabs>
        <w:spacing w:before="120" w:after="120"/>
        <w:ind w:hanging="720"/>
        <w:contextualSpacing w:val="0"/>
        <w:jc w:val="both"/>
        <w:rPr>
          <w:noProof/>
          <w:lang w:eastAsia="de-DE"/>
        </w:rPr>
      </w:pPr>
      <w:r>
        <w:rPr>
          <w:noProof/>
          <w:lang w:eastAsia="de-DE"/>
        </w:rPr>
        <w:t>Budgeting the surplus will reduce accordingly the total contribution of the 27 Member States and the UK</w:t>
      </w:r>
      <w:r>
        <w:rPr>
          <w:noProof/>
          <w:vertAlign w:val="superscript"/>
        </w:rPr>
        <w:footnoteReference w:id="6"/>
      </w:r>
      <w:r>
        <w:rPr>
          <w:noProof/>
          <w:vertAlign w:val="superscript"/>
        </w:rPr>
        <w:t xml:space="preserve"> </w:t>
      </w:r>
      <w:r>
        <w:rPr>
          <w:noProof/>
          <w:lang w:eastAsia="de-DE"/>
        </w:rPr>
        <w:t xml:space="preserve">to the </w:t>
      </w:r>
      <w:r>
        <w:rPr>
          <w:noProof/>
          <w:lang w:eastAsia="de-DE"/>
        </w:rPr>
        <w:t>financing of the 2020 budget.</w:t>
      </w:r>
    </w:p>
    <w:p w:rsidR="00F64CD3" w:rsidRDefault="00994326">
      <w:pPr>
        <w:pStyle w:val="ListParagraph"/>
        <w:numPr>
          <w:ilvl w:val="0"/>
          <w:numId w:val="32"/>
        </w:numPr>
        <w:tabs>
          <w:tab w:val="num" w:pos="850"/>
        </w:tabs>
        <w:spacing w:before="120" w:after="120"/>
        <w:ind w:hanging="720"/>
        <w:contextualSpacing w:val="0"/>
        <w:jc w:val="both"/>
        <w:rPr>
          <w:noProof/>
          <w:lang w:eastAsia="de-DE"/>
        </w:rPr>
      </w:pPr>
      <w:r>
        <w:rPr>
          <w:noProof/>
          <w:lang w:eastAsia="de-DE"/>
        </w:rPr>
        <w:t>The table below presents a breakdown of the outturn for 2019 in terms of the implementation of revenue:</w:t>
      </w:r>
    </w:p>
    <w:p w:rsidR="00F64CD3" w:rsidRDefault="00994326">
      <w:pPr>
        <w:spacing w:before="120" w:after="0" w:line="240" w:lineRule="auto"/>
        <w:ind w:left="850" w:hanging="850"/>
        <w:jc w:val="right"/>
        <w:rPr>
          <w:rFonts w:ascii="Times New Roman" w:eastAsia="Times New Roman" w:hAnsi="Times New Roman" w:cs="Times New Roman"/>
          <w:i/>
          <w:noProof/>
          <w:sz w:val="20"/>
          <w:szCs w:val="20"/>
          <w:lang w:eastAsia="de-DE"/>
        </w:rPr>
      </w:pPr>
      <w:r>
        <w:rPr>
          <w:rFonts w:ascii="Times New Roman" w:eastAsia="Times New Roman" w:hAnsi="Times New Roman" w:cs="Times New Roman"/>
          <w:i/>
          <w:noProof/>
          <w:sz w:val="20"/>
          <w:szCs w:val="20"/>
          <w:lang w:eastAsia="de-DE"/>
        </w:rPr>
        <w:t>(in EUR)</w:t>
      </w:r>
    </w:p>
    <w:tbl>
      <w:tblPr>
        <w:tblW w:w="914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4000"/>
        <w:gridCol w:w="1600"/>
        <w:gridCol w:w="1600"/>
        <w:gridCol w:w="1600"/>
      </w:tblGrid>
      <w:tr w:rsidR="00F64CD3">
        <w:trPr>
          <w:trHeight w:val="510"/>
          <w:jc w:val="right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F64CD3" w:rsidRDefault="0099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Outturn breakdown 2019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F64CD3" w:rsidRDefault="0099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Budget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br/>
              <w:t>(includ. AB1-3)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F64CD3" w:rsidRDefault="0099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Outturn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F64CD3" w:rsidRDefault="0099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Variation</w:t>
            </w:r>
          </w:p>
        </w:tc>
      </w:tr>
      <w:tr w:rsidR="00F64CD3">
        <w:trPr>
          <w:trHeight w:val="270"/>
          <w:jc w:val="right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F64CD3" w:rsidRDefault="0099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Sub-total Revenue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148 492 491 538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 xml:space="preserve">150 907 263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054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2 414 771 516</w:t>
            </w:r>
          </w:p>
        </w:tc>
      </w:tr>
      <w:tr w:rsidR="00F64CD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—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Title 1 - Own resources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144 795 111 073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144 765 627 471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-29 483 602</w:t>
            </w:r>
          </w:p>
        </w:tc>
      </w:tr>
      <w:tr w:rsidR="00F64CD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Levies and other duties in the sugar sector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-824 270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-824 270</w:t>
            </w:r>
          </w:p>
        </w:tc>
      </w:tr>
      <w:tr w:rsidR="00F64CD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Custom duties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21 471 164 786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21 365 365 626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-105 799 160</w:t>
            </w:r>
          </w:p>
        </w:tc>
      </w:tr>
      <w:tr w:rsidR="00F64CD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Own resources accruing from VAT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 xml:space="preserve">17 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738 667 150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17 774 862 637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36 195 487</w:t>
            </w:r>
          </w:p>
        </w:tc>
      </w:tr>
      <w:tr w:rsidR="00F64CD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Own resources based on GNI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105 585 279 137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105 700 206 516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114 927 379</w:t>
            </w:r>
          </w:p>
        </w:tc>
      </w:tr>
      <w:tr w:rsidR="00F64CD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Correction of budgetary imbalances granted to UK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-80 874 689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-80 874 689</w:t>
            </w:r>
          </w:p>
        </w:tc>
      </w:tr>
      <w:tr w:rsidR="00F64CD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Gross reduction in the annual GNI-based contribution granted to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 xml:space="preserve"> some MS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6 891 651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6 891 651</w:t>
            </w:r>
          </w:p>
        </w:tc>
      </w:tr>
      <w:tr w:rsidR="00F64CD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—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Title 3 - Surpluses, balances and adjustments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1 802 988 329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1 804 821 556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1 833 227</w:t>
            </w:r>
          </w:p>
        </w:tc>
      </w:tr>
      <w:tr w:rsidR="00F64CD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—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Title 4 - Persons working with the Institutions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1 606 517 342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1 575 505 411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-31 011 931</w:t>
            </w:r>
          </w:p>
        </w:tc>
      </w:tr>
      <w:tr w:rsidR="00F64CD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—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 xml:space="preserve">Title 5 - Administrative operation of the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institutions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25 050 050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22 616 366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-2 433 684</w:t>
            </w:r>
          </w:p>
        </w:tc>
      </w:tr>
      <w:tr w:rsidR="00F64CD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—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Title 6 - Refunds in connection with Union agreements and programmes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130 000 000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102 279 350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-27 720 650</w:t>
            </w:r>
          </w:p>
        </w:tc>
      </w:tr>
      <w:tr w:rsidR="00F64CD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—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Title 7 - Interests on late payments and fines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115 000 000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2 625 458 174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2 510 458 174</w:t>
            </w:r>
          </w:p>
        </w:tc>
      </w:tr>
      <w:tr w:rsidR="00F64CD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—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Title 8 -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 xml:space="preserve"> Borrowing and lending operations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2 823 744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3 111 199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287 455</w:t>
            </w:r>
          </w:p>
        </w:tc>
      </w:tr>
      <w:tr w:rsidR="00F64CD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—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Title 9 - Miscellaneous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15 001 000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7 843 527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-7 157 473</w:t>
            </w:r>
          </w:p>
        </w:tc>
      </w:tr>
    </w:tbl>
    <w:bookmarkEnd w:id="3"/>
    <w:bookmarkEnd w:id="4"/>
    <w:p w:rsidR="00F64CD3" w:rsidRDefault="00994326">
      <w:pPr>
        <w:pStyle w:val="ListParagraph"/>
        <w:numPr>
          <w:ilvl w:val="0"/>
          <w:numId w:val="32"/>
        </w:numPr>
        <w:tabs>
          <w:tab w:val="num" w:pos="850"/>
        </w:tabs>
        <w:spacing w:before="120" w:after="120"/>
        <w:ind w:hanging="720"/>
        <w:contextualSpacing w:val="0"/>
        <w:jc w:val="both"/>
        <w:rPr>
          <w:noProof/>
          <w:lang w:eastAsia="de-DE"/>
        </w:rPr>
      </w:pPr>
      <w:r>
        <w:rPr>
          <w:noProof/>
          <w:lang w:eastAsia="de-DE"/>
        </w:rPr>
        <w:t>The differences in Title 1 (Own Resources) represent 0,02 % of the forecast. They mainly consist of -EUR 107 million lower revenue from traditional own resources (99,5 % of the forecast has been collected) and EUR 77 million higher revenue from exchange ra</w:t>
      </w:r>
      <w:r>
        <w:rPr>
          <w:noProof/>
          <w:lang w:eastAsia="de-DE"/>
        </w:rPr>
        <w:t xml:space="preserve">te (as own resources are paid in national currency but budgeted and accounted for in euro). In Title 3 </w:t>
      </w:r>
      <w:r>
        <w:rPr>
          <w:i/>
          <w:noProof/>
          <w:lang w:eastAsia="de-DE"/>
        </w:rPr>
        <w:t>(Surpluses, balances and adjustments)</w:t>
      </w:r>
      <w:r>
        <w:rPr>
          <w:noProof/>
          <w:lang w:eastAsia="de-DE"/>
        </w:rPr>
        <w:t>, linked to the adjustments of own resources, the difference is limited to EUR 1,8 million.</w:t>
      </w:r>
    </w:p>
    <w:p w:rsidR="00F64CD3" w:rsidRDefault="00994326">
      <w:pPr>
        <w:pStyle w:val="ListParagraph"/>
        <w:numPr>
          <w:ilvl w:val="0"/>
          <w:numId w:val="32"/>
        </w:numPr>
        <w:tabs>
          <w:tab w:val="num" w:pos="850"/>
        </w:tabs>
        <w:spacing w:before="120" w:after="120"/>
        <w:ind w:hanging="720"/>
        <w:contextualSpacing w:val="0"/>
        <w:jc w:val="both"/>
        <w:rPr>
          <w:noProof/>
          <w:lang w:eastAsia="de-DE"/>
        </w:rPr>
      </w:pPr>
      <w:r>
        <w:rPr>
          <w:noProof/>
          <w:lang w:eastAsia="de-DE"/>
        </w:rPr>
        <w:t>The largest difference (</w:t>
      </w:r>
      <w:r>
        <w:rPr>
          <w:noProof/>
          <w:lang w:eastAsia="de-DE"/>
        </w:rPr>
        <w:t xml:space="preserve">EUR 2 510 million) is found in Title 7 </w:t>
      </w:r>
      <w:r>
        <w:rPr>
          <w:i/>
          <w:noProof/>
          <w:lang w:eastAsia="de-DE"/>
        </w:rPr>
        <w:t xml:space="preserve">(Default interest and fines). </w:t>
      </w:r>
      <w:r>
        <w:rPr>
          <w:noProof/>
          <w:lang w:eastAsia="de-DE"/>
        </w:rPr>
        <w:t>The outturn is composed of competition fines and default interest, other penalty payments and interest linked to fines and penalty payments.</w:t>
      </w:r>
    </w:p>
    <w:p w:rsidR="00F64CD3" w:rsidRDefault="00994326">
      <w:pPr>
        <w:pStyle w:val="ListParagraph"/>
        <w:numPr>
          <w:ilvl w:val="0"/>
          <w:numId w:val="32"/>
        </w:numPr>
        <w:tabs>
          <w:tab w:val="num" w:pos="850"/>
        </w:tabs>
        <w:spacing w:before="120" w:after="120"/>
        <w:ind w:hanging="720"/>
        <w:contextualSpacing w:val="0"/>
        <w:jc w:val="both"/>
        <w:rPr>
          <w:noProof/>
          <w:lang w:eastAsia="de-DE"/>
        </w:rPr>
      </w:pPr>
      <w:r>
        <w:rPr>
          <w:noProof/>
          <w:lang w:eastAsia="de-DE"/>
        </w:rPr>
        <w:t>The table below presents a breakdown of the ou</w:t>
      </w:r>
      <w:r>
        <w:rPr>
          <w:noProof/>
          <w:lang w:eastAsia="de-DE"/>
        </w:rPr>
        <w:t>tturn for 2019 in terms of budget implementation of expenditure for all institutions:</w:t>
      </w:r>
    </w:p>
    <w:p w:rsidR="00F64CD3" w:rsidRDefault="00994326">
      <w:pPr>
        <w:spacing w:before="120" w:after="0" w:line="240" w:lineRule="auto"/>
        <w:ind w:left="850" w:hanging="850"/>
        <w:jc w:val="right"/>
        <w:rPr>
          <w:rFonts w:ascii="Times New Roman" w:eastAsia="Times New Roman" w:hAnsi="Times New Roman" w:cs="Times New Roman"/>
          <w:i/>
          <w:noProof/>
          <w:sz w:val="20"/>
          <w:szCs w:val="20"/>
          <w:lang w:eastAsia="de-DE"/>
        </w:rPr>
      </w:pPr>
      <w:r>
        <w:rPr>
          <w:rFonts w:ascii="Times New Roman" w:eastAsia="Times New Roman" w:hAnsi="Times New Roman" w:cs="Times New Roman"/>
          <w:i/>
          <w:noProof/>
          <w:sz w:val="20"/>
          <w:szCs w:val="20"/>
          <w:lang w:eastAsia="de-DE"/>
        </w:rPr>
        <w:t>(in EUR)</w:t>
      </w:r>
    </w:p>
    <w:tbl>
      <w:tblPr>
        <w:tblW w:w="914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4000"/>
        <w:gridCol w:w="1600"/>
        <w:gridCol w:w="1600"/>
        <w:gridCol w:w="1600"/>
      </w:tblGrid>
      <w:tr w:rsidR="00F64CD3">
        <w:trPr>
          <w:trHeight w:val="510"/>
          <w:jc w:val="right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F64CD3" w:rsidRDefault="0099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Outturn breakdown 2019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F64CD3" w:rsidRDefault="0099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Budget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br/>
              <w:t>(includ. AB1-3)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F64CD3" w:rsidRDefault="0099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Outturn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F64CD3" w:rsidRDefault="0099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Variation</w:t>
            </w:r>
          </w:p>
        </w:tc>
      </w:tr>
      <w:tr w:rsidR="00F64CD3">
        <w:trPr>
          <w:trHeight w:val="270"/>
          <w:jc w:val="right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0E0E0"/>
            <w:vAlign w:val="center"/>
            <w:hideMark/>
          </w:tcPr>
          <w:p w:rsidR="00F64CD3" w:rsidRDefault="0099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Sub-total Expenditure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148 492 491 538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147 688 889 100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-803 602 438</w:t>
            </w:r>
          </w:p>
        </w:tc>
      </w:tr>
      <w:tr w:rsidR="00F64CD3">
        <w:trPr>
          <w:trHeight w:val="270"/>
          <w:jc w:val="right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 xml:space="preserve">Outturn appropriations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authorised in the budget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148 492 491 538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147 817 807 228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-674 684 310</w:t>
            </w:r>
          </w:p>
        </w:tc>
      </w:tr>
      <w:tr w:rsidR="00F64CD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—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European Commission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144 377 037 181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143 784 765 183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-592 271 998</w:t>
            </w:r>
          </w:p>
        </w:tc>
      </w:tr>
      <w:tr w:rsidR="00F64CD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Heading 1a - Competitiveness for growth and jobs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20 261 398 070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20 231 004 880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-30 393 190</w:t>
            </w:r>
          </w:p>
        </w:tc>
      </w:tr>
      <w:tr w:rsidR="00F64CD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 xml:space="preserve">Heading 1b - 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Economic, social and territorial cohesion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47 561 482 793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47 559 522 299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-1 960 494</w:t>
            </w:r>
          </w:p>
        </w:tc>
      </w:tr>
      <w:tr w:rsidR="00F64CD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Heading 2 - Sustainable growth: Natural resources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57 836 518 964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57 827 120 612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-9 398 352</w:t>
            </w:r>
          </w:p>
        </w:tc>
      </w:tr>
      <w:tr w:rsidR="00F64CD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Heading 3 - Security and Citizenship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3 290 532 388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3 161 760 749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 xml:space="preserve">-128 771 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639</w:t>
            </w:r>
          </w:p>
        </w:tc>
      </w:tr>
      <w:tr w:rsidR="00F64CD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Heading 4 - Global Europe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8 952 616 966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8 946 611 596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-6 005 370</w:t>
            </w:r>
          </w:p>
        </w:tc>
      </w:tr>
      <w:tr w:rsidR="00F64CD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Heading 5 - Administration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5 827 041 386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5 763 345 126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-63 696 260</w:t>
            </w:r>
          </w:p>
        </w:tc>
      </w:tr>
      <w:tr w:rsidR="00F64CD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Other special instruments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647 446 615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295 399 920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-352 046 694</w:t>
            </w:r>
          </w:p>
        </w:tc>
      </w:tr>
      <w:tr w:rsidR="00F64CD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—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Other Institutions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4 115 454 357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 xml:space="preserve">4 033 042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045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-82 412 312</w:t>
            </w:r>
          </w:p>
        </w:tc>
      </w:tr>
      <w:tr w:rsidR="00F64CD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European Parliament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1 996 978 262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1 973 232 524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-23 745 738</w:t>
            </w:r>
          </w:p>
        </w:tc>
      </w:tr>
      <w:tr w:rsidR="00F64CD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Council &amp; European Council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581 895 459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536 999 597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-44 895 862</w:t>
            </w:r>
          </w:p>
        </w:tc>
      </w:tr>
      <w:tr w:rsidR="00F64CD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Court of Justice of the European Union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429 468 936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423 900 255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-5 568 681</w:t>
            </w:r>
          </w:p>
        </w:tc>
      </w:tr>
      <w:tr w:rsidR="00F64CD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European Court of Auditors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 xml:space="preserve">146 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890 518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144 314 828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-2 575 690</w:t>
            </w:r>
          </w:p>
        </w:tc>
      </w:tr>
      <w:tr w:rsidR="00F64CD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European Economic &amp; Social Committee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138 502 768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135 923 436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-2 579 332</w:t>
            </w:r>
          </w:p>
        </w:tc>
      </w:tr>
      <w:tr w:rsidR="00F64CD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Committee of the Regions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98 751 065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98 362 401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-388 664</w:t>
            </w:r>
          </w:p>
        </w:tc>
      </w:tr>
      <w:tr w:rsidR="00F64CD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European Ombudsman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11 496 261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10 614 755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-881 506</w:t>
            </w:r>
          </w:p>
        </w:tc>
      </w:tr>
      <w:tr w:rsidR="00F64CD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European Data Protection Supervisor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16 638 572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15 301 687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-1 336 885</w:t>
            </w:r>
          </w:p>
        </w:tc>
      </w:tr>
      <w:tr w:rsidR="00F64CD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European External Action Service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694 832 516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694 392 562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  <w:lang w:eastAsia="en-GB"/>
              </w:rPr>
              <w:t>-439 954</w:t>
            </w:r>
          </w:p>
        </w:tc>
      </w:tr>
      <w:tr w:rsidR="00F64CD3">
        <w:trPr>
          <w:trHeight w:val="270"/>
          <w:jc w:val="right"/>
        </w:trPr>
        <w:tc>
          <w:tcPr>
            <w:tcW w:w="43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Cancellation of appropriations carried over from previous years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-125 294 786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-125 294 786</w:t>
            </w:r>
          </w:p>
        </w:tc>
      </w:tr>
      <w:tr w:rsidR="00F64CD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—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European Commission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-86 283 393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-86 283 393</w:t>
            </w:r>
          </w:p>
        </w:tc>
      </w:tr>
      <w:tr w:rsidR="00F64CD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—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 xml:space="preserve">Other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Institutions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-39 011 393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-39 011 393</w:t>
            </w:r>
          </w:p>
        </w:tc>
      </w:tr>
      <w:tr w:rsidR="00F64CD3">
        <w:trPr>
          <w:trHeight w:val="270"/>
          <w:jc w:val="right"/>
        </w:trPr>
        <w:tc>
          <w:tcPr>
            <w:tcW w:w="43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Exchange rate variations on expenditure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-3 623 342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D3" w:rsidRDefault="0099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-3 623 342</w:t>
            </w:r>
          </w:p>
        </w:tc>
      </w:tr>
    </w:tbl>
    <w:p w:rsidR="00F64CD3" w:rsidRDefault="00994326">
      <w:pPr>
        <w:pStyle w:val="ListParagraph"/>
        <w:numPr>
          <w:ilvl w:val="0"/>
          <w:numId w:val="32"/>
        </w:numPr>
        <w:tabs>
          <w:tab w:val="num" w:pos="850"/>
        </w:tabs>
        <w:spacing w:before="120" w:after="120"/>
        <w:ind w:hanging="720"/>
        <w:contextualSpacing w:val="0"/>
        <w:jc w:val="both"/>
        <w:rPr>
          <w:noProof/>
          <w:lang w:eastAsia="de-DE"/>
        </w:rPr>
      </w:pPr>
      <w:r>
        <w:rPr>
          <w:noProof/>
          <w:lang w:eastAsia="de-DE"/>
        </w:rPr>
        <w:t xml:space="preserve">The Commission implemented 99,6 % of the authorised payment appropriations. The amount not implemented was EUR 592,3 million, of which </w:t>
      </w:r>
      <w:r>
        <w:rPr>
          <w:noProof/>
          <w:lang w:eastAsia="de-DE"/>
        </w:rPr>
        <w:t>EUR 351,5 million of the Emergency Aid Reserve and EUR 94,5 million in reserve under heading 3 </w:t>
      </w:r>
      <w:r>
        <w:rPr>
          <w:i/>
          <w:noProof/>
          <w:lang w:eastAsia="de-DE"/>
        </w:rPr>
        <w:t>Security and Citizenship</w:t>
      </w:r>
      <w:r>
        <w:rPr>
          <w:noProof/>
          <w:lang w:eastAsia="de-DE"/>
        </w:rPr>
        <w:t>.</w:t>
      </w:r>
    </w:p>
    <w:p w:rsidR="00F64CD3" w:rsidRDefault="00994326">
      <w:pPr>
        <w:pStyle w:val="ListParagraph"/>
        <w:numPr>
          <w:ilvl w:val="0"/>
          <w:numId w:val="32"/>
        </w:numPr>
        <w:tabs>
          <w:tab w:val="num" w:pos="850"/>
        </w:tabs>
        <w:spacing w:before="120" w:after="120"/>
        <w:ind w:hanging="720"/>
        <w:contextualSpacing w:val="0"/>
        <w:jc w:val="both"/>
        <w:rPr>
          <w:noProof/>
        </w:rPr>
      </w:pPr>
      <w:r>
        <w:rPr>
          <w:noProof/>
          <w:lang w:eastAsia="de-DE"/>
        </w:rPr>
        <w:t>The under-implementation of the other institutions of EUR 82 million is slightly higher than in 2018 (EUR 76 million) but lower than in</w:t>
      </w:r>
      <w:r>
        <w:rPr>
          <w:noProof/>
          <w:lang w:eastAsia="de-DE"/>
        </w:rPr>
        <w:t xml:space="preserve"> 2017 and 2016 (EUR 83 million and EUR 103 million, respectively).</w:t>
      </w:r>
    </w:p>
    <w:sectPr w:rsidR="00F64CD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720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CD3" w:rsidRDefault="00994326">
      <w:pPr>
        <w:spacing w:after="0" w:line="240" w:lineRule="auto"/>
      </w:pPr>
      <w:r>
        <w:separator/>
      </w:r>
    </w:p>
  </w:endnote>
  <w:endnote w:type="continuationSeparator" w:id="0">
    <w:p w:rsidR="00F64CD3" w:rsidRDefault="0099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326" w:rsidRPr="00994326" w:rsidRDefault="00994326" w:rsidP="009943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326" w:rsidRPr="00994326" w:rsidRDefault="00994326" w:rsidP="00994326">
    <w:pPr>
      <w:pStyle w:val="FooterCoverPage"/>
      <w:rPr>
        <w:rFonts w:ascii="Arial" w:hAnsi="Arial" w:cs="Arial"/>
        <w:b/>
        <w:sz w:val="48"/>
      </w:rPr>
    </w:pPr>
    <w:r w:rsidRPr="00994326">
      <w:rPr>
        <w:rFonts w:ascii="Arial" w:hAnsi="Arial" w:cs="Arial"/>
        <w:b/>
        <w:sz w:val="48"/>
      </w:rPr>
      <w:t>EN</w:t>
    </w:r>
    <w:r w:rsidRPr="00994326">
      <w:rPr>
        <w:rFonts w:ascii="Arial" w:hAnsi="Arial" w:cs="Arial"/>
        <w:b/>
        <w:sz w:val="48"/>
      </w:rPr>
      <w:tab/>
    </w:r>
    <w:r w:rsidRPr="00994326">
      <w:rPr>
        <w:rFonts w:ascii="Arial" w:hAnsi="Arial" w:cs="Arial"/>
        <w:b/>
        <w:sz w:val="48"/>
      </w:rPr>
      <w:tab/>
    </w:r>
    <w:r w:rsidRPr="00994326">
      <w:tab/>
    </w:r>
    <w:r w:rsidRPr="00994326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326" w:rsidRPr="00994326" w:rsidRDefault="00994326" w:rsidP="00994326">
    <w:pPr>
      <w:pStyle w:val="FooterCover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D3" w:rsidRDefault="00F64CD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D3" w:rsidRDefault="00994326">
    <w:pPr>
      <w:pStyle w:val="Footer"/>
      <w:ind w:left="-851" w:right="-851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D3" w:rsidRDefault="00F64CD3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D3" w:rsidRDefault="00F64CD3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D3" w:rsidRDefault="00994326">
    <w:pPr>
      <w:pStyle w:val="Footer"/>
      <w:ind w:left="-851" w:right="-851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D3" w:rsidRDefault="00F64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CD3" w:rsidRDefault="00994326">
      <w:pPr>
        <w:spacing w:after="0" w:line="240" w:lineRule="auto"/>
      </w:pPr>
      <w:r>
        <w:separator/>
      </w:r>
    </w:p>
  </w:footnote>
  <w:footnote w:type="continuationSeparator" w:id="0">
    <w:p w:rsidR="00F64CD3" w:rsidRDefault="00994326">
      <w:pPr>
        <w:spacing w:after="0" w:line="240" w:lineRule="auto"/>
      </w:pPr>
      <w:r>
        <w:continuationSeparator/>
      </w:r>
    </w:p>
  </w:footnote>
  <w:footnote w:id="1">
    <w:p w:rsidR="00F64CD3" w:rsidRDefault="00994326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rPr>
          <w:lang w:val="pt-PT"/>
        </w:rPr>
        <w:t xml:space="preserve"> </w:t>
      </w:r>
      <w:r>
        <w:rPr>
          <w:lang w:val="pt-PT"/>
        </w:rPr>
        <w:tab/>
      </w:r>
      <w:r>
        <w:rPr>
          <w:sz w:val="18"/>
          <w:szCs w:val="18"/>
          <w:lang w:val="pt-PT"/>
        </w:rPr>
        <w:t>OJ L 193, 30.7.2018.</w:t>
      </w:r>
    </w:p>
  </w:footnote>
  <w:footnote w:id="2">
    <w:p w:rsidR="00F64CD3" w:rsidRDefault="00994326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rPr>
          <w:lang w:val="pt-PT"/>
        </w:rPr>
        <w:t xml:space="preserve"> </w:t>
      </w:r>
      <w:r>
        <w:rPr>
          <w:lang w:val="pt-PT"/>
        </w:rPr>
        <w:tab/>
      </w:r>
      <w:r>
        <w:rPr>
          <w:sz w:val="18"/>
          <w:szCs w:val="18"/>
          <w:lang w:val="pt-PT"/>
        </w:rPr>
        <w:t>OJ L 57, 27.2.2020.</w:t>
      </w:r>
    </w:p>
  </w:footnote>
  <w:footnote w:id="3">
    <w:p w:rsidR="00F64CD3" w:rsidRDefault="00994326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rPr>
          <w:lang w:val="pt-PT"/>
        </w:rPr>
        <w:t xml:space="preserve"> </w:t>
      </w:r>
      <w:r>
        <w:rPr>
          <w:lang w:val="pt-PT"/>
        </w:rPr>
        <w:tab/>
      </w:r>
      <w:r>
        <w:rPr>
          <w:sz w:val="18"/>
          <w:szCs w:val="18"/>
          <w:lang w:val="pt-PT"/>
        </w:rPr>
        <w:t>COM(2020) 145, 27.3.2020.</w:t>
      </w:r>
    </w:p>
  </w:footnote>
  <w:footnote w:id="4">
    <w:p w:rsidR="00F64CD3" w:rsidRDefault="00994326">
      <w:pPr>
        <w:pStyle w:val="FootnoteText"/>
        <w:rPr>
          <w:lang w:val="pt-BR"/>
        </w:rPr>
      </w:pPr>
      <w:r>
        <w:rPr>
          <w:rStyle w:val="FootnoteReference"/>
        </w:rPr>
        <w:footnoteRef/>
      </w:r>
      <w:r>
        <w:rPr>
          <w:lang w:val="pt-BR"/>
        </w:rPr>
        <w:t xml:space="preserve"> </w:t>
      </w:r>
      <w:r>
        <w:rPr>
          <w:lang w:val="pt-BR"/>
        </w:rPr>
        <w:tab/>
      </w:r>
      <w:r>
        <w:rPr>
          <w:sz w:val="18"/>
          <w:szCs w:val="18"/>
          <w:lang w:val="pl-PL"/>
        </w:rPr>
        <w:t>COM(2020) 170, 2.4.2020.</w:t>
      </w:r>
    </w:p>
  </w:footnote>
  <w:footnote w:id="5">
    <w:p w:rsidR="00F64CD3" w:rsidRDefault="00994326"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sz w:val="19"/>
          <w:szCs w:val="19"/>
          <w:lang w:val="pl-PL"/>
        </w:rPr>
        <w:tab/>
      </w:r>
      <w:r>
        <w:rPr>
          <w:sz w:val="18"/>
          <w:szCs w:val="18"/>
          <w:lang w:val="pl-PL"/>
        </w:rPr>
        <w:t>OJ L 193, 30.7.2018, p. 1.</w:t>
      </w:r>
    </w:p>
  </w:footnote>
  <w:footnote w:id="6">
    <w:p w:rsidR="00F64CD3" w:rsidRDefault="00994326">
      <w:pPr>
        <w:pStyle w:val="Default"/>
        <w:ind w:left="720" w:hanging="720"/>
        <w:jc w:val="both"/>
        <w:rPr>
          <w:lang w:val="cs-CZ"/>
        </w:rPr>
      </w:pPr>
      <w:r>
        <w:rPr>
          <w:rStyle w:val="FootnoteReference"/>
        </w:rPr>
        <w:footnoteRef/>
      </w:r>
      <w:r>
        <w:rPr>
          <w:lang w:val="cs-CZ"/>
        </w:rPr>
        <w:tab/>
      </w:r>
      <w:r>
        <w:rPr>
          <w:color w:val="auto"/>
          <w:sz w:val="18"/>
          <w:szCs w:val="18"/>
          <w:lang w:val="pl-PL" w:eastAsia="de-DE"/>
        </w:rPr>
        <w:t xml:space="preserve">The Draft Amending Budget will also result in a decrease of the contribution of the United Kingdom in accordance with Articles 126 and 135(1) of the </w:t>
      </w:r>
      <w:r>
        <w:rPr>
          <w:sz w:val="18"/>
          <w:szCs w:val="18"/>
          <w:lang w:val="pl-PL"/>
        </w:rPr>
        <w:t xml:space="preserve"> withdrawal of the United Kingdom of Great Britain and Northern Ireland from the European Union and the Eur</w:t>
      </w:r>
      <w:r>
        <w:rPr>
          <w:sz w:val="18"/>
          <w:szCs w:val="18"/>
          <w:lang w:val="pl-PL"/>
        </w:rPr>
        <w:t xml:space="preserve">opean Atomic Energy Community </w:t>
      </w:r>
      <w:r>
        <w:rPr>
          <w:color w:val="auto"/>
          <w:sz w:val="18"/>
          <w:szCs w:val="18"/>
          <w:lang w:val="pl-PL" w:eastAsia="de-DE"/>
        </w:rPr>
        <w:t>(OJ L 29, 31.1.2020, p. 7)</w:t>
      </w:r>
      <w:r>
        <w:rPr>
          <w:sz w:val="18"/>
          <w:szCs w:val="18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326" w:rsidRPr="00994326" w:rsidRDefault="00994326" w:rsidP="009943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326" w:rsidRPr="00994326" w:rsidRDefault="00994326" w:rsidP="00994326">
    <w:pPr>
      <w:pStyle w:val="HeaderCoverPag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326" w:rsidRPr="00994326" w:rsidRDefault="00994326" w:rsidP="00994326">
    <w:pPr>
      <w:pStyle w:val="HeaderCoverPag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D3" w:rsidRDefault="00F64CD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D3" w:rsidRDefault="00F64CD3">
    <w:pPr>
      <w:pStyle w:val="Header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D3" w:rsidRDefault="00F64CD3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D3" w:rsidRDefault="00F64CD3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D3" w:rsidRDefault="00F64CD3">
    <w:pPr>
      <w:pStyle w:val="Header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D3" w:rsidRDefault="00F64C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E49F8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2"/>
    <w:multiLevelType w:val="singleLevel"/>
    <w:tmpl w:val="338AC5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7FF73A7"/>
    <w:multiLevelType w:val="hybridMultilevel"/>
    <w:tmpl w:val="1D745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835770"/>
    <w:multiLevelType w:val="hybridMultilevel"/>
    <w:tmpl w:val="365E0218"/>
    <w:lvl w:ilvl="0" w:tplc="8264D7DC">
      <w:start w:val="1"/>
      <w:numFmt w:val="bullet"/>
      <w:pStyle w:val="a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AE865E">
      <w:numFmt w:val="decimal"/>
      <w:lvlText w:val=""/>
      <w:lvlJc w:val="left"/>
    </w:lvl>
    <w:lvl w:ilvl="2" w:tplc="581813B8">
      <w:numFmt w:val="decimal"/>
      <w:lvlText w:val=""/>
      <w:lvlJc w:val="left"/>
    </w:lvl>
    <w:lvl w:ilvl="3" w:tplc="B7C81A1E">
      <w:numFmt w:val="decimal"/>
      <w:lvlText w:val=""/>
      <w:lvlJc w:val="left"/>
    </w:lvl>
    <w:lvl w:ilvl="4" w:tplc="5030D16A">
      <w:numFmt w:val="decimal"/>
      <w:lvlText w:val=""/>
      <w:lvlJc w:val="left"/>
    </w:lvl>
    <w:lvl w:ilvl="5" w:tplc="7A1E383C">
      <w:numFmt w:val="decimal"/>
      <w:lvlText w:val=""/>
      <w:lvlJc w:val="left"/>
    </w:lvl>
    <w:lvl w:ilvl="6" w:tplc="CE08976E">
      <w:numFmt w:val="decimal"/>
      <w:lvlText w:val=""/>
      <w:lvlJc w:val="left"/>
    </w:lvl>
    <w:lvl w:ilvl="7" w:tplc="D5D01BC0">
      <w:numFmt w:val="decimal"/>
      <w:lvlText w:val=""/>
      <w:lvlJc w:val="left"/>
    </w:lvl>
    <w:lvl w:ilvl="8" w:tplc="05920FDA">
      <w:numFmt w:val="decimal"/>
      <w:lvlText w:val=""/>
      <w:lvlJc w:val="left"/>
    </w:lvl>
  </w:abstractNum>
  <w:abstractNum w:abstractNumId="4" w15:restartNumberingAfterBreak="0">
    <w:nsid w:val="107E5539"/>
    <w:multiLevelType w:val="hybridMultilevel"/>
    <w:tmpl w:val="7AA6A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E1F62"/>
    <w:multiLevelType w:val="hybridMultilevel"/>
    <w:tmpl w:val="F84ADDA2"/>
    <w:lvl w:ilvl="0" w:tplc="AD4A7110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13AC5"/>
    <w:multiLevelType w:val="hybridMultilevel"/>
    <w:tmpl w:val="942260B6"/>
    <w:lvl w:ilvl="0" w:tplc="6450B68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54BEC"/>
    <w:multiLevelType w:val="hybridMultilevel"/>
    <w:tmpl w:val="D938E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E4906"/>
    <w:multiLevelType w:val="hybridMultilevel"/>
    <w:tmpl w:val="094E6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0" w15:restartNumberingAfterBreak="0">
    <w:nsid w:val="302D7658"/>
    <w:multiLevelType w:val="hybridMultilevel"/>
    <w:tmpl w:val="BEE25C58"/>
    <w:lvl w:ilvl="0" w:tplc="0CD24B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72B5B"/>
    <w:multiLevelType w:val="hybridMultilevel"/>
    <w:tmpl w:val="E782F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52C4F"/>
    <w:multiLevelType w:val="singleLevel"/>
    <w:tmpl w:val="CEFC5A2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390F25DB"/>
    <w:multiLevelType w:val="hybridMultilevel"/>
    <w:tmpl w:val="E7265104"/>
    <w:lvl w:ilvl="0" w:tplc="B0DC89EA">
      <w:start w:val="1"/>
      <w:numFmt w:val="bullet"/>
      <w:pStyle w:val="agtab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10EFC82">
      <w:numFmt w:val="decimal"/>
      <w:lvlText w:val=""/>
      <w:lvlJc w:val="left"/>
    </w:lvl>
    <w:lvl w:ilvl="2" w:tplc="98DA8758">
      <w:numFmt w:val="decimal"/>
      <w:lvlText w:val=""/>
      <w:lvlJc w:val="left"/>
    </w:lvl>
    <w:lvl w:ilvl="3" w:tplc="A8DA21E8">
      <w:numFmt w:val="decimal"/>
      <w:lvlText w:val=""/>
      <w:lvlJc w:val="left"/>
    </w:lvl>
    <w:lvl w:ilvl="4" w:tplc="4C5E1946">
      <w:numFmt w:val="decimal"/>
      <w:lvlText w:val=""/>
      <w:lvlJc w:val="left"/>
    </w:lvl>
    <w:lvl w:ilvl="5" w:tplc="DC50A908">
      <w:numFmt w:val="decimal"/>
      <w:lvlText w:val=""/>
      <w:lvlJc w:val="left"/>
    </w:lvl>
    <w:lvl w:ilvl="6" w:tplc="277AF326">
      <w:numFmt w:val="decimal"/>
      <w:lvlText w:val=""/>
      <w:lvlJc w:val="left"/>
    </w:lvl>
    <w:lvl w:ilvl="7" w:tplc="96EC6C5E">
      <w:numFmt w:val="decimal"/>
      <w:lvlText w:val=""/>
      <w:lvlJc w:val="left"/>
    </w:lvl>
    <w:lvl w:ilvl="8" w:tplc="CF347B90">
      <w:numFmt w:val="decimal"/>
      <w:lvlText w:val=""/>
      <w:lvlJc w:val="left"/>
    </w:lvl>
  </w:abstractNum>
  <w:abstractNum w:abstractNumId="14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 w15:restartNumberingAfterBreak="0">
    <w:nsid w:val="3B196F20"/>
    <w:multiLevelType w:val="hybridMultilevel"/>
    <w:tmpl w:val="EDA0D93A"/>
    <w:lvl w:ilvl="0" w:tplc="AD4A7110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A4B95"/>
    <w:multiLevelType w:val="hybridMultilevel"/>
    <w:tmpl w:val="D7C8C63E"/>
    <w:lvl w:ilvl="0" w:tplc="1B5E4E4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15490"/>
    <w:multiLevelType w:val="singleLevel"/>
    <w:tmpl w:val="1F86C700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18" w15:restartNumberingAfterBreak="0">
    <w:nsid w:val="5BE70879"/>
    <w:multiLevelType w:val="hybridMultilevel"/>
    <w:tmpl w:val="1C344ADE"/>
    <w:lvl w:ilvl="0" w:tplc="76F6603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D7001"/>
    <w:multiLevelType w:val="hybridMultilevel"/>
    <w:tmpl w:val="71E60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5EDE2AF6"/>
    <w:multiLevelType w:val="hybridMultilevel"/>
    <w:tmpl w:val="B23E618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C3B69"/>
    <w:multiLevelType w:val="multilevel"/>
    <w:tmpl w:val="9B14DAA8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4" w15:restartNumberingAfterBreak="0">
    <w:nsid w:val="6D2B5511"/>
    <w:multiLevelType w:val="singleLevel"/>
    <w:tmpl w:val="74A09970"/>
    <w:name w:val="Heading__2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5" w15:restartNumberingAfterBreak="0">
    <w:nsid w:val="70037CE4"/>
    <w:multiLevelType w:val="hybridMultilevel"/>
    <w:tmpl w:val="C6AC5448"/>
    <w:lvl w:ilvl="0" w:tplc="AD4A7110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70FE1"/>
    <w:multiLevelType w:val="hybridMultilevel"/>
    <w:tmpl w:val="C2F84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A54E49"/>
    <w:multiLevelType w:val="hybridMultilevel"/>
    <w:tmpl w:val="1B004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E95D7F"/>
    <w:multiLevelType w:val="multilevel"/>
    <w:tmpl w:val="F126F78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29" w15:restartNumberingAfterBreak="0">
    <w:nsid w:val="7C897016"/>
    <w:multiLevelType w:val="hybridMultilevel"/>
    <w:tmpl w:val="97A06FA8"/>
    <w:lvl w:ilvl="0" w:tplc="1A0C97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966381"/>
    <w:multiLevelType w:val="multilevel"/>
    <w:tmpl w:val="DCC88062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7"/>
  </w:num>
  <w:num w:numId="3">
    <w:abstractNumId w:val="26"/>
  </w:num>
  <w:num w:numId="4">
    <w:abstractNumId w:val="17"/>
  </w:num>
  <w:num w:numId="5">
    <w:abstractNumId w:val="24"/>
  </w:num>
  <w:num w:numId="6">
    <w:abstractNumId w:val="14"/>
  </w:num>
  <w:num w:numId="7">
    <w:abstractNumId w:val="9"/>
  </w:num>
  <w:num w:numId="8">
    <w:abstractNumId w:val="28"/>
  </w:num>
  <w:num w:numId="9">
    <w:abstractNumId w:val="22"/>
  </w:num>
  <w:num w:numId="10">
    <w:abstractNumId w:val="30"/>
  </w:num>
  <w:num w:numId="11">
    <w:abstractNumId w:val="23"/>
  </w:num>
  <w:num w:numId="12">
    <w:abstractNumId w:val="0"/>
  </w:num>
  <w:num w:numId="13">
    <w:abstractNumId w:val="1"/>
  </w:num>
  <w:num w:numId="14">
    <w:abstractNumId w:val="3"/>
  </w:num>
  <w:num w:numId="15">
    <w:abstractNumId w:val="13"/>
  </w:num>
  <w:num w:numId="16">
    <w:abstractNumId w:val="6"/>
  </w:num>
  <w:num w:numId="17">
    <w:abstractNumId w:val="10"/>
  </w:num>
  <w:num w:numId="18">
    <w:abstractNumId w:val="8"/>
  </w:num>
  <w:num w:numId="19">
    <w:abstractNumId w:val="4"/>
  </w:num>
  <w:num w:numId="20">
    <w:abstractNumId w:val="5"/>
  </w:num>
  <w:num w:numId="21">
    <w:abstractNumId w:val="2"/>
  </w:num>
  <w:num w:numId="22">
    <w:abstractNumId w:val="15"/>
  </w:num>
  <w:num w:numId="23">
    <w:abstractNumId w:val="27"/>
  </w:num>
  <w:num w:numId="24">
    <w:abstractNumId w:val="25"/>
  </w:num>
  <w:num w:numId="25">
    <w:abstractNumId w:val="11"/>
  </w:num>
  <w:num w:numId="26">
    <w:abstractNumId w:val="19"/>
  </w:num>
  <w:num w:numId="27">
    <w:abstractNumId w:val="18"/>
  </w:num>
  <w:num w:numId="28">
    <w:abstractNumId w:val="16"/>
  </w:num>
  <w:num w:numId="29">
    <w:abstractNumId w:val="29"/>
  </w:num>
  <w:num w:numId="30">
    <w:abstractNumId w:val="20"/>
    <w:lvlOverride w:ilvl="0">
      <w:startOverride w:val="1"/>
    </w:lvlOverride>
  </w:num>
  <w:num w:numId="31">
    <w:abstractNumId w:val="2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hideSpellingErrors/>
  <w:hideGrammaticalErrors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6DF660D1-CC2C-4FE4-BAAE-D7BFB1535D99"/>
    <w:docVar w:name="LW_COVERPAGE_TYPE" w:val="1"/>
    <w:docVar w:name="LW_CROSSREFERENCE" w:val="&lt;UNUSED&gt;"/>
    <w:docVar w:name="LW_DocType" w:val="NORMAL"/>
    <w:docVar w:name="LW_EMISSION" w:val="15.4.2020"/>
    <w:docVar w:name="LW_EMISSION_ISODATE" w:val="2020-04-15"/>
    <w:docVar w:name="LW_EMISSION_LOCATION" w:val="BRX"/>
    <w:docVar w:name="LW_EMISSION_PREFIX" w:val="Brussels, "/>
    <w:docVar w:name="LW_EMISSION_SUFFIX" w:val=" "/>
    <w:docVar w:name="LW_ID_DOCTYPE_NONLW" w:val="CP-035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20"/>
    <w:docVar w:name="LW_REF.INST.NEW" w:val="COM"/>
    <w:docVar w:name="LW_REF.INST.NEW_ADOPTED" w:val="final"/>
    <w:docVar w:name="LW_REF.INST.NEW_TEXT" w:val="(2020) 18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ENTERING THE SURPLUS OF THE FINANCIAL YEAR 2019"/>
    <w:docVar w:name="LW_TYPE.DOC.CP" w:val="DRAFT AMENDING BUDGET No 3_x000b_TO THE GENERAL BUDGET 2020_x000b__x000b_"/>
  </w:docVars>
  <w:rsids>
    <w:rsidRoot w:val="00F64CD3"/>
    <w:rsid w:val="00994326"/>
    <w:rsid w:val="00F6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39C19500-BA68-4397-9CD0-D8BEE928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pPr>
      <w:keepNext/>
      <w:spacing w:before="240" w:after="12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styleId="Heading2">
    <w:name w:val="heading 2"/>
    <w:aliases w:val="Char, Char,Abschnitt"/>
    <w:basedOn w:val="Normal"/>
    <w:next w:val="Normal"/>
    <w:link w:val="Heading2Char"/>
    <w:autoRedefine/>
    <w:qFormat/>
    <w:pPr>
      <w:keepNext/>
      <w:spacing w:before="240" w:after="120" w:line="240" w:lineRule="auto"/>
      <w:ind w:left="720" w:hanging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paragraph" w:styleId="Heading3">
    <w:name w:val="heading 3"/>
    <w:aliases w:val="Heading 3 Auto"/>
    <w:basedOn w:val="Normal"/>
    <w:next w:val="Normal"/>
    <w:link w:val="Heading3Char"/>
    <w:autoRedefine/>
    <w:qFormat/>
    <w:pPr>
      <w:keepNext/>
      <w:numPr>
        <w:ilvl w:val="2"/>
      </w:numPr>
      <w:tabs>
        <w:tab w:val="num" w:pos="850"/>
      </w:tabs>
      <w:spacing w:before="120" w:after="120" w:line="240" w:lineRule="auto"/>
      <w:ind w:left="850" w:hanging="850"/>
      <w:jc w:val="both"/>
      <w:outlineLvl w:val="2"/>
    </w:pPr>
    <w:rPr>
      <w:rFonts w:ascii="Arial" w:eastAsia="Times New Roman" w:hAnsi="Arial" w:cs="Arial"/>
      <w:b/>
      <w:bCs/>
      <w:i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</w:numPr>
      <w:tabs>
        <w:tab w:val="num" w:pos="1030"/>
      </w:tabs>
      <w:spacing w:before="120" w:after="120" w:line="240" w:lineRule="auto"/>
      <w:ind w:left="1030" w:hanging="85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 w:line="240" w:lineRule="auto"/>
      <w:jc w:val="both"/>
      <w:outlineLvl w:val="4"/>
    </w:pPr>
    <w:rPr>
      <w:rFonts w:ascii="Arial" w:eastAsiaTheme="majorEastAsia" w:hAnsi="Arial" w:cs="Arial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 w:line="240" w:lineRule="auto"/>
      <w:jc w:val="both"/>
      <w:outlineLvl w:val="5"/>
    </w:pPr>
    <w:rPr>
      <w:rFonts w:ascii="Arial" w:eastAsiaTheme="majorEastAsia" w:hAnsi="Arial" w:cs="Arial"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 w:line="240" w:lineRule="auto"/>
      <w:jc w:val="both"/>
      <w:outlineLvl w:val="6"/>
    </w:pPr>
    <w:rPr>
      <w:rFonts w:ascii="Arial" w:eastAsiaTheme="majorEastAsia" w:hAnsi="Arial" w:cs="Arial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 w:line="240" w:lineRule="auto"/>
      <w:jc w:val="both"/>
      <w:outlineLvl w:val="7"/>
    </w:pPr>
    <w:rPr>
      <w:rFonts w:ascii="Arial" w:eastAsiaTheme="majorEastAsia" w:hAnsi="Arial" w:cs="Arial"/>
      <w:i/>
      <w:iCs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 w:line="240" w:lineRule="auto"/>
      <w:jc w:val="both"/>
      <w:outlineLvl w:val="8"/>
    </w:pPr>
    <w:rPr>
      <w:rFonts w:ascii="Arial" w:eastAsiaTheme="majorEastAsia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styleId="FootnoteText">
    <w:name w:val="footnote text"/>
    <w:basedOn w:val="Normal"/>
    <w:link w:val="FootnoteTextChar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ootnoteReference">
    <w:name w:val="footnote reference"/>
    <w:aliases w:val="stylish,Footnote Reference Superscript,BVI fnr,Footnote symbol,Footnote symboFußnotenzeichen,Footnote sign,Footnote Reference Number,E FNZ,-E Fußnotenzeichen,Footnote#,Footnote,Times 10 Point,Exposant 3 Point,Ref,de nota al pie,SUPER"/>
    <w:rPr>
      <w:vertAlign w:val="superscript"/>
    </w:rPr>
  </w:style>
  <w:style w:type="paragraph" w:customStyle="1" w:styleId="Tiret0">
    <w:name w:val="Tiret 0"/>
    <w:basedOn w:val="Normal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4"/>
      <w:lang w:eastAsia="de-DE"/>
    </w:rPr>
  </w:style>
  <w:style w:type="paragraph" w:customStyle="1" w:styleId="Exposdesmotifstitre">
    <w:name w:val="Exposé des motifs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de-D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"/>
    <w:basedOn w:val="Normal"/>
    <w:link w:val="ListParagraphChar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aliases w:val="Char Char, Char Char,Abschnitt Char"/>
    <w:basedOn w:val="DefaultParagraphFont"/>
    <w:link w:val="Heading2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aliases w:val="Heading 3 Auto Char"/>
    <w:basedOn w:val="DefaultParagraphFont"/>
    <w:link w:val="Heading3"/>
    <w:rPr>
      <w:rFonts w:ascii="Arial" w:eastAsia="Times New Roman" w:hAnsi="Arial" w:cs="Arial"/>
      <w:b/>
      <w:bCs/>
      <w:i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/>
      <w:bCs/>
      <w:sz w:val="24"/>
      <w:szCs w:val="28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Arial" w:eastAsiaTheme="majorEastAsia" w:hAnsi="Arial" w:cs="Arial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Arial" w:eastAsiaTheme="majorEastAsia" w:hAnsi="Arial" w:cs="Arial"/>
      <w:i/>
      <w:iC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Arial" w:eastAsiaTheme="majorEastAsia" w:hAnsi="Arial" w:cs="Arial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Arial" w:eastAsiaTheme="majorEastAsia" w:hAnsi="Arial" w:cs="Arial"/>
      <w:i/>
      <w:iCs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Arial" w:eastAsiaTheme="majorEastAsia" w:hAnsi="Arial" w:cs="Arial"/>
      <w:i/>
      <w:iCs/>
      <w:sz w:val="18"/>
      <w:szCs w:val="18"/>
    </w:rPr>
  </w:style>
  <w:style w:type="paragraph" w:styleId="TOC1">
    <w:name w:val="toc 1"/>
    <w:basedOn w:val="Normal"/>
    <w:next w:val="Normal"/>
    <w:uiPriority w:val="39"/>
    <w:qFormat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en-GB"/>
    </w:rPr>
  </w:style>
  <w:style w:type="paragraph" w:customStyle="1" w:styleId="ManualHeading2">
    <w:name w:val="Manual Heading 2"/>
    <w:basedOn w:val="Normal"/>
    <w:next w:val="Normal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customStyle="1" w:styleId="ListDash">
    <w:name w:val="List Dash"/>
    <w:basedOn w:val="Normal"/>
    <w:link w:val="ListDashChar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OCHeading">
    <w:name w:val="TOC Heading"/>
    <w:basedOn w:val="Normal"/>
    <w:next w:val="Normal"/>
    <w:uiPriority w:val="39"/>
    <w:qFormat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de-DE"/>
    </w:rPr>
  </w:style>
  <w:style w:type="paragraph" w:customStyle="1" w:styleId="Prliminairetitre">
    <w:name w:val="Préliminaire titre"/>
    <w:basedOn w:val="Normal"/>
    <w:next w:val="Normal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customStyle="1" w:styleId="Prliminairetype">
    <w:name w:val="Préliminaire type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styleId="TOC2">
    <w:name w:val="toc 2"/>
    <w:basedOn w:val="Normal"/>
    <w:next w:val="Normal"/>
    <w:autoRedefine/>
    <w:uiPriority w:val="39"/>
    <w:qFormat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en-GB"/>
    </w:rPr>
  </w:style>
  <w:style w:type="paragraph" w:styleId="TOC3">
    <w:name w:val="toc 3"/>
    <w:basedOn w:val="Normal"/>
    <w:next w:val="Normal"/>
    <w:autoRedefine/>
    <w:qFormat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en-GB"/>
    </w:rPr>
  </w:style>
  <w:style w:type="paragraph" w:styleId="TOC4">
    <w:name w:val="toc 4"/>
    <w:basedOn w:val="Normal"/>
    <w:next w:val="Normal"/>
    <w:autoRedefine/>
    <w:semiHidden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TOC5">
    <w:name w:val="toc 5"/>
    <w:basedOn w:val="Normal"/>
    <w:next w:val="Normal"/>
    <w:autoRedefine/>
    <w:semiHidden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TOC6">
    <w:name w:val="toc 6"/>
    <w:basedOn w:val="Normal"/>
    <w:next w:val="Normal"/>
    <w:autoRedefine/>
    <w:semiHidden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TOC7">
    <w:name w:val="toc 7"/>
    <w:basedOn w:val="Normal"/>
    <w:next w:val="Normal"/>
    <w:autoRedefine/>
    <w:semiHidden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TOC8">
    <w:name w:val="toc 8"/>
    <w:basedOn w:val="Normal"/>
    <w:next w:val="Normal"/>
    <w:autoRedefine/>
    <w:semiHidden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TOC9">
    <w:name w:val="toc 9"/>
    <w:basedOn w:val="Normal"/>
    <w:next w:val="Normal"/>
    <w:autoRedefine/>
    <w:semiHidden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ListBullet">
    <w:name w:val="List Bullet"/>
    <w:basedOn w:val="Normal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Dash2">
    <w:name w:val="List Dash 2"/>
    <w:basedOn w:val="Normal"/>
    <w:pPr>
      <w:tabs>
        <w:tab w:val="num" w:pos="1134"/>
      </w:tabs>
      <w:spacing w:before="120" w:after="120" w:line="240" w:lineRule="auto"/>
      <w:ind w:left="1134" w:hanging="283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Bullet1">
    <w:name w:val="List Bullet 1"/>
    <w:basedOn w:val="Text1"/>
    <w:pPr>
      <w:numPr>
        <w:numId w:val="6"/>
      </w:numPr>
      <w:spacing w:before="0" w:after="240"/>
    </w:pPr>
    <w:rPr>
      <w:szCs w:val="20"/>
      <w:lang w:eastAsia="en-US"/>
    </w:rPr>
  </w:style>
  <w:style w:type="paragraph" w:styleId="ListBullet2">
    <w:name w:val="List Bullet 2"/>
    <w:basedOn w:val="Normal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color w:val="800080"/>
      <w:u w:val="single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styleId="Emphasis">
    <w:name w:val="Emphasis"/>
    <w:qFormat/>
    <w:rPr>
      <w:i/>
      <w:iCs/>
    </w:rPr>
  </w:style>
  <w:style w:type="paragraph" w:customStyle="1" w:styleId="Text2">
    <w:name w:val="Text 2"/>
    <w:basedOn w:val="Normal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en-GB"/>
    </w:rPr>
  </w:style>
  <w:style w:type="paragraph" w:styleId="ListNumber">
    <w:name w:val="List Number"/>
    <w:basedOn w:val="Normal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NumberLevel2">
    <w:name w:val="List Number (Level 2)"/>
    <w:basedOn w:val="Normal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NumberLevel3">
    <w:name w:val="List Number (Level 3)"/>
    <w:basedOn w:val="Normal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NumberLevel4">
    <w:name w:val="List Number (Level 4)"/>
    <w:basedOn w:val="Normal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DashChar">
    <w:name w:val="List Dash Char"/>
    <w:link w:val="ListDash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yleManualHeading2Italic">
    <w:name w:val="Style Manual Heading 2 + Italic"/>
    <w:basedOn w:val="ManualHeading2"/>
    <w:autoRedefine/>
    <w:pPr>
      <w:spacing w:before="160" w:after="160"/>
      <w:ind w:left="851" w:hanging="851"/>
    </w:pPr>
    <w:rPr>
      <w:bCs/>
      <w:i/>
      <w:iCs/>
    </w:rPr>
  </w:style>
  <w:style w:type="paragraph" w:customStyle="1" w:styleId="NormalCentered">
    <w:name w:val="Normal Centered"/>
    <w:basedOn w:val="Normal"/>
    <w:uiPriority w:val="9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ormalRight">
    <w:name w:val="Normal Right"/>
    <w:basedOn w:val="Normal"/>
    <w:uiPriority w:val="99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ormalLeft">
    <w:name w:val="Normal Left"/>
    <w:basedOn w:val="Normal"/>
    <w:uiPriority w:val="9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int0number">
    <w:name w:val="Point 0 (number)"/>
    <w:basedOn w:val="Normal"/>
    <w:pPr>
      <w:numPr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ormal"/>
    <w:pPr>
      <w:numPr>
        <w:ilvl w:val="2"/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ormal"/>
    <w:pPr>
      <w:numPr>
        <w:ilvl w:val="4"/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ormal"/>
    <w:pPr>
      <w:numPr>
        <w:ilvl w:val="6"/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ormal"/>
    <w:pPr>
      <w:numPr>
        <w:ilvl w:val="1"/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ormal"/>
    <w:pPr>
      <w:numPr>
        <w:ilvl w:val="3"/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ormal"/>
    <w:pPr>
      <w:numPr>
        <w:ilvl w:val="5"/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ormal"/>
    <w:pPr>
      <w:numPr>
        <w:ilvl w:val="7"/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ormal"/>
    <w:pPr>
      <w:numPr>
        <w:ilvl w:val="8"/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1">
    <w:name w:val="NumPar 1"/>
    <w:basedOn w:val="Normal"/>
    <w:next w:val="Text1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umPar2">
    <w:name w:val="NumPar 2"/>
    <w:basedOn w:val="Normal"/>
    <w:next w:val="Normal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umPar3">
    <w:name w:val="NumPar 3"/>
    <w:basedOn w:val="Normal"/>
    <w:next w:val="Normal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umPar4">
    <w:name w:val="NumPar 4"/>
    <w:basedOn w:val="Normal"/>
    <w:next w:val="Normal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CommentReference">
    <w:name w:val="annotation reference"/>
    <w:rPr>
      <w:sz w:val="16"/>
      <w:szCs w:val="16"/>
    </w:rPr>
  </w:style>
  <w:style w:type="paragraph" w:customStyle="1" w:styleId="Statut">
    <w:name w:val="Statut"/>
    <w:basedOn w:val="Normal"/>
    <w:next w:val="Typedudocument"/>
    <w:pPr>
      <w:spacing w:before="360"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otnoter">
    <w:name w:val="Footnote r"/>
    <w:basedOn w:val="Normal"/>
    <w:pPr>
      <w:shd w:val="clear" w:color="auto" w:fill="F2F8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hps">
    <w:name w:val="hps"/>
  </w:style>
  <w:style w:type="paragraph" w:customStyle="1" w:styleId="Tiret2">
    <w:name w:val="Tiret 2"/>
    <w:basedOn w:val="Normal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ListNumber5">
    <w:name w:val="List Number 5"/>
    <w:basedOn w:val="Normal"/>
    <w:pPr>
      <w:numPr>
        <w:numId w:val="1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Pr>
      <w:b/>
      <w:bCs/>
    </w:rPr>
  </w:style>
  <w:style w:type="paragraph" w:styleId="ListBullet3">
    <w:name w:val="List Bullet 3"/>
    <w:basedOn w:val="Normal"/>
    <w:uiPriority w:val="99"/>
    <w:unhideWhenUsed/>
    <w:pPr>
      <w:numPr>
        <w:numId w:val="13"/>
      </w:numPr>
      <w:spacing w:before="120" w:after="120" w:line="240" w:lineRule="auto"/>
      <w:contextualSpacing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M4">
    <w:name w:val="CM4"/>
    <w:basedOn w:val="Normal"/>
    <w:next w:val="Normal"/>
    <w:uiPriority w:val="99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</w:rPr>
  </w:style>
  <w:style w:type="paragraph" w:customStyle="1" w:styleId="doc-ti">
    <w:name w:val="doc-ti"/>
    <w:basedOn w:val="Normal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SubtleEmphasis1">
    <w:name w:val="Subtle Emphasis1"/>
    <w:rPr>
      <w:i/>
      <w:iCs/>
      <w:color w:val="808080"/>
    </w:rPr>
  </w:style>
  <w:style w:type="character" w:customStyle="1" w:styleId="IntenseEmphasis1">
    <w:name w:val="Intense Emphasis1"/>
    <w:rPr>
      <w:b/>
      <w:bCs/>
      <w:i/>
      <w:iCs/>
      <w:color w:val="4F81BD"/>
    </w:rPr>
  </w:style>
  <w:style w:type="character" w:customStyle="1" w:styleId="SubtleReference1">
    <w:name w:val="Subtle Reference1"/>
    <w:rPr>
      <w:smallCaps/>
      <w:color w:val="C0504D"/>
      <w:u w:val="single"/>
    </w:rPr>
  </w:style>
  <w:style w:type="character" w:customStyle="1" w:styleId="IntenseReference1">
    <w:name w:val="Intense Reference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pPr>
      <w:keepNext w:val="0"/>
      <w:keepLines/>
      <w:spacing w:before="480" w:after="0"/>
      <w:jc w:val="both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SubtleEmphasis2">
    <w:name w:val="Subtle Emphasis2"/>
    <w:rPr>
      <w:i/>
      <w:iCs/>
      <w:color w:val="808080"/>
    </w:rPr>
  </w:style>
  <w:style w:type="character" w:customStyle="1" w:styleId="IntenseEmphasis2">
    <w:name w:val="Intense Emphasis2"/>
    <w:rPr>
      <w:b/>
      <w:bCs/>
      <w:i/>
      <w:iCs/>
      <w:color w:val="4F81BD"/>
    </w:rPr>
  </w:style>
  <w:style w:type="character" w:customStyle="1" w:styleId="SubtleReference2">
    <w:name w:val="Subtle Reference2"/>
    <w:rPr>
      <w:smallCaps/>
      <w:color w:val="C0504D"/>
      <w:u w:val="single"/>
    </w:rPr>
  </w:style>
  <w:style w:type="character" w:customStyle="1" w:styleId="IntenseReference2">
    <w:name w:val="Intense Reference2"/>
    <w:rPr>
      <w:b/>
      <w:bCs/>
      <w:smallCaps/>
      <w:color w:val="C0504D"/>
      <w:spacing w:val="5"/>
      <w:u w:val="single"/>
    </w:rPr>
  </w:style>
  <w:style w:type="character" w:customStyle="1" w:styleId="BookTitle2">
    <w:name w:val="Book Title2"/>
    <w:rPr>
      <w:b/>
      <w:bCs/>
      <w:smallCaps/>
      <w:spacing w:val="5"/>
    </w:rPr>
  </w:style>
  <w:style w:type="paragraph" w:customStyle="1" w:styleId="TOCHeading2">
    <w:name w:val="TOC Heading2"/>
    <w:basedOn w:val="Heading1"/>
    <w:next w:val="Normal"/>
    <w:uiPriority w:val="39"/>
    <w:pPr>
      <w:keepNext w:val="0"/>
      <w:keepLines/>
      <w:spacing w:before="480" w:after="0"/>
      <w:jc w:val="both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Caption">
    <w:name w:val="caption"/>
    <w:basedOn w:val="Normal"/>
    <w:next w:val="Normal"/>
    <w:semiHidden/>
    <w:unhideWhenUsed/>
    <w:qFormat/>
    <w:pPr>
      <w:spacing w:after="200" w:line="240" w:lineRule="auto"/>
    </w:pPr>
    <w:rPr>
      <w:rFonts w:ascii="Times New Roman" w:eastAsia="Times New Roman" w:hAnsi="Times New Roman" w:cs="Times New Roman"/>
      <w:b/>
      <w:bCs/>
      <w:color w:val="5B9BD5" w:themeColor="accent1"/>
      <w:sz w:val="18"/>
      <w:szCs w:val="18"/>
    </w:rPr>
  </w:style>
  <w:style w:type="paragraph" w:styleId="Title">
    <w:name w:val="Title"/>
    <w:basedOn w:val="Normal"/>
    <w:link w:val="TitleChar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link w:val="SubtitleChar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agbullets">
    <w:name w:val="ag_bullets"/>
    <w:basedOn w:val="Normal"/>
    <w:qFormat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gtabbullets">
    <w:name w:val="ag_tab_bullets"/>
    <w:basedOn w:val="Normal"/>
    <w:qFormat/>
    <w:pPr>
      <w:numPr>
        <w:numId w:val="15"/>
      </w:num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gfootnote">
    <w:name w:val="ag_footnote"/>
    <w:basedOn w:val="Normal"/>
    <w:qFormat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SecurityMarking">
    <w:name w:val="SecurityMarking"/>
    <w:basedOn w:val="Normal"/>
    <w:pPr>
      <w:spacing w:after="0" w:line="276" w:lineRule="auto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 w:line="276" w:lineRule="auto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 w:line="276" w:lineRule="auto"/>
      <w:ind w:left="5103"/>
    </w:pPr>
    <w:rPr>
      <w:rFonts w:ascii="Times New Roman" w:hAnsi="Times New Roman" w:cs="Times New Roman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budget/www/index-en.htm" TargetMode="Externa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E9875-CCBB-4824-BAAD-1294837B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1165</Words>
  <Characters>5209</Characters>
  <Application>Microsoft Office Word</Application>
  <DocSecurity>0</DocSecurity>
  <Lines>274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SEILER Brigitte (SG)</cp:lastModifiedBy>
  <cp:revision>17</cp:revision>
  <dcterms:created xsi:type="dcterms:W3CDTF">2020-04-06T07:57:00Z</dcterms:created>
  <dcterms:modified xsi:type="dcterms:W3CDTF">2020-04-08T12:24:00Z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CPTemplateID">
    <vt:lpwstr>CP-035</vt:lpwstr>
  </property>
  <property fmtid="{D5CDD505-2E9C-101B-9397-08002B2CF9AE}" pid="7" name="Last edited using">
    <vt:lpwstr>LW 7.0, Build 20190717</vt:lpwstr>
  </property>
  <property fmtid="{D5CDD505-2E9C-101B-9397-08002B2CF9AE}" pid="8" name="Created using">
    <vt:lpwstr>LW 7.0, Build 20190717</vt:lpwstr>
  </property>
</Properties>
</file>