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53" w:rsidRDefault="00D26505" w:rsidP="00D2650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E371A6B-60AE-474C-80AF-A4C6939E2589" style="width:450.9pt;height:333.8pt">
            <v:imagedata r:id="rId8" o:title=""/>
          </v:shape>
        </w:pict>
      </w:r>
    </w:p>
    <w:bookmarkEnd w:id="0"/>
    <w:p w:rsidR="00DC5053" w:rsidRDefault="00DC5053">
      <w:pPr>
        <w:rPr>
          <w:noProof/>
        </w:rPr>
        <w:sectPr w:rsidR="00DC5053" w:rsidSect="00D265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C5053" w:rsidRDefault="00D2650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Като взе предвид:</w:t>
      </w:r>
    </w:p>
    <w:p w:rsidR="00DC5053" w:rsidRDefault="00D26505">
      <w:pPr>
        <w:pStyle w:val="Tiret0"/>
        <w:rPr>
          <w:noProof/>
        </w:rPr>
      </w:pPr>
      <w:r>
        <w:rPr>
          <w:noProof/>
        </w:rPr>
        <w:t xml:space="preserve">Договора за функционирането на Европейския съюз, и по-специално член 314 от него, във връзка с Договора за създаване на </w:t>
      </w:r>
      <w:r>
        <w:rPr>
          <w:noProof/>
        </w:rPr>
        <w:t>Европейската общност за атомна енергия, и по-специално член 106а от него,</w:t>
      </w:r>
    </w:p>
    <w:p w:rsidR="00DC5053" w:rsidRDefault="00D26505"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Регламент (ЕС, Евратом) 2018/1046 на Европейския парламент и на Съвета от 18 юли 2018 г. за финансовите правила, приложими за общия бюджет на Съюза (...)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и по-специално член 44 от </w:t>
      </w:r>
      <w:r>
        <w:rPr>
          <w:noProof/>
        </w:rPr>
        <w:t>него,</w:t>
      </w:r>
    </w:p>
    <w:p w:rsidR="00DC5053" w:rsidRDefault="00D26505"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общия бюджет на Европейския съюз за 2020 финансова година, приет на 27 ноември 2019 г.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DC5053" w:rsidRDefault="00D26505">
      <w:pPr>
        <w:pStyle w:val="Tiret0"/>
        <w:rPr>
          <w:noProof/>
        </w:rPr>
      </w:pPr>
      <w:r>
        <w:rPr>
          <w:noProof/>
        </w:rPr>
        <w:t>проект на коригиращ бюджет № 1/2020</w:t>
      </w:r>
      <w:r>
        <w:rPr>
          <w:rStyle w:val="FootnoteReference"/>
          <w:noProof/>
        </w:rPr>
        <w:footnoteReference w:id="3"/>
      </w:r>
      <w:r>
        <w:rPr>
          <w:noProof/>
        </w:rPr>
        <w:t>, приет на 27 март 2020 г.,</w:t>
      </w:r>
    </w:p>
    <w:p w:rsidR="00DC5053" w:rsidRDefault="00D26505">
      <w:pPr>
        <w:pStyle w:val="Tiret0"/>
        <w:rPr>
          <w:noProof/>
        </w:rPr>
      </w:pPr>
      <w:r>
        <w:rPr>
          <w:noProof/>
        </w:rPr>
        <w:t>проект на коригиращ бюджет № 2/2020</w:t>
      </w:r>
      <w:r>
        <w:rPr>
          <w:rStyle w:val="FootnoteReference"/>
          <w:noProof/>
        </w:rPr>
        <w:footnoteReference w:id="4"/>
      </w:r>
      <w:r>
        <w:rPr>
          <w:noProof/>
        </w:rPr>
        <w:t>, приет на 2 април 2020 г.,</w:t>
      </w:r>
    </w:p>
    <w:p w:rsidR="00DC5053" w:rsidRDefault="00D2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С настоящото Европейската комисия</w:t>
      </w:r>
      <w:r>
        <w:rPr>
          <w:rFonts w:ascii="Times New Roman" w:hAnsi="Times New Roman"/>
          <w:noProof/>
          <w:sz w:val="24"/>
          <w:szCs w:val="24"/>
        </w:rPr>
        <w:t xml:space="preserve"> представя на Европейския парламент и на Съвета проект на коригиращ бюджет № 3 към бюджета за 2020 г.</w:t>
      </w:r>
    </w:p>
    <w:p w:rsidR="00DC5053" w:rsidRDefault="00D26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ПРОМЕНИ В ПРИХОДНАТА И РАЗХОДНАТА ЧАСТ НА БЮДЖЕТА ПО РАЗДЕЛИ</w:t>
      </w:r>
    </w:p>
    <w:p w:rsidR="00DC5053" w:rsidRDefault="00D265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Промените в общата приходна част са достъпни в EUR-Lex (</w:t>
      </w:r>
      <w:hyperlink r:id="rId15" w:history="1">
        <w:r>
          <w:rPr>
            <w:rFonts w:ascii="Times New Roman" w:hAnsi="Times New Roman"/>
            <w:noProof/>
            <w:sz w:val="24"/>
            <w:szCs w:val="24"/>
            <w:u w:val="single"/>
          </w:rPr>
          <w:t>https://eur-lex.europa.eu/budget/www/index-bg.htm</w:t>
        </w:r>
      </w:hyperlink>
      <w:r>
        <w:rPr>
          <w:rFonts w:ascii="Times New Roman" w:hAnsi="Times New Roman"/>
          <w:noProof/>
          <w:sz w:val="24"/>
          <w:szCs w:val="24"/>
        </w:rPr>
        <w:t>).</w:t>
      </w:r>
    </w:p>
    <w:p w:rsidR="00DC5053" w:rsidRDefault="00DC50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sectPr w:rsidR="00DC50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C5053" w:rsidRDefault="00D2650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2" w:name="_Toc194220890"/>
      <w:bookmarkStart w:id="3" w:name="_Toc294675429"/>
      <w:bookmarkStart w:id="4" w:name="_Toc378575883"/>
      <w:r>
        <w:rPr>
          <w:rFonts w:ascii="Times New Roman" w:hAnsi="Times New Roman"/>
          <w:b/>
          <w:noProof/>
          <w:sz w:val="24"/>
          <w:szCs w:val="24"/>
          <w:u w:val="single"/>
        </w:rPr>
        <w:t>ОБЯСНИТЕЛЕН МЕМОРАНДУМ</w:t>
      </w:r>
    </w:p>
    <w:p w:rsidR="00DC5053" w:rsidRDefault="00D265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Проект на коригиращ бюджет (ПКБ) № 3/2020 има за цел да бъде </w:t>
      </w:r>
      <w:r>
        <w:rPr>
          <w:rFonts w:ascii="Times New Roman" w:hAnsi="Times New Roman"/>
          <w:noProof/>
          <w:sz w:val="24"/>
          <w:szCs w:val="24"/>
        </w:rPr>
        <w:t>включен в бюджета за 2020 г. излишъкът в резултат на изпълнението на 2019 бюджетна година. Както е предвидено в член 18, параграф 3 от Финансовия регламент, приложим за общия бюджет на Съюза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en-GB"/>
        </w:rPr>
        <w:footnoteReference w:id="5"/>
      </w:r>
      <w:r>
        <w:rPr>
          <w:rFonts w:ascii="Times New Roman" w:hAnsi="Times New Roman"/>
          <w:noProof/>
          <w:sz w:val="24"/>
          <w:szCs w:val="24"/>
        </w:rPr>
        <w:t>, излишъкът е единственият предмет на настоящия ПКБ, който трябва</w:t>
      </w:r>
      <w:r>
        <w:rPr>
          <w:rFonts w:ascii="Times New Roman" w:hAnsi="Times New Roman"/>
          <w:noProof/>
          <w:sz w:val="24"/>
          <w:szCs w:val="24"/>
        </w:rPr>
        <w:t xml:space="preserve"> да бъде представен в срок от 15 дни от представянето на междинните отчети в края на март 2020 г.</w:t>
      </w:r>
    </w:p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Изпълнението на 2019 бюджетна година показва излишък в размер на 3 218 373 955 EUR, който следователно се записва като приход в бюджета за 2020 г.</w:t>
      </w:r>
    </w:p>
    <w:p w:rsidR="00DC5053" w:rsidRDefault="00D26505">
      <w:pPr>
        <w:spacing w:before="120" w:after="0" w:line="240" w:lineRule="auto"/>
        <w:ind w:left="5954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(EUR)</w:t>
      </w:r>
    </w:p>
    <w:tbl>
      <w:tblPr>
        <w:tblW w:w="3716" w:type="dxa"/>
        <w:jc w:val="center"/>
        <w:tblLook w:val="04A0" w:firstRow="1" w:lastRow="0" w:firstColumn="1" w:lastColumn="0" w:noHBand="0" w:noVBand="1"/>
      </w:tblPr>
      <w:tblGrid>
        <w:gridCol w:w="2159"/>
        <w:gridCol w:w="1557"/>
      </w:tblGrid>
      <w:tr w:rsidR="00DC5053">
        <w:trPr>
          <w:trHeight w:val="57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Разбивка на резултата от изпълнението на бюджета за 2019 г.</w:t>
            </w:r>
          </w:p>
        </w:tc>
      </w:tr>
      <w:tr w:rsidR="00DC505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 xml:space="preserve">Излишък при приходите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2 414 771 516</w:t>
            </w:r>
          </w:p>
        </w:tc>
      </w:tr>
      <w:tr w:rsidR="00DC505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Излишък при разходите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803 602 438</w:t>
            </w:r>
          </w:p>
        </w:tc>
      </w:tr>
      <w:tr w:rsidR="00DC5053"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Общо излишък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3 218 373 955</w:t>
            </w:r>
          </w:p>
        </w:tc>
      </w:tr>
    </w:tbl>
    <w:bookmarkEnd w:id="2"/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 xml:space="preserve">Включването на излишъка в бюджета ще намали в съответната степен общото финансово участие на </w:t>
      </w:r>
      <w:r>
        <w:rPr>
          <w:noProof/>
        </w:rPr>
        <w:t>27-те държави членки и Обединеното кралство</w:t>
      </w:r>
      <w:r>
        <w:rPr>
          <w:noProof/>
          <w:vertAlign w:val="superscript"/>
        </w:rPr>
        <w:footnoteReference w:id="6"/>
      </w:r>
      <w:r>
        <w:rPr>
          <w:noProof/>
        </w:rPr>
        <w:t xml:space="preserve"> във финансирането на бюджета за 2020 г.</w:t>
      </w:r>
    </w:p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2019 г. от гледна точка на изпълнението на приходите:</w:t>
      </w:r>
    </w:p>
    <w:p w:rsidR="00DC5053" w:rsidRDefault="00D26505">
      <w:pPr>
        <w:spacing w:before="120" w:after="0" w:line="240" w:lineRule="auto"/>
        <w:ind w:left="850" w:hanging="850"/>
        <w:jc w:val="right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(EUR)</w:t>
      </w:r>
    </w:p>
    <w:tbl>
      <w:tblPr>
        <w:tblW w:w="91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000"/>
        <w:gridCol w:w="1600"/>
        <w:gridCol w:w="1600"/>
        <w:gridCol w:w="1600"/>
      </w:tblGrid>
      <w:tr w:rsidR="00DC5053">
        <w:trPr>
          <w:trHeight w:val="51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Разбивка на резултата от изпълн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ението на бюджета за 2019 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Бюджет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(вкл. КБ1—3)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Резултат от изпълнението на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Промяна</w:t>
            </w:r>
          </w:p>
        </w:tc>
      </w:tr>
      <w:tr w:rsidR="00DC5053">
        <w:trPr>
          <w:trHeight w:val="27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Междинна сума на приходите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148 492 491 538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150 907 263 054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2 414 771 516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 1 — Собствени ресурси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144 795 111 073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144 765 627 471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-29 483 602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 xml:space="preserve">Налози и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други задължения в сектора на захарта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-824 270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-824 270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Мита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21 471 164 786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21 365 365 626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-105 799 160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Собствени ресурси от ДДС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17 738 667 150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17 774 862 637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36 195 487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Собствени ресурси на база БНД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105 585 279 137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105 700 206 516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114 927 379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Корекция на бюджетните дисбаланси, предоставена на Обединеното кралство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-80 874 689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-80 874 689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Брутно намаление на годишната вноска на база БНД, предоставено на определени държави членки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6 891 651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6 891 651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3 — Излишъци, салда и корекции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802 988 329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1 804 821 556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1 833 227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4 — Лица, работещи в институциите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1 606 517 342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1 575 505 411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-31 011 931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5 — Административна дейност на институциите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25 050 050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22 616 366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-2 433 684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6 — Възстановявания във връзка със споразумения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и програми на Съюза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130 000 000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102 279 350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-27 720 650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7 — Лихви за забава и глоби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115 000 000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2 625 458 174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2 510 458 174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 8 — Операции по получаване и отпускане на заеми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2 823 744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3 111 199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287 455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Дял 9 — Други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15 001 000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7 843 527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-7 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157 473</w:t>
            </w:r>
          </w:p>
        </w:tc>
      </w:tr>
    </w:tbl>
    <w:bookmarkEnd w:id="3"/>
    <w:bookmarkEnd w:id="4"/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Разликите в дял 1 (</w:t>
      </w:r>
      <w:r>
        <w:rPr>
          <w:i/>
          <w:iCs/>
          <w:noProof/>
        </w:rPr>
        <w:t>Собствени ресурси</w:t>
      </w:r>
      <w:r>
        <w:rPr>
          <w:noProof/>
        </w:rPr>
        <w:t xml:space="preserve">) представляват 0,02 % от прогнозата. Те включват предимно със 107 милиона евро по-малко приходи от традиционните собствени ресурси (събрани са 99,5 % от прогнозните средства) и със 77 милиона евро повече </w:t>
      </w:r>
      <w:r>
        <w:rPr>
          <w:noProof/>
        </w:rPr>
        <w:t>приходи от колебанията в обменните курсове (тъй като собствените ресурси се плащат в националната валута, но се записват в бюджета и се отчитат в евро). В дял 3 (</w:t>
      </w:r>
      <w:r>
        <w:rPr>
          <w:i/>
          <w:iCs/>
          <w:noProof/>
        </w:rPr>
        <w:t>Излишъци, салда и корекции</w:t>
      </w:r>
      <w:r>
        <w:rPr>
          <w:noProof/>
        </w:rPr>
        <w:t xml:space="preserve">), който е свързан с корекциите на собствените ресурси, разликата е </w:t>
      </w:r>
      <w:r>
        <w:rPr>
          <w:noProof/>
        </w:rPr>
        <w:t>ограничена до 1,8 милиона евро.</w:t>
      </w:r>
    </w:p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Най-голямата разлика (2 510 милиона евро) се намира в дял 7 (</w:t>
      </w:r>
      <w:r>
        <w:rPr>
          <w:i/>
          <w:iCs/>
          <w:noProof/>
        </w:rPr>
        <w:t>Лихви за забава и глоби</w:t>
      </w:r>
      <w:r>
        <w:rPr>
          <w:noProof/>
        </w:rPr>
        <w:t>).</w:t>
      </w:r>
      <w:r>
        <w:rPr>
          <w:i/>
          <w:noProof/>
        </w:rPr>
        <w:t xml:space="preserve"> </w:t>
      </w:r>
      <w:r>
        <w:rPr>
          <w:noProof/>
        </w:rPr>
        <w:t>Резултатът от изпълнението на бюджета включва глоби в областта на конкуренцията и лихви за забава, други имуществени санкции и лихви, свъ</w:t>
      </w:r>
      <w:r>
        <w:rPr>
          <w:noProof/>
        </w:rPr>
        <w:t>рзани с глоби и имуществени санкции.</w:t>
      </w:r>
    </w:p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2019 г. от гледна точка на бюджетното изпълнение на разходите за всички институции:</w:t>
      </w:r>
    </w:p>
    <w:p w:rsidR="00DC5053" w:rsidRDefault="00D26505">
      <w:pPr>
        <w:spacing w:before="120" w:after="0" w:line="240" w:lineRule="auto"/>
        <w:ind w:left="850" w:hanging="850"/>
        <w:jc w:val="right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(EUR)</w:t>
      </w:r>
    </w:p>
    <w:tbl>
      <w:tblPr>
        <w:tblW w:w="91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000"/>
        <w:gridCol w:w="1600"/>
        <w:gridCol w:w="1600"/>
        <w:gridCol w:w="1600"/>
      </w:tblGrid>
      <w:tr w:rsidR="00DC5053">
        <w:trPr>
          <w:trHeight w:val="51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 xml:space="preserve">Разбивка на резултата от изпълнението на бюджета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за 2019 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Бюджет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(вкл. КБ1—3)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Резултат от изпълнението на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Промяна</w:t>
            </w:r>
          </w:p>
        </w:tc>
      </w:tr>
      <w:tr w:rsidR="00DC5053">
        <w:trPr>
          <w:trHeight w:val="270"/>
          <w:jc w:val="right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Междинна сума на разходите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148 492 491 538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147 688 889 100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-803 602 438</w:t>
            </w:r>
          </w:p>
        </w:tc>
      </w:tr>
      <w:tr w:rsidR="00DC5053">
        <w:trPr>
          <w:trHeight w:val="270"/>
          <w:jc w:val="right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Резултат за разрешените бюджетни кредити 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148 492 491 538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147 817 807 228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-674 684 310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Европейска комисия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144 377 037 181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143 784 765 183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-592 271 998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1а — Конкурентоспособност за растеж и работни места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20 261 398 070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20 231 004 880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-30 393 190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1б — Икономическо, социално и териториално сближаване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47 561 482 793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 xml:space="preserve">47 559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522 299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-1 960 494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2 — Устойчив растеж: природни ресурси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57 836 518 964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57 827 120 612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-9 398 352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3 — Сигурност и гражданство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3 290 532 388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3 161 760 749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-128 771 639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4 — Глобална Европа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8 952 616 966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8 946 611 596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 xml:space="preserve">-6 005 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370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Функция 5 —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5 827 041 386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5 763 345 126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-63 696 260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Други специални инструменти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647 446 615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295 399 920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-352 046 694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Други институции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4 115 454 357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4 033 042 045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-82 412 312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Европейски парламент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1 996 978 262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1 973 232 524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 xml:space="preserve"> 745 738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Съвет и Европейски съвет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581 895 459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536 999 597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-44 895 862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Съд на Европейския съюз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429 468 936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423 900 255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-5 568 681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Европейска сметна палата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146 890 518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144 314 828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-2 575 690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Европейски икономически и социален комитет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138 502 768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135 923 436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-2 579 332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Комитет на регионите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98 751 065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98 362 401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-388 664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Европейски омбудсман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11 496 261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10 614 755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-881 506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Европейски надзорен орган по защита на данните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16 638 572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15 301 687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-1 336 885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Европейска служба за външна дейност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694 832 516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694 392 562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</w:rPr>
              <w:t>-439 954</w:t>
            </w:r>
          </w:p>
        </w:tc>
      </w:tr>
      <w:tr w:rsidR="00DC5053">
        <w:trPr>
          <w:trHeight w:val="270"/>
          <w:jc w:val="right"/>
        </w:trPr>
        <w:tc>
          <w:tcPr>
            <w:tcW w:w="4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Отмяна на бюджетни кредити, пренесени от предходни години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-125 294 786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-125 294 786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Европейска комисия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-86 283 393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-86 283 393</w:t>
            </w:r>
          </w:p>
        </w:tc>
      </w:tr>
      <w:tr w:rsidR="00DC5053">
        <w:trPr>
          <w:trHeight w:val="270"/>
          <w:jc w:val="right"/>
        </w:trPr>
        <w:tc>
          <w:tcPr>
            <w:tcW w:w="3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Други институции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-39 011 393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-39 011 393</w:t>
            </w:r>
          </w:p>
        </w:tc>
      </w:tr>
      <w:tr w:rsidR="00DC5053">
        <w:trPr>
          <w:trHeight w:val="270"/>
          <w:jc w:val="right"/>
        </w:trPr>
        <w:tc>
          <w:tcPr>
            <w:tcW w:w="4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 xml:space="preserve">Колебания в обменните курсове при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разходите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-3 623 342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53" w:rsidRDefault="00D26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-3 623 342</w:t>
            </w:r>
          </w:p>
        </w:tc>
      </w:tr>
    </w:tbl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 xml:space="preserve">Комисията изпълни 99,6 % от разрешените бюджетни кредити за плащания. Неусвоената сума бе 592,3 милиона евро, от които 351,5 милиона евро от средствата, заделени за Резерва за спешна помощ, и 94,5 милиона евро в резерв във функция 3 </w:t>
      </w:r>
      <w:r>
        <w:rPr>
          <w:i/>
          <w:iCs/>
          <w:noProof/>
        </w:rPr>
        <w:t>Сигурност и гражданство</w:t>
      </w:r>
      <w:r>
        <w:rPr>
          <w:noProof/>
        </w:rPr>
        <w:t>.</w:t>
      </w:r>
    </w:p>
    <w:p w:rsidR="00DC5053" w:rsidRDefault="00D26505">
      <w:pPr>
        <w:pStyle w:val="ListParagraph"/>
        <w:numPr>
          <w:ilvl w:val="0"/>
          <w:numId w:val="32"/>
        </w:numPr>
        <w:tabs>
          <w:tab w:val="num" w:pos="850"/>
        </w:tabs>
        <w:spacing w:before="120" w:after="120"/>
        <w:ind w:hanging="720"/>
        <w:contextualSpacing w:val="0"/>
        <w:jc w:val="both"/>
        <w:rPr>
          <w:noProof/>
        </w:rPr>
      </w:pPr>
      <w:r>
        <w:rPr>
          <w:noProof/>
        </w:rPr>
        <w:t>Непълното усвояване при другите институции в размер на 82 милиона евро е малко по-високо от това през 2018 г. (76 милиона евро), но е по-ниско в сравнение с 2017 г. и 2016 г. (съответно 83 милиона евро и 103 милиона евро).</w:t>
      </w:r>
    </w:p>
    <w:sectPr w:rsidR="00DC50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72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53" w:rsidRDefault="00D26505">
      <w:pPr>
        <w:spacing w:after="0" w:line="240" w:lineRule="auto"/>
      </w:pPr>
      <w:r>
        <w:separator/>
      </w:r>
    </w:p>
  </w:endnote>
  <w:endnote w:type="continuationSeparator" w:id="0">
    <w:p w:rsidR="00DC5053" w:rsidRDefault="00D2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FooterCoverPage"/>
      <w:rPr>
        <w:rFonts w:ascii="Arial" w:hAnsi="Arial" w:cs="Arial"/>
        <w:b/>
        <w:sz w:val="48"/>
      </w:rPr>
    </w:pPr>
    <w:r w:rsidRPr="00D26505">
      <w:rPr>
        <w:rFonts w:ascii="Arial" w:hAnsi="Arial" w:cs="Arial"/>
        <w:b/>
        <w:sz w:val="48"/>
      </w:rPr>
      <w:t>BG</w:t>
    </w:r>
    <w:r w:rsidRPr="00D26505">
      <w:rPr>
        <w:rFonts w:ascii="Arial" w:hAnsi="Arial" w:cs="Arial"/>
        <w:b/>
        <w:sz w:val="48"/>
      </w:rPr>
      <w:tab/>
    </w:r>
    <w:r w:rsidRPr="00D26505">
      <w:rPr>
        <w:rFonts w:ascii="Arial" w:hAnsi="Arial" w:cs="Arial"/>
        <w:b/>
        <w:sz w:val="48"/>
      </w:rPr>
      <w:tab/>
    </w:r>
    <w:r w:rsidRPr="00D26505">
      <w:tab/>
    </w:r>
    <w:r w:rsidRPr="00D26505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26505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26505">
    <w:pPr>
      <w:pStyle w:val="Footer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53" w:rsidRDefault="00D26505">
      <w:pPr>
        <w:spacing w:after="0" w:line="240" w:lineRule="auto"/>
      </w:pPr>
      <w:r>
        <w:separator/>
      </w:r>
    </w:p>
  </w:footnote>
  <w:footnote w:type="continuationSeparator" w:id="0">
    <w:p w:rsidR="00DC5053" w:rsidRDefault="00D26505">
      <w:pPr>
        <w:spacing w:after="0" w:line="240" w:lineRule="auto"/>
      </w:pPr>
      <w:r>
        <w:continuationSeparator/>
      </w:r>
    </w:p>
  </w:footnote>
  <w:footnote w:id="1">
    <w:p w:rsidR="00DC5053" w:rsidRDefault="00D26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ОВ L 193, 30.7.2018 г.</w:t>
      </w:r>
    </w:p>
  </w:footnote>
  <w:footnote w:id="2">
    <w:p w:rsidR="00DC5053" w:rsidRDefault="00D26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ОВ L 57, 27.2.2020 г.</w:t>
      </w:r>
    </w:p>
  </w:footnote>
  <w:footnote w:id="3">
    <w:p w:rsidR="00DC5053" w:rsidRDefault="00D26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COM(2020) 145, 27.3.2020 г.</w:t>
      </w:r>
    </w:p>
  </w:footnote>
  <w:footnote w:id="4">
    <w:p w:rsidR="00DC5053" w:rsidRDefault="00D26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COM(2020) 170, 2.4.2020 г.</w:t>
      </w:r>
    </w:p>
  </w:footnote>
  <w:footnote w:id="5">
    <w:p w:rsidR="00DC5053" w:rsidRDefault="00D26505">
      <w:pPr>
        <w:pStyle w:val="FootnoteText"/>
        <w:rPr>
          <w:sz w:val="18"/>
          <w:szCs w:val="18"/>
        </w:rPr>
      </w:pPr>
      <w:r>
        <w:rPr>
          <w:rStyle w:val="FootnoteReference"/>
          <w:sz w:val="24"/>
          <w:szCs w:val="24"/>
        </w:rPr>
        <w:footnoteRef/>
      </w:r>
      <w:r>
        <w:rPr>
          <w:sz w:val="18"/>
          <w:szCs w:val="18"/>
        </w:rPr>
        <w:tab/>
        <w:t>ОВ L 193, 30.7.2018 г., стр. 1.</w:t>
      </w:r>
    </w:p>
  </w:footnote>
  <w:footnote w:id="6">
    <w:p w:rsidR="00DC5053" w:rsidRDefault="00D26505">
      <w:pPr>
        <w:pStyle w:val="Default"/>
        <w:ind w:left="720" w:hanging="720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Проектът на коригиращ бюджет ще доведе също до намаляване на вноската на Обединеното кралство в </w:t>
      </w:r>
      <w:r>
        <w:rPr>
          <w:sz w:val="18"/>
          <w:szCs w:val="18"/>
        </w:rPr>
        <w:t>съответствие с член 126 и член 135, параграф 1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(ОВ L 29, 31.1.2020 г., стр. 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05" w:rsidRPr="00D26505" w:rsidRDefault="00D26505" w:rsidP="00D26505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53" w:rsidRDefault="00DC5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E49F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38AC5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FF73A7"/>
    <w:multiLevelType w:val="hybridMultilevel"/>
    <w:tmpl w:val="1D74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35770"/>
    <w:multiLevelType w:val="hybridMultilevel"/>
    <w:tmpl w:val="365E0218"/>
    <w:lvl w:ilvl="0" w:tplc="8264D7DC">
      <w:start w:val="1"/>
      <w:numFmt w:val="bullet"/>
      <w:pStyle w:val="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865E">
      <w:numFmt w:val="decimal"/>
      <w:lvlText w:val=""/>
      <w:lvlJc w:val="left"/>
    </w:lvl>
    <w:lvl w:ilvl="2" w:tplc="581813B8">
      <w:numFmt w:val="decimal"/>
      <w:lvlText w:val=""/>
      <w:lvlJc w:val="left"/>
    </w:lvl>
    <w:lvl w:ilvl="3" w:tplc="B7C81A1E">
      <w:numFmt w:val="decimal"/>
      <w:lvlText w:val=""/>
      <w:lvlJc w:val="left"/>
    </w:lvl>
    <w:lvl w:ilvl="4" w:tplc="5030D16A">
      <w:numFmt w:val="decimal"/>
      <w:lvlText w:val=""/>
      <w:lvlJc w:val="left"/>
    </w:lvl>
    <w:lvl w:ilvl="5" w:tplc="7A1E383C">
      <w:numFmt w:val="decimal"/>
      <w:lvlText w:val=""/>
      <w:lvlJc w:val="left"/>
    </w:lvl>
    <w:lvl w:ilvl="6" w:tplc="CE08976E">
      <w:numFmt w:val="decimal"/>
      <w:lvlText w:val=""/>
      <w:lvlJc w:val="left"/>
    </w:lvl>
    <w:lvl w:ilvl="7" w:tplc="D5D01BC0">
      <w:numFmt w:val="decimal"/>
      <w:lvlText w:val=""/>
      <w:lvlJc w:val="left"/>
    </w:lvl>
    <w:lvl w:ilvl="8" w:tplc="05920FDA">
      <w:numFmt w:val="decimal"/>
      <w:lvlText w:val=""/>
      <w:lvlJc w:val="left"/>
    </w:lvl>
  </w:abstractNum>
  <w:abstractNum w:abstractNumId="4" w15:restartNumberingAfterBreak="0">
    <w:nsid w:val="107E5539"/>
    <w:multiLevelType w:val="hybridMultilevel"/>
    <w:tmpl w:val="7AA6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F62"/>
    <w:multiLevelType w:val="hybridMultilevel"/>
    <w:tmpl w:val="F84ADDA2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AC5"/>
    <w:multiLevelType w:val="hybridMultilevel"/>
    <w:tmpl w:val="942260B6"/>
    <w:lvl w:ilvl="0" w:tplc="6450B6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BEC"/>
    <w:multiLevelType w:val="hybridMultilevel"/>
    <w:tmpl w:val="D93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E4906"/>
    <w:multiLevelType w:val="hybridMultilevel"/>
    <w:tmpl w:val="094E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302D7658"/>
    <w:multiLevelType w:val="hybridMultilevel"/>
    <w:tmpl w:val="BEE25C58"/>
    <w:lvl w:ilvl="0" w:tplc="0CD24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B5B"/>
    <w:multiLevelType w:val="hybridMultilevel"/>
    <w:tmpl w:val="E78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90F25DB"/>
    <w:multiLevelType w:val="hybridMultilevel"/>
    <w:tmpl w:val="E7265104"/>
    <w:lvl w:ilvl="0" w:tplc="B0DC89EA">
      <w:start w:val="1"/>
      <w:numFmt w:val="bullet"/>
      <w:pStyle w:val="agta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0EFC82">
      <w:numFmt w:val="decimal"/>
      <w:lvlText w:val=""/>
      <w:lvlJc w:val="left"/>
    </w:lvl>
    <w:lvl w:ilvl="2" w:tplc="98DA8758">
      <w:numFmt w:val="decimal"/>
      <w:lvlText w:val=""/>
      <w:lvlJc w:val="left"/>
    </w:lvl>
    <w:lvl w:ilvl="3" w:tplc="A8DA21E8">
      <w:numFmt w:val="decimal"/>
      <w:lvlText w:val=""/>
      <w:lvlJc w:val="left"/>
    </w:lvl>
    <w:lvl w:ilvl="4" w:tplc="4C5E1946">
      <w:numFmt w:val="decimal"/>
      <w:lvlText w:val=""/>
      <w:lvlJc w:val="left"/>
    </w:lvl>
    <w:lvl w:ilvl="5" w:tplc="DC50A908">
      <w:numFmt w:val="decimal"/>
      <w:lvlText w:val=""/>
      <w:lvlJc w:val="left"/>
    </w:lvl>
    <w:lvl w:ilvl="6" w:tplc="277AF326">
      <w:numFmt w:val="decimal"/>
      <w:lvlText w:val=""/>
      <w:lvlJc w:val="left"/>
    </w:lvl>
    <w:lvl w:ilvl="7" w:tplc="96EC6C5E">
      <w:numFmt w:val="decimal"/>
      <w:lvlText w:val=""/>
      <w:lvlJc w:val="left"/>
    </w:lvl>
    <w:lvl w:ilvl="8" w:tplc="CF347B90">
      <w:numFmt w:val="decimal"/>
      <w:lvlText w:val=""/>
      <w:lvlJc w:val="left"/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B196F20"/>
    <w:multiLevelType w:val="hybridMultilevel"/>
    <w:tmpl w:val="EDA0D93A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A4B95"/>
    <w:multiLevelType w:val="hybridMultilevel"/>
    <w:tmpl w:val="D7C8C63E"/>
    <w:lvl w:ilvl="0" w:tplc="1B5E4E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5BE70879"/>
    <w:multiLevelType w:val="hybridMultilevel"/>
    <w:tmpl w:val="1C344ADE"/>
    <w:lvl w:ilvl="0" w:tplc="76F660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001"/>
    <w:multiLevelType w:val="hybridMultilevel"/>
    <w:tmpl w:val="71E6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DE2AF6"/>
    <w:multiLevelType w:val="hybridMultilevel"/>
    <w:tmpl w:val="B23E61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0037CE4"/>
    <w:multiLevelType w:val="hybridMultilevel"/>
    <w:tmpl w:val="C6AC5448"/>
    <w:lvl w:ilvl="0" w:tplc="AD4A71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70FE1"/>
    <w:multiLevelType w:val="hybridMultilevel"/>
    <w:tmpl w:val="C2F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54E49"/>
    <w:multiLevelType w:val="hybridMultilevel"/>
    <w:tmpl w:val="1B00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7C897016"/>
    <w:multiLevelType w:val="hybridMultilevel"/>
    <w:tmpl w:val="97A06FA8"/>
    <w:lvl w:ilvl="0" w:tplc="1A0C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7"/>
  </w:num>
  <w:num w:numId="5">
    <w:abstractNumId w:val="24"/>
  </w:num>
  <w:num w:numId="6">
    <w:abstractNumId w:val="14"/>
  </w:num>
  <w:num w:numId="7">
    <w:abstractNumId w:val="9"/>
  </w:num>
  <w:num w:numId="8">
    <w:abstractNumId w:val="28"/>
  </w:num>
  <w:num w:numId="9">
    <w:abstractNumId w:val="22"/>
  </w:num>
  <w:num w:numId="10">
    <w:abstractNumId w:val="30"/>
  </w:num>
  <w:num w:numId="11">
    <w:abstractNumId w:val="23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4"/>
  </w:num>
  <w:num w:numId="20">
    <w:abstractNumId w:val="5"/>
  </w:num>
  <w:num w:numId="21">
    <w:abstractNumId w:val="2"/>
  </w:num>
  <w:num w:numId="22">
    <w:abstractNumId w:val="15"/>
  </w:num>
  <w:num w:numId="23">
    <w:abstractNumId w:val="27"/>
  </w:num>
  <w:num w:numId="24">
    <w:abstractNumId w:val="25"/>
  </w:num>
  <w:num w:numId="25">
    <w:abstractNumId w:val="11"/>
  </w:num>
  <w:num w:numId="26">
    <w:abstractNumId w:val="19"/>
  </w:num>
  <w:num w:numId="27">
    <w:abstractNumId w:val="18"/>
  </w:num>
  <w:num w:numId="28">
    <w:abstractNumId w:val="16"/>
  </w:num>
  <w:num w:numId="29">
    <w:abstractNumId w:val="29"/>
  </w:num>
  <w:num w:numId="30">
    <w:abstractNumId w:val="20"/>
    <w:lvlOverride w:ilvl="0">
      <w:startOverride w:val="1"/>
    </w:lvlOverride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E371A6B-60AE-474C-80AF-A4C6939E2589"/>
    <w:docVar w:name="LW_COVERPAGE_TYPE" w:val="1"/>
    <w:docVar w:name="LW_CROSSREFERENCE" w:val="&lt;UNUSED&gt;"/>
    <w:docVar w:name="LW_DocType" w:val="NORMAL"/>
    <w:docVar w:name="LW_EMISSION" w:val="15.4.2020"/>
    <w:docVar w:name="LW_EMISSION_ISODATE" w:val="2020-04-15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1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42?\u1055?\u1048?\u1057?\u1042?\u1040?\u1053?\u1045? \u1053?\u1040? \u1048?\u1047?\u1051?\u1048?\u1064?\u1066?\u1050?\u1040? \u1054?\u1058? 2019 \u1060?\u1048?\u1053?\u1040?\u1053?\u1057?\u1054?\u1042?\u1040? \u1043?\u1054?\u1044?\u1048?\u1053?\u1040?"/>
    <w:docVar w:name="LW_TYPE.DOC.CP" w:val="\u1055?\u1056?\u1054?\u1045?\u1050?\u1058? \u1053?\u1040? \u1050?\u1054?\u1056?\u1048?\u1043?\u1048?\u1056?\u1040?\u1065? \u1041?\u1070?\u1044?\u1046?\u1045?\u1058? \u8470? 3_x000b_\u1050?\u1066?\u1052? \u1054?\u1041?\u1065?\u1048?\u1071? \u1041?\u1070?\u1044?\u1046?\u1045?\u1058? \u1047?\u1040? 2020 \u1043?._x000b__x000b_"/>
  </w:docVars>
  <w:rsids>
    <w:rsidRoot w:val="00DC5053"/>
    <w:rsid w:val="00D26505"/>
    <w:rsid w:val="00D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B0F860CF-3547-4E4A-A501-F359871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aliases w:val="Char, Char,Abschnitt"/>
    <w:basedOn w:val="Normal"/>
    <w:next w:val="Normal"/>
    <w:link w:val="Heading2Char"/>
    <w:autoRedefine/>
    <w:qFormat/>
    <w:pPr>
      <w:keepNext/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aliases w:val="Heading 3 Auto"/>
    <w:basedOn w:val="Normal"/>
    <w:next w:val="Normal"/>
    <w:link w:val="Heading3Char"/>
    <w:autoRedefine/>
    <w:qFormat/>
    <w:pPr>
      <w:keepNext/>
      <w:numPr>
        <w:ilvl w:val="2"/>
      </w:num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</w:numPr>
      <w:tabs>
        <w:tab w:val="num" w:pos="1030"/>
      </w:tabs>
      <w:spacing w:before="120" w:after="120" w:line="240" w:lineRule="auto"/>
      <w:ind w:left="1030" w:hanging="85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jc w:val="both"/>
      <w:outlineLvl w:val="4"/>
    </w:pPr>
    <w:rPr>
      <w:rFonts w:ascii="Arial" w:eastAsiaTheme="majorEastAsia" w:hAnsi="Arial" w:cs="Aria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 w:line="240" w:lineRule="auto"/>
      <w:jc w:val="both"/>
      <w:outlineLvl w:val="5"/>
    </w:pPr>
    <w:rPr>
      <w:rFonts w:ascii="Arial" w:eastAsiaTheme="majorEastAsia" w:hAnsi="Arial" w:cs="Arial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jc w:val="both"/>
      <w:outlineLvl w:val="6"/>
    </w:pPr>
    <w:rPr>
      <w:rFonts w:ascii="Arial" w:eastAsiaTheme="majorEastAsia" w:hAnsi="Arial" w:cs="Arial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 w:line="240" w:lineRule="auto"/>
      <w:jc w:val="both"/>
      <w:outlineLvl w:val="7"/>
    </w:pPr>
    <w:rPr>
      <w:rFonts w:ascii="Arial" w:eastAsiaTheme="majorEastAsia" w:hAnsi="Arial" w:cs="Arial"/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 w:line="240" w:lineRule="auto"/>
      <w:jc w:val="both"/>
      <w:outlineLvl w:val="8"/>
    </w:pPr>
    <w:rPr>
      <w:rFonts w:ascii="Arial" w:eastAsiaTheme="majorEastAsia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iret0">
    <w:name w:val="Tir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aliases w:val="Char Char, Char Char,Abschnitt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Heading 3 Auto Char"/>
    <w:basedOn w:val="DefaultParagraphFont"/>
    <w:link w:val="Heading3"/>
    <w:rPr>
      <w:rFonts w:ascii="Arial" w:eastAsia="Times New Roman" w:hAnsi="Arial" w:cs="Arial"/>
      <w:b/>
      <w:bCs/>
      <w:i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Theme="majorEastAsia" w:hAnsi="Arial" w:cs="Aria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Theme="majorEastAsia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Theme="majorEastAsia" w:hAnsi="Arial" w:cs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Theme="majorEastAsia" w:hAnsi="Arial" w:cs="Arial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Theme="majorEastAsia" w:hAnsi="Arial" w:cs="Arial"/>
      <w:i/>
      <w:iCs/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qFormat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semiHidden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Bullet">
    <w:name w:val="List Bullet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ListNumber">
    <w:name w:val="List Number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DashChar">
    <w:name w:val="List Dash Char"/>
    <w:link w:val="ListDash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paragraph" w:customStyle="1" w:styleId="NormalCentered">
    <w:name w:val="Normal Centered"/>
    <w:basedOn w:val="Normal"/>
    <w:uiPriority w:val="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Right">
    <w:name w:val="Normal Right"/>
    <w:basedOn w:val="Normal"/>
    <w:uiPriority w:val="99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rmalLeft">
    <w:name w:val="Normal Left"/>
    <w:basedOn w:val="Normal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0number">
    <w:name w:val="Point 0 (number)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r">
    <w:name w:val="Footnote r"/>
    <w:basedOn w:val="Normal"/>
    <w:pPr>
      <w:shd w:val="clear" w:color="auto" w:fill="F2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ps">
    <w:name w:val="hps"/>
  </w:style>
  <w:style w:type="paragraph" w:customStyle="1" w:styleId="Tiret2">
    <w:name w:val="Tiret 2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5">
    <w:name w:val="List Number 5"/>
    <w:basedOn w:val="Normal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Bullet3">
    <w:name w:val="List Bullet 3"/>
    <w:basedOn w:val="Normal"/>
    <w:uiPriority w:val="99"/>
    <w:unhideWhenUsed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SubtleReference1">
    <w:name w:val="Subtle Reference1"/>
    <w:rPr>
      <w:smallCaps/>
      <w:color w:val="C0504D"/>
      <w:u w:val="single"/>
    </w:rPr>
  </w:style>
  <w:style w:type="character" w:customStyle="1" w:styleId="IntenseReference1">
    <w:name w:val="Intense Referenc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ubtleEmphasis2">
    <w:name w:val="Subtle Emphasis2"/>
    <w:rPr>
      <w:i/>
      <w:iCs/>
      <w:color w:val="808080"/>
    </w:rPr>
  </w:style>
  <w:style w:type="character" w:customStyle="1" w:styleId="IntenseEmphasis2">
    <w:name w:val="Intense Emphasis2"/>
    <w:rPr>
      <w:b/>
      <w:bCs/>
      <w:i/>
      <w:iCs/>
      <w:color w:val="4F81BD"/>
    </w:rPr>
  </w:style>
  <w:style w:type="character" w:customStyle="1" w:styleId="SubtleReference2">
    <w:name w:val="Subtle Reference2"/>
    <w:rPr>
      <w:smallCaps/>
      <w:color w:val="C0504D"/>
      <w:u w:val="single"/>
    </w:rPr>
  </w:style>
  <w:style w:type="character" w:customStyle="1" w:styleId="IntenseReference2">
    <w:name w:val="Intense Reference2"/>
    <w:rPr>
      <w:b/>
      <w:bCs/>
      <w:smallCaps/>
      <w:color w:val="C0504D"/>
      <w:spacing w:val="5"/>
      <w:u w:val="single"/>
    </w:rPr>
  </w:style>
  <w:style w:type="character" w:customStyle="1" w:styleId="BookTitle2">
    <w:name w:val="Book Title2"/>
    <w:rPr>
      <w:b/>
      <w:bCs/>
      <w:smallCaps/>
      <w:spacing w:val="5"/>
    </w:rPr>
  </w:style>
  <w:style w:type="paragraph" w:customStyle="1" w:styleId="TOCHeading2">
    <w:name w:val="TOC Heading2"/>
    <w:basedOn w:val="Heading1"/>
    <w:next w:val="Normal"/>
    <w:uiPriority w:val="39"/>
    <w:pPr>
      <w:keepNext w:val="0"/>
      <w:keepLines/>
      <w:spacing w:before="480" w:after="0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gbullets">
    <w:name w:val="ag_bullets"/>
    <w:basedOn w:val="Normal"/>
    <w:qFormat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gtabbullets">
    <w:name w:val="ag_tab_bullets"/>
    <w:basedOn w:val="Normal"/>
    <w:qFormat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gfootnote">
    <w:name w:val="ag_footnote"/>
    <w:basedOn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budget/www/index-bg.htm" TargetMode="Externa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1921-0086-4245-B1C2-0EE6A522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1205</Words>
  <Characters>5475</Characters>
  <Application>Microsoft Office Word</Application>
  <DocSecurity>0</DocSecurity>
  <Lines>288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SEILER Brigitte (SG)</cp:lastModifiedBy>
  <cp:revision>19</cp:revision>
  <dcterms:created xsi:type="dcterms:W3CDTF">2020-04-06T07:57:00Z</dcterms:created>
  <dcterms:modified xsi:type="dcterms:W3CDTF">2020-04-23T15:52:00Z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