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12EC472-DE5A-45BB-8A6F-EF0401BA8557" style="width:451.25pt;height:430.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2018/0178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Регламент на Европейския парламент и на Съвета за създаване на рамка за насърчаване на инвестициите в устойчиво развитие 2018/0178 (COD) и с изменението на Регламент 2019/2088 относно оповестяването на информация във връзка с устойчивостта в сектора на финансовите услуги</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Дата на предаване на предложението на Европейския парламент </w:t>
            </w:r>
          </w:p>
          <w:p>
            <w:pPr>
              <w:jc w:val="left"/>
              <w:rPr>
                <w:noProof/>
              </w:rPr>
            </w:pPr>
            <w:r>
              <w:rPr>
                <w:noProof/>
              </w:rPr>
              <w:t>и на Съвета (документ COM(2018) 0353 final — 2018/0178 COD):</w:t>
            </w:r>
          </w:p>
        </w:tc>
        <w:tc>
          <w:tcPr>
            <w:tcW w:w="2483" w:type="dxa"/>
          </w:tcPr>
          <w:p>
            <w:pPr>
              <w:jc w:val="left"/>
              <w:rPr>
                <w:noProof/>
              </w:rPr>
            </w:pPr>
            <w:r>
              <w:rPr>
                <w:noProof/>
              </w:rPr>
              <w:t>24 май 2018 г.</w:t>
            </w:r>
          </w:p>
        </w:tc>
      </w:tr>
      <w:tr>
        <w:tc>
          <w:tcPr>
            <w:tcW w:w="6804" w:type="dxa"/>
          </w:tcPr>
          <w:p>
            <w:pPr>
              <w:rPr>
                <w:noProof/>
              </w:rPr>
            </w:pPr>
            <w:r>
              <w:rPr>
                <w:noProof/>
              </w:rPr>
              <w:t xml:space="preserve">Дата на становището на Европейския икономически </w:t>
            </w:r>
          </w:p>
          <w:p>
            <w:pPr>
              <w:rPr>
                <w:noProof/>
              </w:rPr>
            </w:pPr>
            <w:r>
              <w:rPr>
                <w:noProof/>
              </w:rPr>
              <w:t xml:space="preserve"> и социален комитет:</w:t>
            </w:r>
          </w:p>
        </w:tc>
        <w:tc>
          <w:tcPr>
            <w:tcW w:w="2483" w:type="dxa"/>
          </w:tcPr>
          <w:p>
            <w:pPr>
              <w:jc w:val="left"/>
              <w:rPr>
                <w:noProof/>
              </w:rPr>
            </w:pPr>
            <w:r>
              <w:rPr>
                <w:noProof/>
              </w:rPr>
              <w:t>17 октомври 2018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28 март 2019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Не се прилага.</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15 април 2020 г.</w:t>
            </w:r>
          </w:p>
        </w:tc>
      </w:tr>
    </w:tbl>
    <w:p>
      <w:pPr>
        <w:pStyle w:val="ManualHeading1"/>
        <w:rPr>
          <w:noProof/>
        </w:rPr>
      </w:pPr>
      <w:r>
        <w:rPr>
          <w:noProof/>
        </w:rPr>
        <w:t>2.</w:t>
      </w:r>
      <w:r>
        <w:rPr>
          <w:noProof/>
        </w:rPr>
        <w:tab/>
        <w:t>Цел на предложението на Комисията</w:t>
      </w:r>
    </w:p>
    <w:p>
      <w:pPr>
        <w:pStyle w:val="Text"/>
        <w:spacing w:before="120" w:after="120"/>
        <w:jc w:val="both"/>
        <w:rPr>
          <w:rFonts w:ascii="Times New Roman" w:hAnsi="Times New Roman" w:cs="Times New Roman"/>
          <w:noProof/>
          <w:sz w:val="24"/>
          <w:szCs w:val="24"/>
          <w:lang w:val="bg-BG"/>
        </w:rPr>
      </w:pPr>
      <w:r>
        <w:rPr>
          <w:rFonts w:ascii="Times New Roman" w:hAnsi="Times New Roman"/>
          <w:noProof/>
          <w:lang w:val="bg-BG"/>
        </w:rPr>
        <w:t>През март 2018</w:t>
      </w:r>
      <w:r>
        <w:rPr>
          <w:rFonts w:ascii="Times New Roman" w:hAnsi="Times New Roman"/>
          <w:noProof/>
        </w:rPr>
        <w:t> </w:t>
      </w:r>
      <w:r>
        <w:rPr>
          <w:rFonts w:ascii="Times New Roman" w:hAnsi="Times New Roman"/>
          <w:noProof/>
          <w:lang w:val="bg-BG"/>
        </w:rPr>
        <w:t>г. Комисията представи амбициозен план за действие за финансиране на устойчивия растеж</w:t>
      </w:r>
      <w:r>
        <w:rPr>
          <w:rStyle w:val="FootnoteReference"/>
          <w:rFonts w:ascii="Times New Roman" w:hAnsi="Times New Roman" w:cs="Times New Roman"/>
          <w:noProof/>
        </w:rPr>
        <w:footnoteReference w:id="1"/>
      </w:r>
      <w:r>
        <w:rPr>
          <w:rFonts w:ascii="Times New Roman" w:hAnsi="Times New Roman" w:cs="Times New Roman"/>
          <w:noProof/>
          <w:lang w:val="bg-BG"/>
        </w:rPr>
        <w:t>.</w:t>
      </w:r>
      <w:r>
        <w:rPr>
          <w:rFonts w:ascii="Times New Roman" w:hAnsi="Times New Roman"/>
          <w:noProof/>
          <w:lang w:val="bg-BG"/>
        </w:rPr>
        <w:t xml:space="preserve"> Целта на този план за действие е мобилизирането на частния сектор в подкрепа на прехода към нисковъглеродна, по-ефективна в използването на ресурсите и по-устойчива икономика. Както бе посочено в плана за действие, липсата на ясно определение на понятието „екологосъобразен“ е понастоящем сред основните пречки за увеличаването на екологосъобразните инвестиции. Ето защо основополагащ елемент на плана за действие е създаването на „таксономия на ЕС“ — обща система за класификация на екологосъобразните икономически дейности. За тази цел през май 2018</w:t>
      </w:r>
      <w:r>
        <w:rPr>
          <w:rFonts w:ascii="Times New Roman" w:hAnsi="Times New Roman"/>
          <w:noProof/>
        </w:rPr>
        <w:t> </w:t>
      </w:r>
      <w:r>
        <w:rPr>
          <w:rFonts w:ascii="Times New Roman" w:hAnsi="Times New Roman"/>
          <w:noProof/>
          <w:lang w:val="bg-BG"/>
        </w:rPr>
        <w:t>г. Комисията представи предложение за регламент</w:t>
      </w:r>
      <w:r>
        <w:rPr>
          <w:rStyle w:val="FootnoteReference"/>
          <w:rFonts w:ascii="Times New Roman" w:hAnsi="Times New Roman" w:cs="Times New Roman"/>
          <w:noProof/>
        </w:rPr>
        <w:footnoteReference w:id="2"/>
      </w:r>
      <w:r>
        <w:rPr>
          <w:rFonts w:ascii="Times New Roman" w:hAnsi="Times New Roman"/>
          <w:noProof/>
          <w:lang w:val="bg-BG"/>
        </w:rPr>
        <w:t xml:space="preserve">, което има следните три цели: </w:t>
      </w:r>
    </w:p>
    <w:p>
      <w:pPr>
        <w:pStyle w:val="Point1"/>
        <w:rPr>
          <w:noProof/>
        </w:rPr>
      </w:pPr>
      <w:r>
        <w:rPr>
          <w:noProof/>
        </w:rPr>
        <w:lastRenderedPageBreak/>
        <w:t>(1)</w:t>
      </w:r>
      <w:r>
        <w:rPr>
          <w:noProof/>
        </w:rPr>
        <w:tab/>
        <w:t>предоставяне на дружествата и инвеститорите на подходящи определения на икономическите дейности, които могат да се считат за екологосъобразни;</w:t>
      </w:r>
    </w:p>
    <w:p>
      <w:pPr>
        <w:pStyle w:val="Point1"/>
        <w:rPr>
          <w:noProof/>
        </w:rPr>
      </w:pPr>
      <w:r>
        <w:rPr>
          <w:noProof/>
        </w:rPr>
        <w:t>(2)</w:t>
      </w:r>
      <w:r>
        <w:rPr>
          <w:noProof/>
        </w:rPr>
        <w:tab/>
        <w:t>предоставяне, чрез тези определения, на крайните инвеститори, в т.ч. на индивидуалните инвеститори, на възможност да насочват капитала към екологосъобразни дейности, като ограничават рисковете от заблуждаваща информация за екологосъобразност</w:t>
      </w:r>
      <w:r>
        <w:rPr>
          <w:rStyle w:val="FootnoteReference"/>
          <w:noProof/>
        </w:rPr>
        <w:footnoteReference w:id="3"/>
      </w:r>
      <w:r>
        <w:rPr>
          <w:noProof/>
        </w:rPr>
        <w:t>; както и</w:t>
      </w:r>
    </w:p>
    <w:p>
      <w:pPr>
        <w:pStyle w:val="Point1"/>
        <w:rPr>
          <w:noProof/>
        </w:rPr>
      </w:pPr>
      <w:r>
        <w:rPr>
          <w:noProof/>
        </w:rPr>
        <w:t>(3)</w:t>
      </w:r>
      <w:r>
        <w:rPr>
          <w:noProof/>
        </w:rPr>
        <w:tab/>
        <w:t xml:space="preserve">недопускане на разпокъсване на пазара, чрез предоставяне на инвеститорите, дружествата и държавите членки на единна отправна точка при определяне на екологосъобразността на дадена инвестиция. </w:t>
      </w:r>
    </w:p>
    <w:p>
      <w:pPr>
        <w:pStyle w:val="Text"/>
        <w:spacing w:before="120" w:after="120"/>
        <w:jc w:val="both"/>
        <w:rPr>
          <w:rFonts w:ascii="Times New Roman" w:hAnsi="Times New Roman" w:cs="Times New Roman"/>
          <w:noProof/>
          <w:sz w:val="24"/>
          <w:szCs w:val="24"/>
          <w:lang w:val="bg-BG"/>
        </w:rPr>
      </w:pPr>
      <w:r>
        <w:rPr>
          <w:rFonts w:ascii="Times New Roman" w:hAnsi="Times New Roman"/>
          <w:noProof/>
          <w:lang w:val="bg-BG"/>
        </w:rPr>
        <w:t>Таксономията на ЕС ще представлява общ език, който инвеститорите и дружествата ще могат да използват, за да откриват възможности за инвестиции в проекти и икономически дейности със значителен принос за постигане на целите в областта на климата и околната среда. Това ще помогне на инвеститорите и дружествата да направят операциите си устойчиви. По този начин таксономията на ЕС ще спомогне за увеличаването на частните и публичните инвестиции за финансиране на прехода към устойчивост в съответствие с целите на Европейския зелен пакт.</w:t>
      </w:r>
    </w:p>
    <w:p>
      <w:pPr>
        <w:pStyle w:val="Text"/>
        <w:spacing w:before="120" w:after="120"/>
        <w:jc w:val="both"/>
        <w:rPr>
          <w:rFonts w:ascii="Times New Roman" w:hAnsi="Times New Roman" w:cs="Times New Roman"/>
          <w:noProof/>
          <w:sz w:val="24"/>
          <w:szCs w:val="24"/>
          <w:lang w:val="bg-BG"/>
        </w:rPr>
      </w:pPr>
      <w:r>
        <w:rPr>
          <w:rFonts w:ascii="Times New Roman" w:hAnsi="Times New Roman"/>
          <w:noProof/>
          <w:lang w:val="bg-BG"/>
        </w:rPr>
        <w:t>Таксономията обхваща екологосъобразните дейности в следните области: смекчаване на изменението на климата; приспособяване към изменението на климата; устойчиво използване и опазване на водните и морските ресурси; кръгова икономика; предотвратяване и контрол на замърсяването; както и опазване и възстановяване на биологичното разнообразие и екосистемите. До 31 декември 2021</w:t>
      </w:r>
      <w:r>
        <w:rPr>
          <w:rFonts w:ascii="Times New Roman" w:hAnsi="Times New Roman"/>
          <w:noProof/>
        </w:rPr>
        <w:t> </w:t>
      </w:r>
      <w:r>
        <w:rPr>
          <w:rFonts w:ascii="Times New Roman" w:hAnsi="Times New Roman"/>
          <w:noProof/>
          <w:lang w:val="bg-BG"/>
        </w:rPr>
        <w:t>г. Комисията трябва да публикува доклад за разширяването на обхвата на таксономията, така че да се включат и други цели, свързани с устойчивото развитие, в т.ч. социални цели.</w:t>
      </w:r>
    </w:p>
    <w:p>
      <w:pPr>
        <w:pStyle w:val="Text"/>
        <w:spacing w:before="120" w:after="120"/>
        <w:jc w:val="both"/>
        <w:rPr>
          <w:rFonts w:ascii="Times New Roman" w:hAnsi="Times New Roman" w:cs="Times New Roman"/>
          <w:noProof/>
          <w:sz w:val="24"/>
          <w:szCs w:val="24"/>
          <w:lang w:val="bg-BG"/>
        </w:rPr>
      </w:pPr>
      <w:r>
        <w:rPr>
          <w:rFonts w:ascii="Times New Roman" w:hAnsi="Times New Roman"/>
          <w:noProof/>
          <w:lang w:val="bg-BG"/>
        </w:rPr>
        <w:t>След като придобие окончателен вид таксономията ще улесни разработването на стандарти и обозначения за екологосъобразни финансови продукти. Тя ще бъде и неразделна част от предоставянето на информация, свързана с устойчивото развитие, от страна на финансовите и нефинансовите дружества. Освен това, както беше обявено в инвестиционния план на Европейския зелен пакт</w:t>
      </w:r>
      <w:r>
        <w:rPr>
          <w:rStyle w:val="FootnoteReference"/>
          <w:rFonts w:ascii="Times New Roman" w:hAnsi="Times New Roman" w:cs="Times New Roman"/>
          <w:noProof/>
        </w:rPr>
        <w:footnoteReference w:id="4"/>
      </w:r>
      <w:r>
        <w:rPr>
          <w:rFonts w:ascii="Times New Roman" w:hAnsi="Times New Roman"/>
          <w:noProof/>
          <w:lang w:val="bg-BG"/>
        </w:rPr>
        <w:t xml:space="preserve">, таксономията ще бъде взета предвид и в документите с насоки, в рамките на </w:t>
      </w:r>
      <w:r>
        <w:rPr>
          <w:rFonts w:ascii="Times New Roman" w:hAnsi="Times New Roman"/>
          <w:noProof/>
        </w:rPr>
        <w:t>InvestEU</w:t>
      </w:r>
      <w:r>
        <w:rPr>
          <w:rStyle w:val="FootnoteReference"/>
          <w:rFonts w:ascii="Times New Roman" w:hAnsi="Times New Roman" w:cs="Times New Roman"/>
          <w:noProof/>
        </w:rPr>
        <w:footnoteReference w:id="5"/>
      </w:r>
      <w:r>
        <w:rPr>
          <w:rFonts w:ascii="Times New Roman" w:hAnsi="Times New Roman"/>
          <w:noProof/>
          <w:lang w:val="bg-BG"/>
        </w:rPr>
        <w:t>, за проследяване на разходите в областта на климата и околната среда и за проверка на устойчивостта, които ще бъдат публикувани през втората половина на 2020</w:t>
      </w:r>
      <w:r>
        <w:rPr>
          <w:rFonts w:ascii="Times New Roman" w:hAnsi="Times New Roman"/>
          <w:noProof/>
        </w:rPr>
        <w:t> </w:t>
      </w:r>
      <w:r>
        <w:rPr>
          <w:rFonts w:ascii="Times New Roman" w:hAnsi="Times New Roman"/>
          <w:noProof/>
          <w:lang w:val="bg-BG"/>
        </w:rPr>
        <w:t xml:space="preserve">г. Освен </w:t>
      </w:r>
      <w:r>
        <w:rPr>
          <w:rFonts w:ascii="Times New Roman" w:hAnsi="Times New Roman"/>
          <w:noProof/>
        </w:rPr>
        <w:t>InvestEU</w:t>
      </w:r>
      <w:r>
        <w:rPr>
          <w:rFonts w:ascii="Times New Roman" w:hAnsi="Times New Roman"/>
          <w:noProof/>
          <w:lang w:val="bg-BG"/>
        </w:rPr>
        <w:t>, Комисията ще проучи, чрез обновена стратегия за финансиране на устойчивото развитие, която ще бъде публикувана през втората половина на 2020</w:t>
      </w:r>
      <w:r>
        <w:rPr>
          <w:rFonts w:ascii="Times New Roman" w:hAnsi="Times New Roman"/>
          <w:noProof/>
        </w:rPr>
        <w:t> </w:t>
      </w:r>
      <w:r>
        <w:rPr>
          <w:rFonts w:ascii="Times New Roman" w:hAnsi="Times New Roman"/>
          <w:noProof/>
          <w:lang w:val="bg-BG"/>
        </w:rPr>
        <w:t>г., как субектите от публичния сектор могат да използват таксономията, за да се постигне сближаване на стандартите между частния и публичния сектор и да се намери най-подходящият начин за използване на инструментите за смесено финансиране.</w:t>
      </w:r>
    </w:p>
    <w:p>
      <w:pPr>
        <w:pStyle w:val="ManualHeading1"/>
        <w:rPr>
          <w:noProof/>
        </w:rPr>
      </w:pPr>
      <w:r>
        <w:rPr>
          <w:noProof/>
        </w:rPr>
        <w:t>3.</w:t>
      </w:r>
      <w:r>
        <w:rPr>
          <w:noProof/>
        </w:rPr>
        <w:tab/>
        <w:t>Коментари по позицията на Съвета</w:t>
      </w:r>
    </w:p>
    <w:p>
      <w:pPr>
        <w:widowControl w:val="0"/>
        <w:rPr>
          <w:noProof/>
        </w:rPr>
      </w:pPr>
      <w:r>
        <w:rPr>
          <w:noProof/>
        </w:rPr>
        <w:t xml:space="preserve">Позицията на Съвета отразява политическото споразумение, постигнато от Европейския парламент и Съвета на 16 декември 2019 г. Комисията подкрепя това споразумение. </w:t>
      </w:r>
    </w:p>
    <w:p>
      <w:pPr>
        <w:spacing w:after="100" w:afterAutospacing="1"/>
        <w:rPr>
          <w:noProof/>
        </w:rPr>
      </w:pPr>
      <w:r>
        <w:rPr>
          <w:noProof/>
        </w:rPr>
        <w:t>Политическото споразумение въведе няколко промени, които се отклоняват от първоначалното предложение на Комисията, включително по следните точки:</w:t>
      </w:r>
    </w:p>
    <w:p>
      <w:pPr>
        <w:pStyle w:val="ManualNumPar1"/>
        <w:rPr>
          <w:noProof/>
        </w:rPr>
      </w:pPr>
      <w:r>
        <w:rPr>
          <w:noProof/>
        </w:rPr>
        <w:lastRenderedPageBreak/>
        <w:t>1.</w:t>
      </w:r>
      <w:r>
        <w:rPr>
          <w:noProof/>
        </w:rPr>
        <w:tab/>
        <w:t xml:space="preserve">Разширяване на обхвата на регламента: </w:t>
      </w:r>
    </w:p>
    <w:p>
      <w:pPr>
        <w:spacing w:after="100" w:afterAutospacing="1"/>
        <w:rPr>
          <w:noProof/>
        </w:rPr>
      </w:pPr>
      <w:r>
        <w:rPr>
          <w:noProof/>
        </w:rPr>
        <w:t>На първо място, в политическото споразумение се предвижда допълнително задължение за ЕС да прилага таксономията за целите на всички публични мерки, стандарти и обозначения, определяйки изисквания към участниците на финансовите пазари или емитентите в областта на финансовите продукти или корпоративните облигации, предлагани на пазара като „екологосъобразни“.</w:t>
      </w:r>
    </w:p>
    <w:p>
      <w:pPr>
        <w:rPr>
          <w:noProof/>
        </w:rPr>
      </w:pPr>
      <w:r>
        <w:rPr>
          <w:noProof/>
        </w:rPr>
        <w:t>На второ място, от всички участници на финансовите пазари, както са определени в регламента</w:t>
      </w:r>
      <w:r>
        <w:rPr>
          <w:rStyle w:val="FootnoteReference"/>
          <w:noProof/>
        </w:rPr>
        <w:footnoteReference w:id="6"/>
      </w:r>
      <w:r>
        <w:rPr>
          <w:noProof/>
        </w:rPr>
        <w:t>, ще се изисква да оповестяват как и до каква степен инвестициите, които са в основата на техния финансов продукт, подкрепят обхванатите от таксономията икономически дейности. Участниците на финансовите пазари, които не желаят да оповестяват обхванатите от таксономията икономически дейности и съответно не желаят да предлагат своите продукти като екологосъобразни или притежаващи сходни характеристики, ще трябва да правят изявление, в което обясняват това.</w:t>
      </w:r>
    </w:p>
    <w:p>
      <w:pPr>
        <w:spacing w:after="100" w:afterAutospacing="1"/>
        <w:rPr>
          <w:noProof/>
        </w:rPr>
      </w:pPr>
      <w:r>
        <w:rPr>
          <w:noProof/>
        </w:rPr>
        <w:t>На трето място, големите финансови и нефинансови дружества, които вече трябва да публикуват нефинансова декларация</w:t>
      </w:r>
      <w:r>
        <w:rPr>
          <w:rStyle w:val="FootnoteReference"/>
          <w:noProof/>
        </w:rPr>
        <w:footnoteReference w:id="7"/>
      </w:r>
      <w:r>
        <w:rPr>
          <w:noProof/>
        </w:rPr>
        <w:t>, ще трябва да оповестяват как и до каква степен техните дейности са свързани с тези, обхванати от таксономията. Това включва приблизително 6 000 дружества и групи в целия ЕС. В съответствие с насоките, придружаващи Директивата относно оповестяването на нефинансова информация, съответните ключови показатели за ефективност (КПЕ) са оборотът, капиталовите разходи и оперативните разходи. В делегиран акт, който Комисията трябва да представи до юни 2021 г., могат да бъдат определени различни КПЕ за финансовите дружества.</w:t>
      </w:r>
    </w:p>
    <w:p>
      <w:pPr>
        <w:pStyle w:val="ManualNumPar1"/>
        <w:rPr>
          <w:noProof/>
        </w:rPr>
      </w:pPr>
      <w:r>
        <w:rPr>
          <w:noProof/>
        </w:rPr>
        <w:t>2.</w:t>
      </w:r>
      <w:r>
        <w:rPr>
          <w:noProof/>
        </w:rPr>
        <w:tab/>
        <w:t>Уточняване на видовете икономически дейности, които могат да бъдат сметнати за допустими:</w:t>
      </w:r>
    </w:p>
    <w:p>
      <w:pPr>
        <w:spacing w:after="100" w:afterAutospacing="1"/>
        <w:rPr>
          <w:noProof/>
        </w:rPr>
      </w:pPr>
      <w:r>
        <w:rPr>
          <w:noProof/>
        </w:rPr>
        <w:t xml:space="preserve">С политическото споразумение се въвеждат две подкатегории екологосъобразни икономически дейности: </w:t>
      </w:r>
      <w:r>
        <w:rPr>
          <w:i/>
          <w:iCs/>
          <w:noProof/>
        </w:rPr>
        <w:t>спомагателни дейности</w:t>
      </w:r>
      <w:r>
        <w:rPr>
          <w:noProof/>
        </w:rPr>
        <w:t xml:space="preserve"> (приложими за всичките шест екологични цели) и </w:t>
      </w:r>
      <w:r>
        <w:rPr>
          <w:i/>
          <w:iCs/>
          <w:noProof/>
        </w:rPr>
        <w:t>преходни дейности</w:t>
      </w:r>
      <w:r>
        <w:rPr>
          <w:noProof/>
        </w:rPr>
        <w:t xml:space="preserve"> (приложими само за целта за смекчаване на последиците от изменението на климата).</w:t>
      </w:r>
    </w:p>
    <w:p>
      <w:pPr>
        <w:spacing w:after="100" w:afterAutospacing="1"/>
        <w:rPr>
          <w:noProof/>
        </w:rPr>
      </w:pPr>
      <w:r>
        <w:rPr>
          <w:i/>
          <w:iCs/>
          <w:noProof/>
        </w:rPr>
        <w:t>Спомагателните дейности</w:t>
      </w:r>
      <w:r>
        <w:rPr>
          <w:noProof/>
        </w:rPr>
        <w:t xml:space="preserve"> пряко позволяват на другите дейности да имат съществен принос за постигането на една или повече от екологичните цели. Бяха въведени предпазни мерки за недопускане на заблуждаваща информация за екологосъобразност. Първата от тези предпазни мерки е, че спомагателните дейности не могат да водят до блокиране на активи, което, предвид икономическия жизнен цикъл на тези активи, подкопава дългосрочните екологични цели. Втората от тези предпазни мерки е, че спомагателните дейности трябва, от гледна точка на жизнения цикъл, да имат значително положително екологично въздействие.</w:t>
      </w:r>
    </w:p>
    <w:p>
      <w:pPr>
        <w:spacing w:after="100" w:afterAutospacing="1"/>
        <w:rPr>
          <w:noProof/>
        </w:rPr>
      </w:pPr>
      <w:r>
        <w:rPr>
          <w:i/>
          <w:iCs/>
          <w:noProof/>
        </w:rPr>
        <w:t>Преходни дейности</w:t>
      </w:r>
      <w:r>
        <w:rPr>
          <w:noProof/>
        </w:rPr>
        <w:t xml:space="preserve"> са дейностите: i) за които понастоящем няма технически или икономически осъществими алтернативи с ниски въглеродни емисии; и ii) които </w:t>
      </w:r>
      <w:r>
        <w:rPr>
          <w:noProof/>
        </w:rPr>
        <w:lastRenderedPageBreak/>
        <w:t>подкрепят прехода към неутрална по отношение на климата икономика по начин, който съответства на план-графика за ограничаване на повишаването на температурата до 1,5 градуса Целзий над равнищата от прединдустриалния период. Тук, както и при спомагателните дейности, бяха въведени редица предпазни мерки за недопускане на заблуждаваща информация за екологосъобразност</w:t>
      </w:r>
      <w:r>
        <w:rPr>
          <w:rStyle w:val="FootnoteReference"/>
          <w:noProof/>
        </w:rPr>
        <w:footnoteReference w:id="8"/>
      </w:r>
      <w:r>
        <w:rPr>
          <w:noProof/>
        </w:rPr>
        <w:t>. Тази подкатегория на преходните дейности е от значение единствено за целта за смекчаване на последиците от изменението на климата.</w:t>
      </w:r>
    </w:p>
    <w:p>
      <w:pPr>
        <w:pStyle w:val="ManualNumPar1"/>
        <w:rPr>
          <w:noProof/>
        </w:rPr>
      </w:pPr>
      <w:r>
        <w:rPr>
          <w:noProof/>
        </w:rPr>
        <w:t>3.</w:t>
      </w:r>
      <w:r>
        <w:rPr>
          <w:noProof/>
        </w:rPr>
        <w:tab/>
        <w:t>Промени в разпоредбите, които се отнасят до специфични икономически дейности от интерес:</w:t>
      </w:r>
    </w:p>
    <w:p>
      <w:pPr>
        <w:spacing w:after="100" w:afterAutospacing="1"/>
        <w:rPr>
          <w:noProof/>
        </w:rPr>
      </w:pPr>
      <w:r>
        <w:rPr>
          <w:noProof/>
        </w:rPr>
        <w:t xml:space="preserve">Производството на електроенергия от твърди изкопаеми горива е изрично изключено от критериите за допустимост. </w:t>
      </w:r>
    </w:p>
    <w:p>
      <w:pPr>
        <w:spacing w:after="100" w:afterAutospacing="1"/>
        <w:rPr>
          <w:noProof/>
        </w:rPr>
      </w:pPr>
      <w:r>
        <w:rPr>
          <w:noProof/>
        </w:rPr>
        <w:t>Значението на „неутралната по отношение на климата енергия“ за прехода се признава в едно от съображенията на политическото споразумение, като бе заличено позоваването на „неутралната по отношение на климата енергия“ като част от целта за смекчаване на последиците от изменението на климата. От Комисията бе поискано да оцени, при избора на дейностите, които могат да бъдат разглеждани като „преходни дейности“, всички съответни съществуващи технологии. В този контекст за „засягащи значително постигането на някоя от посочените цели“ се считат икономическите дейности, когато дългосрочното обезвреждане на отпадъците може значително и трайно да навреди на околната среда. Като част от политическото споразумение текстът засилва и ролята на оценките на жизнения цикъл при разработването на техническите оценъчни критерии.</w:t>
      </w:r>
    </w:p>
    <w:p>
      <w:pPr>
        <w:spacing w:after="100" w:afterAutospacing="1"/>
        <w:rPr>
          <w:noProof/>
        </w:rPr>
      </w:pPr>
      <w:r>
        <w:rPr>
          <w:noProof/>
        </w:rPr>
        <w:t>При изгарянето на отпадъци „избягване“ на изгарянето на отпадъци бе заменено със „свеждане до минимум“ — като един от начините, по които една икономическа дейност може да допринесе значително за прехода към кръгова икономика. Освен това бе добавено позоваване на принципите на йерархията на отпадъците. Принципът „да не се засяга значително постигането на някоя от посочените цели“ изрично постановява, че допустимите дейности не следва да водят до значително увеличаване на генерирането, изгарянето или обезвреждането на отпадъци, като е предвидено изключение за изгарянето на нерециклируеми опасни отпадъци.</w:t>
      </w:r>
    </w:p>
    <w:p>
      <w:pPr>
        <w:pStyle w:val="ManualNumPar1"/>
        <w:rPr>
          <w:noProof/>
        </w:rPr>
      </w:pPr>
      <w:r>
        <w:rPr>
          <w:noProof/>
        </w:rPr>
        <w:t>4.</w:t>
      </w:r>
      <w:r>
        <w:rPr>
          <w:noProof/>
        </w:rPr>
        <w:tab/>
        <w:t xml:space="preserve">Увеличаване на минималните социални гаранции </w:t>
      </w:r>
    </w:p>
    <w:p>
      <w:pPr>
        <w:spacing w:after="100" w:afterAutospacing="1"/>
        <w:rPr>
          <w:noProof/>
        </w:rPr>
      </w:pPr>
      <w:r>
        <w:rPr>
          <w:noProof/>
        </w:rPr>
        <w:t>Политическото споразумение добавя към списъка на минималните гаранции три международни инструмента/насоки във връзка с правата на човека:</w:t>
      </w:r>
    </w:p>
    <w:p>
      <w:pPr>
        <w:pStyle w:val="Tiret1"/>
        <w:numPr>
          <w:ilvl w:val="0"/>
          <w:numId w:val="11"/>
        </w:numPr>
        <w:rPr>
          <w:noProof/>
        </w:rPr>
      </w:pPr>
      <w:r>
        <w:rPr>
          <w:noProof/>
        </w:rPr>
        <w:t xml:space="preserve">Насоките на ОИСР за мултинационалните дружества; </w:t>
      </w:r>
    </w:p>
    <w:p>
      <w:pPr>
        <w:pStyle w:val="Tiret1"/>
        <w:rPr>
          <w:noProof/>
        </w:rPr>
      </w:pPr>
      <w:r>
        <w:rPr>
          <w:noProof/>
        </w:rPr>
        <w:t xml:space="preserve">Ръководните принципи на ООН за бизнеса и правата на човека; както и </w:t>
      </w:r>
    </w:p>
    <w:p>
      <w:pPr>
        <w:pStyle w:val="Tiret1"/>
        <w:rPr>
          <w:noProof/>
        </w:rPr>
      </w:pPr>
      <w:r>
        <w:rPr>
          <w:noProof/>
        </w:rPr>
        <w:t>Международната харта за правата на човека.</w:t>
      </w:r>
    </w:p>
    <w:p>
      <w:pPr>
        <w:pStyle w:val="ListParagraph"/>
        <w:spacing w:after="100" w:afterAutospacing="1"/>
        <w:rPr>
          <w:noProof/>
        </w:rPr>
      </w:pPr>
    </w:p>
    <w:p>
      <w:pPr>
        <w:pStyle w:val="ManualNumPar1"/>
        <w:rPr>
          <w:noProof/>
        </w:rPr>
      </w:pPr>
      <w:r>
        <w:rPr>
          <w:noProof/>
        </w:rPr>
        <w:lastRenderedPageBreak/>
        <w:t>5.</w:t>
      </w:r>
      <w:r>
        <w:rPr>
          <w:noProof/>
        </w:rPr>
        <w:tab/>
        <w:t>Разширяване на членския състав и задачите на платформата за финансиране на устойчивото развитие („платформата“):</w:t>
      </w:r>
    </w:p>
    <w:p>
      <w:pPr>
        <w:pStyle w:val="Briefinglist1"/>
        <w:numPr>
          <w:ilvl w:val="0"/>
          <w:numId w:val="0"/>
        </w:numPr>
        <w:ind w:left="360"/>
        <w:rPr>
          <w:rFonts w:ascii="Times New Roman" w:hAnsi="Times New Roman" w:cs="Times New Roman"/>
          <w:noProof/>
          <w:sz w:val="24"/>
        </w:rPr>
      </w:pPr>
      <w:r>
        <w:rPr>
          <w:rFonts w:ascii="Times New Roman" w:hAnsi="Times New Roman"/>
          <w:noProof/>
        </w:rPr>
        <w:t>Политическото споразумение разширява обхвата на действие на платформата и нейния членски състав, така че тя да може да съветва Комисията по следните допълнителни точки:</w:t>
      </w:r>
    </w:p>
    <w:p>
      <w:pPr>
        <w:pStyle w:val="Tiret1"/>
        <w:rPr>
          <w:noProof/>
        </w:rPr>
      </w:pPr>
      <w:r>
        <w:rPr>
          <w:noProof/>
        </w:rPr>
        <w:t>възможната роля, в подкрепа на прилагането на таксономията, на стандартите за осчетоводяване на устойчивостта и за предоставяне на информация за нея;</w:t>
      </w:r>
    </w:p>
    <w:p>
      <w:pPr>
        <w:pStyle w:val="Tiret1"/>
        <w:rPr>
          <w:noProof/>
        </w:rPr>
      </w:pPr>
      <w:r>
        <w:rPr>
          <w:noProof/>
        </w:rPr>
        <w:t>евентуалната необходимост от подобряване на наличността и качеството на данните;</w:t>
      </w:r>
    </w:p>
    <w:p>
      <w:pPr>
        <w:pStyle w:val="Tiret1"/>
        <w:rPr>
          <w:noProof/>
        </w:rPr>
      </w:pPr>
      <w:r>
        <w:rPr>
          <w:noProof/>
        </w:rPr>
        <w:t xml:space="preserve">постигането на други цели, свързани с устойчивото развитие, в т.ч. социални; </w:t>
      </w:r>
    </w:p>
    <w:p>
      <w:pPr>
        <w:pStyle w:val="Tiret1"/>
        <w:rPr>
          <w:noProof/>
        </w:rPr>
      </w:pPr>
      <w:r>
        <w:rPr>
          <w:noProof/>
        </w:rPr>
        <w:t>функционирането на минималните гаранции и евентуалната необходимост от допълване на съществуващите изисквания;</w:t>
      </w:r>
    </w:p>
    <w:p>
      <w:pPr>
        <w:pStyle w:val="Tiret1"/>
        <w:rPr>
          <w:noProof/>
        </w:rPr>
      </w:pPr>
      <w:r>
        <w:rPr>
          <w:noProof/>
        </w:rPr>
        <w:t>оценката и разработването на политики за финансиране на устойчивото развитие, включително по въпроси, свързани със съгласуваността на политиките.</w:t>
      </w:r>
    </w:p>
    <w:p>
      <w:pPr>
        <w:pStyle w:val="Briefinglist1"/>
        <w:numPr>
          <w:ilvl w:val="0"/>
          <w:numId w:val="0"/>
        </w:numPr>
        <w:rPr>
          <w:rFonts w:ascii="Times New Roman" w:hAnsi="Times New Roman" w:cs="Times New Roman"/>
          <w:noProof/>
          <w:sz w:val="24"/>
        </w:rPr>
      </w:pPr>
      <w:r>
        <w:rPr>
          <w:rFonts w:ascii="Times New Roman" w:hAnsi="Times New Roman"/>
          <w:noProof/>
        </w:rPr>
        <w:t>В този контекст политическото споразумение уточнява, че съставът на платформата трябва да включва следните участници:</w:t>
      </w:r>
    </w:p>
    <w:p>
      <w:pPr>
        <w:pStyle w:val="Tiret1"/>
        <w:rPr>
          <w:noProof/>
        </w:rPr>
      </w:pPr>
      <w:r>
        <w:rPr>
          <w:noProof/>
        </w:rPr>
        <w:t xml:space="preserve">Агенцията на Европейския съюз за основните права; </w:t>
      </w:r>
    </w:p>
    <w:p>
      <w:pPr>
        <w:pStyle w:val="Tiret1"/>
        <w:rPr>
          <w:noProof/>
        </w:rPr>
      </w:pPr>
      <w:r>
        <w:rPr>
          <w:noProof/>
        </w:rPr>
        <w:t>представители на гражданското общество;</w:t>
      </w:r>
    </w:p>
    <w:p>
      <w:pPr>
        <w:pStyle w:val="Tiret1"/>
        <w:rPr>
          <w:noProof/>
        </w:rPr>
      </w:pPr>
      <w:r>
        <w:rPr>
          <w:noProof/>
        </w:rPr>
        <w:t>представители на съответните финансови и нефинансови стопански сектори, в т.ч. представители на съответните промишлени сектори;</w:t>
      </w:r>
    </w:p>
    <w:p>
      <w:pPr>
        <w:pStyle w:val="Tiret1"/>
        <w:rPr>
          <w:noProof/>
        </w:rPr>
      </w:pPr>
      <w:r>
        <w:rPr>
          <w:noProof/>
        </w:rPr>
        <w:t>експерти с опит в областта на счетоводството и предоставянето на информация.</w:t>
      </w:r>
    </w:p>
    <w:p>
      <w:pPr>
        <w:pStyle w:val="Briefinglist1"/>
        <w:numPr>
          <w:ilvl w:val="0"/>
          <w:numId w:val="0"/>
        </w:numPr>
        <w:rPr>
          <w:rFonts w:ascii="Times New Roman" w:hAnsi="Times New Roman" w:cs="Times New Roman"/>
          <w:noProof/>
          <w:sz w:val="24"/>
        </w:rPr>
      </w:pPr>
      <w:r>
        <w:rPr>
          <w:rFonts w:ascii="Times New Roman" w:hAnsi="Times New Roman"/>
          <w:noProof/>
        </w:rPr>
        <w:t>Платформата ще функционира съгласно хоризонталните правила на Комисията относно експертните групи</w:t>
      </w:r>
      <w:r>
        <w:rPr>
          <w:rStyle w:val="FootnoteReference"/>
          <w:rFonts w:ascii="Times New Roman" w:hAnsi="Times New Roman" w:cs="Times New Roman"/>
          <w:noProof/>
        </w:rPr>
        <w:footnoteReference w:id="9"/>
      </w:r>
      <w:r>
        <w:rPr>
          <w:noProof/>
        </w:rPr>
        <w:t>.</w:t>
      </w:r>
    </w:p>
    <w:p>
      <w:pPr>
        <w:pStyle w:val="ManualNumPar1"/>
        <w:rPr>
          <w:noProof/>
        </w:rPr>
      </w:pPr>
      <w:r>
        <w:rPr>
          <w:noProof/>
        </w:rPr>
        <w:t>6.</w:t>
      </w:r>
      <w:r>
        <w:rPr>
          <w:noProof/>
        </w:rPr>
        <w:tab/>
        <w:t xml:space="preserve">Създаване на експертна група на държавите членки </w:t>
      </w:r>
    </w:p>
    <w:p>
      <w:pPr>
        <w:spacing w:after="100" w:afterAutospacing="1"/>
        <w:rPr>
          <w:noProof/>
        </w:rPr>
      </w:pPr>
      <w:r>
        <w:rPr>
          <w:noProof/>
        </w:rPr>
        <w:t>С политическото споразумение се създава експертна група на държавите членки, която да съветва Комисията по целесъобразността на техническите оценъчни критерии и възприетия от платформата подход. Експертната група ще функционира съгласно хоризонталните правила на Комисията относно експертните групи</w:t>
      </w:r>
      <w:r>
        <w:rPr>
          <w:rStyle w:val="FootnoteReference"/>
          <w:noProof/>
        </w:rPr>
        <w:footnoteReference w:id="10"/>
      </w:r>
      <w:r>
        <w:rPr>
          <w:noProof/>
        </w:rPr>
        <w:t>.</w:t>
      </w:r>
    </w:p>
    <w:p>
      <w:pPr>
        <w:pStyle w:val="ManualNumPar1"/>
        <w:rPr>
          <w:noProof/>
        </w:rPr>
      </w:pPr>
      <w:r>
        <w:rPr>
          <w:noProof/>
        </w:rPr>
        <w:t>7.</w:t>
      </w:r>
      <w:r>
        <w:rPr>
          <w:noProof/>
        </w:rPr>
        <w:tab/>
        <w:t>Изменения на Регламента за оповестяването</w:t>
      </w:r>
    </w:p>
    <w:p>
      <w:pPr>
        <w:spacing w:after="100" w:afterAutospacing="1"/>
        <w:rPr>
          <w:noProof/>
        </w:rPr>
      </w:pPr>
      <w:r>
        <w:rPr>
          <w:noProof/>
        </w:rPr>
        <w:t xml:space="preserve">С политическото споразумение се въвеждат целеви изменения в Регламента за оповестяването. С тези изменения в частност се цели да се внедри свързаното с таксономията оповестяване от страна на участниците на финансовите пазари в предвидената в Регламента за оповестяването по-широка уредба на оповестяването на информация във връзка с устойчивостта от страна на сектора на финансовите услуги. Във връзка с това бяха направени редица изменения, за да се оправомощят </w:t>
      </w:r>
      <w:r>
        <w:rPr>
          <w:noProof/>
        </w:rPr>
        <w:lastRenderedPageBreak/>
        <w:t xml:space="preserve">европейските надзорни органи („ЕНО“) да разработват регулаторни технически стандарти за определяне на изискванията за оповестяване във връзка с таксономията. </w:t>
      </w:r>
    </w:p>
    <w:p>
      <w:pPr>
        <w:spacing w:after="100" w:afterAutospacing="1"/>
        <w:rPr>
          <w:noProof/>
        </w:rPr>
      </w:pPr>
      <w:r>
        <w:rPr>
          <w:noProof/>
        </w:rPr>
        <w:t xml:space="preserve">Освен това бе въведен член за принципа „да не се засяга значително постигането на някоя от посочените цели“. Това изменение оправомощава ЕНО да разработят допълнителен регулаторен технически стандарт. Този допълнителен регулаторен технически стандарт ще определи подробно съдържанието и представянето на информацията във връзка с принципа „да не се засяга значително постигането на някоя от посочените цели“ с оглед на социалните и екологичните цели. Принципът „да не се засяга значително постигането на някоя от посочените цели“ с оглед на социалните аспекти, както е определено в Регламента за оповестяването, следва да бъде съобразен с минималните гаранции, определени в Регламента относно таксономията. На свой ред, при въвеждането на процедури с оглед на спазването на тези минимални гаранции дружествата следва да използват принципа „да не се засяга значително постигането на някоя от посочените цели“. </w:t>
      </w:r>
    </w:p>
    <w:p>
      <w:pPr>
        <w:pStyle w:val="ManualNumPar1"/>
        <w:rPr>
          <w:noProof/>
        </w:rPr>
      </w:pPr>
      <w:r>
        <w:rPr>
          <w:noProof/>
        </w:rPr>
        <w:t>8.</w:t>
      </w:r>
      <w:r>
        <w:rPr>
          <w:noProof/>
        </w:rPr>
        <w:tab/>
        <w:t>График за делегираните актове</w:t>
      </w:r>
    </w:p>
    <w:p>
      <w:pPr>
        <w:spacing w:after="100" w:afterAutospacing="1"/>
        <w:rPr>
          <w:noProof/>
        </w:rPr>
      </w:pPr>
      <w:r>
        <w:rPr>
          <w:noProof/>
        </w:rPr>
        <w:t>Комисията ще има задължението да приеме делегираните актове, съдържащи техническите оценъчни критерии, за двете цели в областта на климата — до 31 декември 2020 г. (влизане в сила на 31 декември 2021 г.), а за останалите четири екологични цели — до 31 декември 2021 г. (влизане в сила на 31 декември 2022 г.).</w:t>
      </w:r>
    </w:p>
    <w:p>
      <w:pPr>
        <w:pStyle w:val="ManualNumPar1"/>
        <w:rPr>
          <w:noProof/>
        </w:rPr>
      </w:pPr>
      <w:r>
        <w:rPr>
          <w:noProof/>
        </w:rPr>
        <w:t>9.</w:t>
      </w:r>
      <w:r>
        <w:rPr>
          <w:noProof/>
        </w:rPr>
        <w:tab/>
        <w:t>Преглед</w:t>
      </w:r>
    </w:p>
    <w:p>
      <w:pPr>
        <w:spacing w:after="100" w:afterAutospacing="1"/>
        <w:rPr>
          <w:noProof/>
        </w:rPr>
      </w:pPr>
      <w:r>
        <w:rPr>
          <w:noProof/>
        </w:rPr>
        <w:t>Политическото споразумение разширява обхвата на клаузата за преглед, като възлага на Комисията да включи в публикувания си доклад следните допълнителни въпроси:</w:t>
      </w:r>
    </w:p>
    <w:p>
      <w:pPr>
        <w:pStyle w:val="Tiret1"/>
        <w:rPr>
          <w:noProof/>
        </w:rPr>
      </w:pPr>
      <w:r>
        <w:rPr>
          <w:noProof/>
        </w:rPr>
        <w:t>описание на необходимите разпоредби за разширяване на обхвата на таксономията с цел причисляване на други икономически дейности, в т.ч. неутрални и вредни за околната среда;</w:t>
      </w:r>
    </w:p>
    <w:p>
      <w:pPr>
        <w:pStyle w:val="Tiret1"/>
        <w:rPr>
          <w:noProof/>
        </w:rPr>
      </w:pPr>
      <w:r>
        <w:rPr>
          <w:noProof/>
        </w:rPr>
        <w:t>оценка на ефективността на консултативните процедури (платформата и експертната група на държавите членки) за разработването на техническите оценъчни критерии;</w:t>
      </w:r>
    </w:p>
    <w:p>
      <w:pPr>
        <w:pStyle w:val="Tiret1"/>
        <w:rPr>
          <w:noProof/>
        </w:rPr>
      </w:pPr>
      <w:r>
        <w:rPr>
          <w:noProof/>
        </w:rPr>
        <w:t>оценка на планирания надзорен режим.</w:t>
      </w:r>
    </w:p>
    <w:p>
      <w:pPr>
        <w:pStyle w:val="ManualHeading1"/>
        <w:rPr>
          <w:noProof/>
        </w:rPr>
      </w:pPr>
      <w:r>
        <w:rPr>
          <w:noProof/>
        </w:rPr>
        <w:t>5.</w:t>
      </w:r>
      <w:r>
        <w:rPr>
          <w:noProof/>
        </w:rPr>
        <w:tab/>
        <w:t>Заключение</w:t>
      </w:r>
    </w:p>
    <w:p>
      <w:pPr>
        <w:keepNext/>
        <w:rPr>
          <w:noProof/>
        </w:rPr>
      </w:pPr>
      <w:r>
        <w:rPr>
          <w:noProof/>
        </w:rPr>
        <w:t>Комисията подкрепя резултатите от междуинституционалните преговори и следователно може да приеме позицията на Съвета на първо четене.</w:t>
      </w: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jc w:val="left"/>
      </w:pPr>
      <w:r>
        <w:rPr>
          <w:rStyle w:val="FootnoteReference"/>
        </w:rPr>
        <w:footnoteRef/>
      </w:r>
      <w:r>
        <w:tab/>
        <w:t>Съобщение на Комисията до Европейския парламент, Европейския съвет, Съвета, Европейската централна банка, Европейския икономически и социален комитет и Комитета на регионите „План за действие: Финансиране за устойчив растеж“ (COM/2018/097 final).</w:t>
      </w:r>
    </w:p>
  </w:footnote>
  <w:footnote w:id="2">
    <w:p>
      <w:pPr>
        <w:pStyle w:val="FootnoteText"/>
      </w:pPr>
      <w:r>
        <w:rPr>
          <w:rStyle w:val="FootnoteReference"/>
        </w:rPr>
        <w:footnoteRef/>
      </w:r>
      <w:r>
        <w:tab/>
        <w:t>Предложение за Регламент на Европейския парламент и на Съвета за създаване на рамка за насърчаване на инвестициите в устойчиво развитие (2018/0178 (COD)).</w:t>
      </w:r>
    </w:p>
  </w:footnote>
  <w:footnote w:id="3">
    <w:p>
      <w:pPr>
        <w:pStyle w:val="FootnoteText"/>
        <w:ind w:left="0" w:firstLine="0"/>
        <w:jc w:val="left"/>
      </w:pPr>
      <w:r>
        <w:rPr>
          <w:rStyle w:val="FootnoteReference"/>
        </w:rPr>
        <w:footnoteRef/>
      </w:r>
      <w:r>
        <w:tab/>
        <w:t>Заблуждаваща информация за екологосъобразност е практиката на дадена организация да афишира свои продукти, цели или политика като екологосъобразни, когато те може да не са такива.</w:t>
      </w:r>
    </w:p>
  </w:footnote>
  <w:footnote w:id="4">
    <w:p>
      <w:pPr>
        <w:pStyle w:val="FootnoteText"/>
        <w:ind w:left="0" w:firstLine="0"/>
        <w:jc w:val="lef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„План за инвестиции на Европейския зелен пакт“ (COM/2020/21 final). </w:t>
      </w:r>
    </w:p>
  </w:footnote>
  <w:footnote w:id="5">
    <w:p>
      <w:pPr>
        <w:pStyle w:val="FootnoteText"/>
        <w:ind w:left="0" w:firstLine="0"/>
      </w:pPr>
      <w:r>
        <w:rPr>
          <w:rStyle w:val="FootnoteReference"/>
        </w:rPr>
        <w:footnoteRef/>
      </w:r>
      <w:r>
        <w:tab/>
        <w:t>Предложение за Регламент на Европейския парламент и на Съвета за създаване на програмата InvestEU (COM/2018/439 final — 2018/0229 (COD)).</w:t>
      </w:r>
    </w:p>
  </w:footnote>
  <w:footnote w:id="6">
    <w:p>
      <w:pPr>
        <w:pStyle w:val="FootnoteText"/>
      </w:pPr>
      <w:r>
        <w:rPr>
          <w:rStyle w:val="FootnoteReference"/>
        </w:rPr>
        <w:footnoteRef/>
      </w:r>
      <w:r>
        <w:tab/>
        <w:t>Регламент (ЕС) 2019/2088 на Европейския парламент и на Съвета от 27 ноември 2019 г. относно</w:t>
      </w:r>
    </w:p>
    <w:p>
      <w:pPr>
        <w:pStyle w:val="FootnoteText"/>
      </w:pPr>
      <w:r>
        <w:t xml:space="preserve"> оповестяването на информация във връзка с устойчивостта в сектора на финансовите услуги (ОВ L 317, 9.12.2019 г., стр. 1–16).</w:t>
      </w:r>
    </w:p>
  </w:footnote>
  <w:footnote w:id="7">
    <w:p>
      <w:pPr>
        <w:pStyle w:val="FootnoteText"/>
        <w:ind w:left="0" w:firstLine="0"/>
        <w:jc w:val="left"/>
      </w:pPr>
      <w:r>
        <w:rPr>
          <w:rStyle w:val="FootnoteReference"/>
        </w:rPr>
        <w:footnoteRef/>
      </w:r>
      <w:r>
        <w:tab/>
        <w:t>Тук спадат дружествата, обхванати от Директива 2014/95/ЕС на Европейския парламент и на Съвета от 22 октомври 2014 г. за изменение на Директива 2013/34/EС по отношение на оповестяването на нефинансова информация и на информация за многообразието от страна на някои големи предприятия и групи (ОВ L 330, 15.11.2014 г., стр. 1–9).</w:t>
      </w:r>
    </w:p>
  </w:footnote>
  <w:footnote w:id="8">
    <w:p>
      <w:pPr>
        <w:pStyle w:val="FootnoteText"/>
        <w:ind w:left="0" w:firstLine="0"/>
      </w:pPr>
      <w:r>
        <w:rPr>
          <w:rStyle w:val="FootnoteReference"/>
        </w:rPr>
        <w:footnoteRef/>
      </w:r>
      <w:r>
        <w:tab/>
        <w:t>Преходните дейности трябва: i) да имат емисии на парникови газове, които са значително по-ниски от средните стойности за сектора или отрасъла; ii) да не възпрепятстват разработването и внедряването на нисковъглеродни алтернативи; и iii) да не водят до блокиране на активи, което е несъвместимо с целта за неутралност по отношение на климата.</w:t>
      </w:r>
    </w:p>
  </w:footnote>
  <w:footnote w:id="9">
    <w:p>
      <w:pPr>
        <w:pStyle w:val="FootnoteText"/>
        <w:ind w:left="0" w:firstLine="0"/>
        <w:jc w:val="left"/>
      </w:pPr>
      <w:r>
        <w:rPr>
          <w:rStyle w:val="FootnoteReference"/>
        </w:rPr>
        <w:footnoteRef/>
      </w:r>
      <w:r>
        <w:tab/>
        <w:t>Решение на Комисията от 30.5.2016 г. за установяване на хоризонтални правила относно създаването и функционирането на експертни групи на Комисията (C(2016)3301).</w:t>
      </w:r>
    </w:p>
  </w:footnote>
  <w:footnote w:id="10">
    <w:p>
      <w:pPr>
        <w:pStyle w:val="FootnoteText"/>
        <w:ind w:left="0" w:firstLine="0"/>
      </w:pPr>
      <w:r>
        <w:rPr>
          <w:rStyle w:val="FootnoteReference"/>
        </w:rPr>
        <w:footnoteRef/>
      </w:r>
      <w:r>
        <w:tab/>
        <w:t>Решение на Комисията от 30.5.2016 г. за установяване на хоризонтални правила относно създаването и функционирането на експертни групи на Комисията (C(2016)3301).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5A5B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A1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705C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B478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E65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4E9D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C26634"/>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204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6CA43444"/>
    <w:lvl w:ilvl="0" w:tplc="FFFFFFFF">
      <w:start w:val="1"/>
      <w:numFmt w:val="decimal"/>
      <w:pStyle w:val="Briefinglist1"/>
      <w:lvlText w:val="%1."/>
      <w:lvlJc w:val="left"/>
      <w:pPr>
        <w:tabs>
          <w:tab w:val="num" w:pos="284"/>
        </w:tabs>
        <w:ind w:left="284" w:hanging="284"/>
      </w:pPr>
      <w:rPr>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17 14:12: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612EC472-DE5A-45BB-8A6F-EF0401BA8557"/>
    <w:docVar w:name="LW_COVERPAGE_TYPE" w:val="1"/>
    <w:docVar w:name="LW_CROSSREFERENCE" w:val="&lt;UNUSED&gt;"/>
    <w:docVar w:name="LW_DocType" w:val="COM"/>
    <w:docVar w:name="LW_EMISSION" w:val="23.4.2020"/>
    <w:docVar w:name="LW_EMISSION_ISODATE" w:val="2020-04-23"/>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8"/>
    <w:docVar w:name="LW_REF.II.NEW.CP_YEAR" w:val="2018"/>
    <w:docVar w:name="LW_REF.INST.NEW" w:val="COM"/>
    <w:docVar w:name="LW_REF.INST.NEW_ADOPTED" w:val="final"/>
    <w:docVar w:name="LW_REF.INST.NEW_TEXT" w:val="(2020)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79?\u1072? \u1089?\u1098?\u1079?\u1076?\u1072?\u1074?\u1072?\u1085?\u1077? \u1085?\u1072? \u1088?\u1072?\u1084?\u1082?\u1072? \u1079?\u1072? \u1085?\u1072?\u1089?\u1098?\u1088?\u1095?\u1072?\u1074?\u1072?\u1085?\u1077? \u1085?\u1072? \u1080?\u1085?\u1074?\u1077?\u1089?\u1090?\u1080?\u1094?\u1080?\u1080?\u1090?\u1077? \u1074? \u1091?\u1089?\u1090?\u1086?\u1081?\u1095?\u1080?\u1074?\u1086? \u1088?\u1072?\u1079?\u1074?\u1080?\u1090?\u1080?\u1077? 2018/0178 (COD) \u1080? \u1089? \u1080?\u1079?\u1084?\u1077?\u1085?\u1077?\u1085?\u1080?\u1077?\u1090?\u1086? \u1085?\u1072? \u1056?\u1077?\u1075?\u1083?\u1072?\u1084?\u1077?\u1085?\u1090? 2019/2088 \u1086?\u1090?\u1085?\u1086?\u1089?\u1085?\u1086? \u1086?\u1087?\u1086?\u1074?\u1077?\u1089?\u1090?\u1103?\u1074?\u1072?\u1085?\u1077?\u1090?\u1086? \u1085?\u1072? \u1080?\u1085?\u1092?\u1086?\u1088?\u1084?\u1072?\u1094?\u1080?\u1103? \u1074?\u1098?\u1074? \u1074?\u1088?\u1098?\u1079?\u1082?\u1072? \u1089? \u1091?\u1089?\u1090?\u1086?\u1081?\u1095?\u1080?\u1074?\u1086?\u1089?\u1090?\u1090?\u1072? \u1074? \u1089?\u1077?\u1082?\u1090?\u1086?\u1088?\u1072? \u1085?\u1072? \u1092?\u1080?\u1085?\u1072?\u1085?\u1089?\u1086?\u1074?\u1080?\u1090?\u1077? \u1091?\u1089?\u1083?\u1091?\u1075?\u1080?"/>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569">
      <w:bodyDiv w:val="1"/>
      <w:marLeft w:val="0"/>
      <w:marRight w:val="0"/>
      <w:marTop w:val="0"/>
      <w:marBottom w:val="0"/>
      <w:divBdr>
        <w:top w:val="none" w:sz="0" w:space="0" w:color="auto"/>
        <w:left w:val="none" w:sz="0" w:space="0" w:color="auto"/>
        <w:bottom w:val="none" w:sz="0" w:space="0" w:color="auto"/>
        <w:right w:val="none" w:sz="0" w:space="0" w:color="auto"/>
      </w:divBdr>
    </w:div>
    <w:div w:id="761342540">
      <w:bodyDiv w:val="1"/>
      <w:marLeft w:val="0"/>
      <w:marRight w:val="0"/>
      <w:marTop w:val="0"/>
      <w:marBottom w:val="0"/>
      <w:divBdr>
        <w:top w:val="none" w:sz="0" w:space="0" w:color="auto"/>
        <w:left w:val="none" w:sz="0" w:space="0" w:color="auto"/>
        <w:bottom w:val="none" w:sz="0" w:space="0" w:color="auto"/>
        <w:right w:val="none" w:sz="0" w:space="0" w:color="auto"/>
      </w:divBdr>
    </w:div>
    <w:div w:id="8691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3FB1-80C5-428D-9DDC-28E5089C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1973</Words>
  <Characters>12278</Characters>
  <Application>Microsoft Office Word</Application>
  <DocSecurity>0</DocSecurity>
  <Lines>227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2020-04-14T08:10:00Z</dcterms:created>
  <dcterms:modified xsi:type="dcterms:W3CDTF">2020-04-17T12:12:00Z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