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D51C403-B4B5-4EF0-B6B3-DF3ECA10A520" style="width:450.75pt;height:396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„ПРИЛОЖЕНИЕ </w:t>
      </w:r>
    </w:p>
    <w:tbl>
      <w:tblPr>
        <w:tblStyle w:val="List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1052"/>
        <w:gridCol w:w="665"/>
        <w:gridCol w:w="4746"/>
        <w:gridCol w:w="686"/>
        <w:gridCol w:w="957"/>
        <w:gridCol w:w="696"/>
      </w:tblGrid>
      <w:tr>
        <w:trPr>
          <w:cantSplit/>
          <w:tblHeader/>
        </w:trPr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Пореден номер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Код по КН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ТАРИК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Описание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Период за квотата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Размер на квотата</w:t>
            </w:r>
          </w:p>
        </w:tc>
        <w:tc>
          <w:tcPr>
            <w:tcW w:w="0" w:type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Мито за квотата в (%)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09.2</w:t>
            </w:r>
            <w:r>
              <w:rPr>
                <w:noProof/>
              </w:rPr>
              <w:t>637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40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2005 80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Царевични кочани (</w:t>
            </w:r>
            <w:r>
              <w:rPr>
                <w:i/>
                <w:iCs/>
                <w:noProof/>
              </w:rPr>
              <w:t>Zea mays</w:t>
            </w:r>
            <w:r>
              <w:rPr>
                <w:noProof/>
              </w:rPr>
              <w:t xml:space="preserve"> var. </w:t>
            </w:r>
            <w:r>
              <w:rPr>
                <w:i/>
                <w:iCs/>
                <w:noProof/>
              </w:rPr>
              <w:t>saccharata</w:t>
            </w:r>
            <w:r>
              <w:rPr>
                <w:noProof/>
              </w:rPr>
              <w:t>), дори нарязани, с диаметър 10 mm или повече, но не повече от 20 mm, за употреба при производството на продукти от хранителната промишленост и предназначени да претърпят обработка, различна от обикновено преопаковане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(1)(2)(3)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550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 </w:t>
            </w:r>
            <w:r>
              <w:rPr>
                <w:rStyle w:val="FootnoteReference"/>
                <w:noProof/>
              </w:rPr>
              <w:t>(3)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0710 80 69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 xml:space="preserve">Гъби от вида </w:t>
            </w:r>
            <w:r>
              <w:rPr>
                <w:i/>
                <w:iCs/>
                <w:noProof/>
              </w:rPr>
              <w:t>Auricularia polytricha</w:t>
            </w:r>
            <w:r>
              <w:rPr>
                <w:noProof/>
              </w:rPr>
              <w:t xml:space="preserve"> (неварени или варени във вода или на пара), замразени, предназначени за производството на готови храни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(1)(2)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2664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2008 60 39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Череши с прибавка на алкохол, с тегловно съдържание на захар, не по-голямо от 9 %, с диаметър, непревишаващ 19,9 mm, с костилки, за производство на шоколадови изделия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2740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2309 90 31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Протеинов концентрат от соя (зърно), съдържащ тегловно: 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221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(± 10 %) суров протеин,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 сурови влакнини,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5 % (± 3 %) сурова пепел, както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3 % или повече, но не повече от 6,9 % скорбяла или нишесте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при производството на продукти за храна на животни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2913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35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70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10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35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70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95</w:t>
            </w:r>
          </w:p>
          <w:p>
            <w:pPr>
              <w:pStyle w:val="Paragraph"/>
              <w:jc w:val="right"/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t>ex 2401 20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Естествен необработен тютюн, дори нарязан в правилна форма, с митническа стойност, не по-ниска от 450 Евро за 100 kg нетно тегло, предназначен за използване като покриващи или обвиващи листа при производството на стоки от подпозиция 2402 10 00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2587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2710 19 81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2710 19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Каталитично хидроизомеризирано и депарафинирано базово масло, съставено от хидрогенирани, високо изопарафинови въглеводороди, съдържащи: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60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90 % тегловно или повече наситени съединения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0,03 % тегловно сяра,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както и с: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вискозитетен индекс 80 или повече, но по-малко от 120, както и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кинематичен вискозитет 5,0 cSt при 100 °C или повече, но не повече от 13,0 cSt при 100 °C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200 000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2712 20 90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Парафинов восък, съдържащ тегловно по-малко от 0,75 % масло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1.4.-31.10.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2600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2712 90 39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Суров парафин (CAS RN 64742-61-6)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2928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2811 22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Силициев пълнител под формата на гранули, с чистота на силициев диоксид 97 % или повече, тегловни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2806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2825 90 40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Волфрамов триоксид, в това число син волфрамов оксид (CAS RN 1314-35-8 или CAS RN 39318-18-8)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2872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2833 29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Цезиев сулфат (CAS RN 10294-54-9) в твърда форма или като воден разтвор, съдържащ тегловно 48 % или повече, но не повече от 52 % цезиев сулфат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2837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79 30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Бромхлорметан (CAS RN 74-97-5)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2933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1,3-Дихлорбензен (CAS RN 541-73-1) 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2 600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2700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Пропан-1-ол (пропилов алкохол) (CAS RN 71-23-8)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2830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Циклопропилметанол (CAS RN 2516-33-8)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2851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2907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O-kрезол (CAS RN 95-48-7) с чистота не по-малка от 98,5 % тегловно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2704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2909 49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2,2,2',2'-Тетракис(хидроксиметил)-3,3'-оксидипропан-1-ол (CAS RN 126-58-9)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2624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2912 42 00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Етилванилин (3-етокси-4-хидроксибензалдехид) (CAS RN 121-32-4)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1 950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2683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19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Калциев ацетилацетонат (CAS RN 19372-44-2) за използване при производството на стабилизаторни системи под формата на таблетки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2852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2914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Циклопропил метил кетон (CAS RN 765-43-5)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2638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Оцетна киселина с чистота 99 тегловни % или повече (CAS RN 64-19-7)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2972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2915 24 00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Оцетен анхидрид (CAS RN 108-24-7)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2679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2915 32 00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Винилов ацетат (CAS RN 108-05-4)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Етилов трифлуороацетат (CAS RN 383-63-1)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2665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19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Калиев (E,E)-хекса-2,4-диеноат (CAS RN 24634-61-5)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8 250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2684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2,5-Диметилфенилацетил хлорид (CAS RN 55312-97-5)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2599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Диетилов оксалат (CAS RN 95-92-1)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2769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13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Диметил себацат (CAS RN 106-79-6)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2917 19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Додекандиова киселина (CAS RN 693-23-2), с чистота повече от 98,5 % тегловно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O-aцетилсалицилова киселина (CAS RN 50-78-2)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2646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Октадецилов 3-(3,5-ди-трет-бутил-4-хидроксифенил)пропионат (CAS RN 2082-79-3) с: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подситова фракция, с размер на ситовия отвор 500 μm, по-голяма от 99 тегловни %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49 °C или повече, но не повече от 54 °C,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при производството на поливинилхлорид със „one pack” стабилизатори на основата на прахообразни смеси (прахове или пресовани гранулати)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380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2647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Пентаеритритол тетракис(3-(3,5-ди-трет-бутил-4-хидроксифенил)пропионат) (CAS RN 6683-19-8) с: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подситова фракция, с размер на ситовия отвор 250 μm, по-голяма от 75 тегловни %, и подситова фракция с размер на ситовия отвор 500 μm, по-голяма от 99 тегловни %,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от 110 °C или повече, но не повече от 125 °C,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при производството на поливинилхлорид със „one pack” стабилизатори на основата на прахообразни смеси (прахове или пресовани гранулати)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140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2975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30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Бензофенон-3,3’,4,4’-тетракарбоксилов дианхидрид (CAS RN 2421-28-5)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2688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Трис (2,4-ди-трет-бутилфенил)фосфит (CAS RN 31570-04-4)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Диметилсулфат (CAS RN 77-78-1) с чистота 99 %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2598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19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Октадециламин (CAS RN 124-30-1)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2649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Бис(2-диметиламиноетил)(метил)амин (CAS RN 3030-47-5)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2682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Анилин (CAS RN 62-53-3) с чистота 99 тегловни %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2617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4-флуоро-N-(1-метилетил)бензенамин (CAS RN 70441-63-3)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2582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43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2-метиланилин (CAS RN 95-53-4) с чистота 99 %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1 999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2602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51 19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o-Фенилендиамин (CAS RN 95-54-5)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1 800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2730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4,4ʹ-Метандиилдианилин (CAS RN 101-77-9) с чистота 97 тегловни % или повече, под формата на гранули, за използване при производството на предполимери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2591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41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L-лизин хидрохлорид (CAS RN 657-27-2)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445 000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2592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2922 50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L-треонин (CAS RN 72-19-5)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166 000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2854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3-Йодопроп-2-ин-1-илов бутилкарбамат (CAS RN 55406-53-6)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2874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2924 29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Парацетамол (INN) (CAS RN 103-90-2)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09.2742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Акрилонитрил (CAS RN 107-13-1), за употреба в производството на стоки от глава 55 и позиция 6815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2583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Акрилонитрил (CAS RN 107-13-1), за употреба в производството на стоки от позиции 2921, 2924, 3906 и 4002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2856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2926 90 70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2-Нитро-4-(трифлуорометил)бензонитрил (CAS RN 778-94-9)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2928 00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Монометилхидразин (CAS RN 60-34-4) във вид на воден разтвор с тегловно съдържание на монометилхидразин от 40 (± 5) %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2581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1,5-Нафтиленов диизоцианат (CAS RN 3173-72-6) с чистота 90 % тегловно или повече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205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2685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2929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Нитрогуанидин (CAS RN 556-88-7)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2597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Бис[3-(триетоксисилил)пропил]дисулфид (CAS RN 56706-10-6)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2596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2930 90 98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2-Хлоро-4-(метилсулфонил)-3-((2,2,2-трифлуороетокси)метил) бензоена киселина (CAS RN 120100-77-8)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2580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Хексадецилтриметоксисилан (CAS RN 16415-12-6) с чистота 95 % тегловно или повече, за употреба в производството на полиетилен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83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2842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2932 12 00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2-Фуралдехид (фурфуралдехид)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2955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Флуртамон (ISO) (CAS RN 96525-23-4)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2696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Декан-5-олид (CAS RN 705-86-2)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2697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Додекан-5-олид (CAS RN 713-95-1)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2812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Хексан-6-олид (CAS RN 502-44-3)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2858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2932 93 00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Пиперонал(CAS RN 120-57-0)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220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2673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2,2,6,6-тетраметилпиперидин-4-ол (CAS RN 2403-88-5)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2674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Хлорпирифос (ISO) (CAS RN 2921-88-2)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2880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59 95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Ибрутиниб (INN) (CAS RN 936563-96-1)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2860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69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1,3,5-Tрис[3-(диметиламино)пропил]хексахидро-1,3,5-триазин (CAS RN 15875-13-5)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2595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1,4,7,10-Тетраазациклододекан (CAS RN 294-90-6)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2658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99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5-(Aцетоацетиламино)бензимидазолон (CAS RN 26576-46-5)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2593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2934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5-хлоротиофен-2-карбоксилна киселина (CAS RN 24065-33-6)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45 000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2675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4-[[(2-Метоксибензоил)амино]сулфонил]бензоил хлорид (CAS RN 816431-72-8)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2710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2,4,4-Триметилпентан-2-аминиев (3R,5S,6E)-7-{2-[(етилсулфонил)амино]- 6-(пропан-2-ил)-4-(4-флуорофенил)пиримидин-5-ил}-3,5- дихидроксихепт-6-еноат (CAS RN 917805-85-7)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2945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2940 00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D-Kсилоза (CAS RN 58-86-6)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2686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Багрило C.I. Disperse Yellow 54 (CAS RN 7576-65-0) и препарати на негова основа, със съдържание 99 тегл. % или повече на багрило C.I. Disperse Yellow 54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2676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Препарати на основата на багрило C.I. пигментно червено 48:2 (CAS RN 7023-61-2), със съдържание на посоченото багрило 60 тегловни % или повече, но по-малко от 85 тегловни %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2698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Багрило C.I. Pigment Red 4 (CAS RN 2814-77-9) и препарати на базата на това багрило, съдържащи тегловно 60 % и повече багрило C.I. Pigment Red 4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2659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3802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Диатомитна пръст, калцинирана в присъствие на содов флюс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2908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3804 00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Натриев лигносулфонат (CAS RN 8061-51-6)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2889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3805 10 90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Терпентиново масло, получено при производството на целулоза по сулфатен метод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2935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3806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Колофони и смолни киселини от балсамова смола (fresh oleoresins)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280 000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2832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3808 92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с тегловно съдържание 38 % или повече, но не повече от 50 % цинков пиритион (INN) (CAS RN 13463-41-7) във водна дисперсна среда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2876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Добавки, състоящи се от продукти на реакция на дифениламин и разклонени нонени, със: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над 28 тегловни %, но не повече от 55 тегловни % 4-монононилдифениламин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над 45 тегловни %, но не повече от 65 тегловни % 4,4’-динонилдифениламин,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съдържание на не повече от 5 тегловни % общо 2,4-динонилдифениламини2,4’-динонилдифениламин,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използвани запроизводство на смазочни масла  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2814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3815 90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Катализатор, съдържащ титанов диоксид и волфрамов триоксид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79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Смеси, съдържащи тегловно: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60 %, но не повече от 90 % 2-хлоропропен (CAS RN 557-98-2),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8 %, но не повече от 14 % (</w:t>
                  </w:r>
                  <w:r>
                    <w:rPr>
                      <w:i/>
                      <w:iCs/>
                      <w:noProof/>
                    </w:rPr>
                    <w:t>Z</w:t>
                  </w:r>
                  <w:r>
                    <w:rPr>
                      <w:noProof/>
                    </w:rPr>
                    <w:t>)-1-хлоропропен (CAS RN 16136-84-8),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5 %, но не повече от 23 % 2-хлоропропан (CAS RN 75-29-6),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6 % 3-хлоропропен (CAS RN 107-05-1), както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1 %  етилхлорид (CAS RN 75-00-3)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2644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Препарат, съдържащ тегловно: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55 % или повече, но не повече от 78 % диметил глутарат (CAS RN 1119-40-0)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10 % или повече, но не повече от 30 % диметил адипат и (CAS RN 627-93-0)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 повече от 35 % диметил сукцинат (CAS RN 106-65-0)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2681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бис[3-(триетоксисилил)пропил]сулфиди (CAS RN 211519-85-6)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2650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Ацетофенон (CAS RN 98-86-2), с чистота от 60 или повече, но не повече от 90 тегловни %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09.2888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89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третични алкилдиметил амини съдържаща тегловно: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60 % или повече, но непревишаващо 80 % додецилдиметиламин (CAS RN 112-18-5),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20 % или повече, но непревишаващо 30 % диметил(тетрадецил)амин (CAS RN 112-75-4)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2829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Твърд екстракт от неразтворим в алифатни разтворители остатък, получен при екстракцията на колофон от дървен материал, имащ следните характеристики: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смолна киселина непревишаващо 30 %,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киселинно число непревишаващо 110,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точка на топене 100° C или повече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1 600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2907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3824 99 93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фитостероли, в прахообразна форма, с тегловно съдържание на: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27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стероли – 75 % или повече,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станоли – не повече от 25 %,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използвана за производството на станоли/стероли или станолови/стеролови естери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2639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3905 30 00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Поли(винил алкохол), дори съдържащ нехидролизирани ацетатни групи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2671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3905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Поливинилбутирал (CAS RN 63148-65-2):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 17,5 тегловни % или повече, но не повече от 20 % хидроксилни групи,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медиана на размера на частицата (D50) по-голяма от 0,6 mm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12 500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2846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3907 40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Смес от полимери, съставена от поликарбонат и поли(метилметакрилат) с тегловно съдържание на поликарбонат 98,5 % или повече, под формата на пелети или гранули, със светлопропускливост 88,5 % или повече, измерена при използване на проба с дебелина 4,0 mm и дължина на вълната λ = 400 nm (определена по метод ISO 13468-2)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2723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3911 90 19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Поли(окси-1,4-фениленсулфонил-1,4-фениленокси-4,4’-бифенилен)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2816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3912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Целулозен ацетат под формата на люспи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75 000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2864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10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Натриев алгинат, извлечен от кафяви морски водорасли (CAS RN 9005-38-3)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2641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3913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Нестерилен натриев хиалуронат със: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среднотегловно молекулно тегло (M</w:t>
                  </w:r>
                  <w:r>
                    <w:rPr>
                      <w:noProof/>
                      <w:vertAlign w:val="subscript"/>
                    </w:rPr>
                    <w:t>w</w:t>
                  </w:r>
                  <w:r>
                    <w:rPr>
                      <w:noProof/>
                    </w:rPr>
                    <w:t>) не по-голямо от 900 000,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ниво на ендотоксин не по-високо от 0,008 ендотоксинни единици (EU)/mg,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етанол не повече от 1 %,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тегловно съдържание на изопропанол не повече от 0,5 %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kg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2661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3920 51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Листове от полиметилметакрилат, отговарящи на стандарти: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48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  <w:lang w:val="fr-BE"/>
                    </w:rPr>
                  </w:pPr>
                  <w:r>
                    <w:rPr>
                      <w:noProof/>
                      <w:lang w:val="fr-BE"/>
                    </w:rPr>
                    <w:t xml:space="preserve">EN 4364 (MIL-P-5425E) </w:t>
                  </w:r>
                  <w:r>
                    <w:rPr>
                      <w:noProof/>
                    </w:rPr>
                    <w:t>и</w:t>
                  </w:r>
                  <w:r>
                    <w:rPr>
                      <w:noProof/>
                      <w:lang w:val="fr-BE"/>
                    </w:rPr>
                    <w:t xml:space="preserve"> DTD5592A, </w:t>
                  </w:r>
                  <w:r>
                    <w:rPr>
                      <w:noProof/>
                    </w:rPr>
                    <w:t>или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EN 4365 (MIL-P-8184) иDTD5592A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2645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3921 14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Порест блок от регенерирана целулоза, импрегниран с вода, съдържаща магнезиев хлорид и четвъртични амониеви съединения, с размери 100 cm (± 10 cm) x 100 cm (± 10 cm) x 40 cm (± 5 cm)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1 700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2848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5505 10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Отпадъци от синтетични влакна (включително дреб, отпадъци от прежди и развлакнени текстилни материали) от найлон или други полиамиди (PA6 и PA66)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2721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5906 99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Тъкани и ламинирани гумирани текстилни тъкани със следните характеристики: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три слоя,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единият външен слой се състои от акрилна тъкан,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другият външен слой се състои от полиестерна тъкан,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средният слой се състои от хлоробутилов каучук,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средният слой е с тегло 452 g/m² или повече, но не повече от 569 g/m²,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текстилната тъкан е с общо тегло 952 g/m² или повече, но не повече от 1159 g/m²,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текстилната тъкан и е с обща дебелина 0,8 mm или повече, но не повече от 4 mm,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използвани за производството на подвижния гюрук на моторни превозни средства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375 000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2594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6909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Керамично-въгленов абсорбционен патрон със следните характеристики: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екструдирана изпечена многоклетъчна цилиндрична структура, свързана чрез керамично вещество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10 % тегловно или повече, но не повече от 30 % тегловно активен въглен,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70 % тегловно или повече, но не повече от 90 % тегловно керамично свързващо вещество,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диаметър 29 mm или повече, но не повече от 41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дължина не повече от 150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изпечен при температура 800°C или повече,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за адсорбция на парите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 вида, използван за монтиране в абсорберите на горивни пари в горивните уредби на моторните превозни средства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2866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12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06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Армиращи стъклени влакна (ровинг) тип S: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състоящи се от непрекъснати стъклени нишки от 9 µm (±0,5 µm),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линейна плътност най-малко 200 tex, но не повече от 680 tex,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несъдържащи калциев оксид,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скъсване над 3 550 Mpa по метода ASTM D2343-09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в производството на въздухоплавателни средства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2628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7019 52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Мрежеста тъкан от стъклени влакна, обвити с пластмаса, с тегло 120 g/m² (± 10 g/m²), от вида на използваните за производство на трансперанти и мрежи с фиксирана рамка против насекоми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3 000 000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2799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7202 49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Ферохром, съдържащ тегловно 1,5 % или повече, но не повече от 4 % въглерод и не повече от 70 % хром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2652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11 00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11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Фолио и ленти от рафинирана мед, електролитно произведени, с дебелина 0,015 mm или повече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1 020 тона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Плочи или листове, състоящи се от: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слой от керамика от силициев нитрид с дебелина от 0,32 mm (± 0,1 mm) или повече, но не повече от 1,0 mm (± 0,1 mm),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покрит от двете страни с фолио от рафинирана мед с дебелина от 0,8 mm (± 0,1 mm)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частично покрит от едната страна с покритие от сребро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7 000 000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2662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7410 21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Плочи: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състоящи се от поне един слой тъкан от стъкловлакна, импрегнирана с епоксидна смола,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покрити от едната или двете страни с медно фолио с дебелина не по-голяма от 0,15 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относителна диелектрична проницаемост (DK) по-малка от 5,4 при честота 1 MHz, при измерване в съответствие с IPC-TM-650 2.5.5.2,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тангенс от ъгъла на загубите 0,035 при честота 1 MHz, при измерване в съответствие с IPC-TM-650 2.5.5.2,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сравнителен показател за устойчивост на повърхностен диелектричен пробив (CTI) 600 или повече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80 000 m²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09.2834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7604 29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Пръти от алуминиева сплав с диаметър 200 mm или по-голям, но непревишаващ 300 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2835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7604 29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Пръти от алуминиева сплав с диаметър 300,1 mm или по-голям, но непревишаващ 533,4 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2736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Лента или фолио от алуминиево-магнезиева сплав: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от сплав, която отговаря на стандарт 5182-H19 или 5052-H19,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 рула, с външен диаметър най-малко 1250 mm, но не по-голям от 1350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дебелина (допуск — 0,006 mm) от 0,15 mm, 0,16 mm, 0,18 mm или 0,20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широчина (допуск ± 0,3 mm) от 12,5 mm, 15,0 mm, 16,0 mm, 25,0 mm, 35,0 mm, 50,0 mm или 356 mm, 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отклонение от деформация не повече от 0,4 mm/750 mm,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измерване на равнинност : ±4 международни единици (I-unit),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опън, по-голяма от 365МРа (5182-H19) или от 320 MPa (5052-H19), 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удължение А50 повече от 3 % (5182-H19) или от 2,5 % (5052-H19),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използване при производството на пластини за щори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2722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8104 11 00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Необработен магнезий, съдържащ тегловно най-малко 99,8 % магнезий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120 000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09.2840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8104 30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Прах от магнезий: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чистотанай-малко 98 % тегловно, но не повече от 99,5 %,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размер на частицитенай-малко 0,2 mm, но не повече от 0,8 mm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 тона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2629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8302 49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Алуминиеви телескопични дръжки, предназначени да бъдат използвани в производството на куфари и пътни чанти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1 500 000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2720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8413 91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Глава на помпа за двуцилиндрова помпа за високо налягане, изработена от кована стомана, с: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фрезовани принадлежности с резба, с диаметър 10 mm или повече, но не повече от 36,8 mm,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пробити канали за гориво с диаметър 3,5 mm или повече, но не повече от 10 mm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 вида, използван в инжекционни системи за впръскване на дизелово гориво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65 000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2738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8482 99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Месингови сепаратори със следните характеристики: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изработени чрез непрекъснато или центробежно леене,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струговани,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съдържащи тегловно 35 % или повече, но не повече от 38 % цинк 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съдържащи тегловно 0,75 % или повече, но не повече от 1,25 % олово,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съдържащи тегловно 1,0 % или повече, но не повече от 1,4 % алуминий,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якост на опън 415 Pa или повече,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от вида, използван за производство на сачмени лагери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2763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20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8501 40 80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Монофазен колекторен електродвигател за променлив ток, с мощност на вала 250 W или по-голяма, с консумирана мощност 700 W или по-голяма, но не повече от 2700 W, с външен диаметър над 120 mm (±0,2 mm), но не повече от 135 mm (±0,2 mm), с номинална честота на въртене над 30 000 min</w:t>
            </w:r>
            <w:r>
              <w:rPr>
                <w:noProof/>
                <w:vertAlign w:val="superscript"/>
              </w:rPr>
              <w:t>-1</w:t>
            </w:r>
            <w:r>
              <w:rPr>
                <w:noProof/>
              </w:rPr>
              <w:t>, но не повече от 50 000 min</w:t>
            </w:r>
            <w:r>
              <w:rPr>
                <w:noProof/>
                <w:vertAlign w:val="superscript"/>
              </w:rPr>
              <w:t>-1</w:t>
            </w:r>
            <w:r>
              <w:rPr>
                <w:noProof/>
              </w:rPr>
              <w:t>, снабден със засмукващ вентилатор и използван в производството на прахосмукачки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2 000 000 броя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2588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Течнокристален екран със: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38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сензорен панел,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най-малко една печатна платка за просто управлявано устройство за адресиране на пикселите в подчинен режим (функция на времеви контролер) и сензорно управление, с EEPROM (електрически изтриваема програмируема памет само за четене) за настройките на дисплея,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 размер на екрана по диагонала 15 cm или повече, но не повече от 21 cm,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подсветка,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съединител LVDS (диференциален сигнал с ниско напрежение) и съединител за захранване,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ъгъл на гледане 70 градуса или повече,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яркост 715 cd/m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 xml:space="preserve"> или повече,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употреба при производството на моторни превозни средства от глава 87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450 000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2672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8529 90 92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9405 40 39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Печатна платка със светодиоди:</w:t>
            </w:r>
          </w:p>
          <w:tbl>
            <w:tblPr>
              <w:tblStyle w:val="Listdash2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36"/>
            </w:tblGrid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оборудвана с призми/лещи, и</w:t>
                  </w:r>
                </w:p>
              </w:tc>
            </w:tr>
            <w:tr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0" w:type="auto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дори с монтиран(и) конектор(и)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за производство на компоненти за подсвет на продукти от №8528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115 000 000 броя</w:t>
            </w: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2003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8543 70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Честотен генератор, управляем с напрежение, състоящ се от активни и пасивни елементи, монтирани върху печатна платка, затворена в корпус с външни размери непревишаващи 30 mm x 30 mm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1 400 000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2910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8708 99 97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Поддържаща конзола от алуминиева сплав с отвори за монтаж, дори с гайки за стягане, за непряко свързване на предавателната кутия към каросерията на автомобила, за употреба при производството на стоки от глава 87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2694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10 90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Фиксиращи скоби за оси, кожуси, съединителни планки и фиксиращи части за вилки, от алуминиева сплав, от видовете, използвани в мотоциклети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1 000 000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2668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75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Велосипедна рамка, произведена от въглеродни влакна и синтетична смола, използвана при производството на велосипеди (в това число електрически велосипеди)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1.7.-31.12.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250 000 броя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2589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8714 91 10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Рамка, произведена от алуминий или от алуминий и въглеродни влакна, използвана при производството на велосипеди (включително електрически велосипеди)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8 000 000 броя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  <w:p>
            <w:pPr>
              <w:pStyle w:val="Paragraph"/>
              <w:rPr>
                <w:noProof/>
              </w:rPr>
            </w:pPr>
          </w:p>
          <w:p>
            <w:pPr>
              <w:pStyle w:val="Paragraph"/>
              <w:rPr>
                <w:noProof/>
              </w:rPr>
            </w:pPr>
          </w:p>
        </w:tc>
      </w:tr>
      <w:tr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09.</w:t>
            </w:r>
            <w:r>
              <w:rPr>
                <w:noProof/>
              </w:rPr>
              <w:t>2631</w:t>
            </w:r>
          </w:p>
        </w:tc>
        <w:tc>
          <w:tcPr>
            <w:tcW w:w="0" w:type="auto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9001 90 00</w:t>
            </w:r>
          </w:p>
        </w:tc>
        <w:tc>
          <w:tcPr>
            <w:tcW w:w="0" w:type="auto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Стъклени лещи, призми и залепени елементи без държатели, за използване при производството или ремонта на стоки с кодове по КН 9002, 9005, 9013 10 и 9015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1.1.-31.12.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5 000 000 броя</w:t>
            </w:r>
          </w:p>
        </w:tc>
        <w:tc>
          <w:tcPr>
            <w:tcW w:w="0" w:type="auto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</w:t>
            </w:r>
          </w:p>
        </w:tc>
      </w:tr>
    </w:tbl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(1)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Суспендирането на тарифни задължения обаче не се прилага, когато обработката се извършва от търговци на дребно или от предприятия за кетъринг.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Суспендирането на мита се извършва при условията за митнически надзор върху специфичната употреба, предвидени в</w:t>
            </w:r>
            <w:r>
              <w:rPr>
                <w:noProof/>
                <w:lang w:val="en-US"/>
              </w:rPr>
              <w:t> </w:t>
            </w:r>
            <w:r>
              <w:rPr>
                <w:noProof/>
              </w:rPr>
              <w:t xml:space="preserve"> член</w:t>
            </w:r>
            <w:r>
              <w:rPr>
                <w:noProof/>
                <w:lang w:val="en-US"/>
              </w:rPr>
              <w:t> </w:t>
            </w:r>
            <w:r>
              <w:rPr>
                <w:noProof/>
              </w:rPr>
              <w:t>254 от Регламент</w:t>
            </w:r>
            <w:r>
              <w:rPr>
                <w:noProof/>
                <w:lang w:val="en-US"/>
              </w:rPr>
              <w:t> </w:t>
            </w:r>
            <w:r>
              <w:rPr>
                <w:noProof/>
              </w:rPr>
              <w:t>(ЕС) № 952/2013 на Европейския парламент и на Съвета от 9</w:t>
            </w:r>
            <w:r>
              <w:rPr>
                <w:noProof/>
                <w:lang w:val="en-US"/>
              </w:rPr>
              <w:t> </w:t>
            </w:r>
            <w:r>
              <w:rPr>
                <w:noProof/>
              </w:rPr>
              <w:t>октомври 2013</w:t>
            </w:r>
            <w:r>
              <w:rPr>
                <w:noProof/>
                <w:lang w:val="en-US"/>
              </w:rPr>
              <w:t> </w:t>
            </w:r>
            <w:r>
              <w:rPr>
                <w:noProof/>
              </w:rPr>
              <w:t xml:space="preserve">г. за създаване на Митнически кодекс на Съюза (ОВ </w:t>
            </w:r>
            <w:r>
              <w:rPr>
                <w:noProof/>
                <w:lang w:val="en-US"/>
              </w:rPr>
              <w:t>L</w:t>
            </w:r>
            <w:r>
              <w:rPr>
                <w:noProof/>
              </w:rPr>
              <w:t xml:space="preserve"> 269, 10.10.2013 г., стр. 1).</w:t>
            </w:r>
          </w:p>
        </w:tc>
      </w:tr>
      <w:tr>
        <w:tc>
          <w:tcPr>
            <w:tcW w:w="425" w:type="dxa"/>
          </w:tcPr>
          <w:p>
            <w:pPr>
              <w:pStyle w:val="Paragraph"/>
              <w:rPr>
                <w:noProof/>
              </w:rPr>
            </w:pPr>
            <w:r>
              <w:rPr>
                <w:rStyle w:val="FootnoteReference"/>
                <w:noProof/>
              </w:rPr>
              <w:t>(3)</w:t>
            </w:r>
          </w:p>
        </w:tc>
        <w:tc>
          <w:tcPr>
            <w:tcW w:w="8821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Суспендира се само адвалорното мито. Специфичното мито продължава да се прилага.“</w:t>
            </w:r>
          </w:p>
        </w:tc>
      </w:tr>
    </w:tbl>
    <w:p>
      <w:pPr>
        <w:rPr>
          <w:noProof/>
          <w:sz w:val="16"/>
          <w:szCs w:val="16"/>
        </w:rPr>
      </w:pPr>
    </w:p>
    <w:sectPr>
      <w:footerReference w:type="default" r:id="rId16"/>
      <w:footerReference w:type="first" r:id="rId17"/>
      <w:pgSz w:w="12240" w:h="15840"/>
      <w:pgMar w:top="1134" w:right="1417" w:bottom="1134" w:left="141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2ADF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73EA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A84C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102D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37846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1A2C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BF426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145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8C40F2"/>
    <w:multiLevelType w:val="hybridMultilevel"/>
    <w:tmpl w:val="9FD075E2"/>
    <w:lvl w:ilvl="0" w:tplc="999C8A96">
      <w:start w:val="1"/>
      <w:numFmt w:val="bullet"/>
      <w:lvlText w:val="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2177DD"/>
    <w:multiLevelType w:val="hybridMultilevel"/>
    <w:tmpl w:val="3B0C9188"/>
    <w:lvl w:ilvl="0" w:tplc="85F2052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14"/>
  </w:num>
  <w:num w:numId="11">
    <w:abstractNumId w:val="22"/>
  </w:num>
  <w:num w:numId="12">
    <w:abstractNumId w:val="12"/>
  </w:num>
  <w:num w:numId="13">
    <w:abstractNumId w:val="15"/>
  </w:num>
  <w:num w:numId="14">
    <w:abstractNumId w:val="10"/>
  </w:num>
  <w:num w:numId="15">
    <w:abstractNumId w:val="21"/>
  </w:num>
  <w:num w:numId="16">
    <w:abstractNumId w:val="9"/>
  </w:num>
  <w:num w:numId="17">
    <w:abstractNumId w:val="16"/>
  </w:num>
  <w:num w:numId="18">
    <w:abstractNumId w:val="18"/>
  </w:num>
  <w:num w:numId="19">
    <w:abstractNumId w:val="19"/>
  </w:num>
  <w:num w:numId="20">
    <w:abstractNumId w:val="11"/>
  </w:num>
  <w:num w:numId="21">
    <w:abstractNumId w:val="17"/>
  </w:num>
  <w:num w:numId="22">
    <w:abstractNumId w:val="23"/>
  </w:num>
  <w:num w:numId="23">
    <w:abstractNumId w:val="8"/>
  </w:num>
  <w:num w:numId="24">
    <w:abstractNumId w:val="13"/>
  </w:num>
  <w:num w:numId="25">
    <w:abstractNumId w:val="20"/>
  </w:num>
  <w:num w:numId="26">
    <w:abstractNumId w:val="14"/>
  </w:num>
  <w:num w:numId="27">
    <w:abstractNumId w:val="22"/>
  </w:num>
  <w:num w:numId="28">
    <w:abstractNumId w:val="12"/>
  </w:num>
  <w:num w:numId="29">
    <w:abstractNumId w:val="15"/>
  </w:num>
  <w:num w:numId="30">
    <w:abstractNumId w:val="10"/>
  </w:num>
  <w:num w:numId="31">
    <w:abstractNumId w:val="21"/>
  </w:num>
  <w:num w:numId="32">
    <w:abstractNumId w:val="9"/>
  </w:num>
  <w:num w:numId="33">
    <w:abstractNumId w:val="16"/>
  </w:num>
  <w:num w:numId="34">
    <w:abstractNumId w:val="18"/>
  </w:num>
  <w:num w:numId="35">
    <w:abstractNumId w:val="19"/>
  </w:num>
  <w:num w:numId="36">
    <w:abstractNumId w:val="11"/>
  </w:num>
  <w:num w:numId="37">
    <w:abstractNumId w:val="17"/>
  </w:num>
  <w:num w:numId="3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04-24 10:04:0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33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NST_RESTREINT_UE" w:val="RESTREINT UE/EU RESTRICTED"/>
    <w:docVar w:name="LW_CORRIGENDUM" w:val="&lt;UNUSED&gt;"/>
    <w:docVar w:name="LW_COVERPAGE_EXISTS" w:val="True"/>
    <w:docVar w:name="LW_COVERPAGE_GUID" w:val="4D51C403-B4B5-4EF0-B6B3-DF3ECA10A520"/>
    <w:docVar w:name="LW_COVERPAGE_TYPE" w:val="1"/>
    <w:docVar w:name="LW_CROSSREFERENCE" w:val="&lt;UNUSED&gt;"/>
    <w:docVar w:name="LW_DocType" w:val="ANNEX"/>
    <w:docVar w:name="LW_EMISSION" w:val="24.4.2020"/>
    <w:docVar w:name="LW_EMISSION_ISODATE" w:val="2020-04-2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7?) \u8470? 1388/2013 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5?\u1103?\u1082?\u1086?\u1080? \u1089?\u1077?\u1083?\u1089?\u1082?\u1086?\u1089?\u1090?\u1086?\u1087?\u1072?\u1085?\u1089?\u1082?\u1080? \u1080? \u1087?\u1088?\u1086?\u1084?\u1080?\u1096?\u1083?\u1077?\u1085?\u1080? \u1087?\u1088?\u1086?\u1076?\u1091?\u1082?\u1090?\u1080?"/>
    <w:docVar w:name="LW_OBJETACTEPRINCIPAL.CP" w:val="\u1079?\u1072? \u1080?\u1079?\u1084?\u1077?\u1085?\u1077?\u1085?\u1080?\u1077? \u1085?\u1072? \u1056?\u1077?\u1075?\u1083?\u1072?\u1084?\u1077?\u1085?\u1090? (\u1045?\u1057?) \u8470? 1388/2013 \u1079?\u1072? \u1086?\u1090?\u1082?\u1088?\u1080?\u1074?\u1072?\u1085?\u1077? \u1080? \u1091?\u1087?\u1088?\u1072?\u1074?\u1083?\u1077?\u1085?\u1080?\u1077? \u1085?\u1072? \u1072?\u1074?\u1090?\u1086?\u1085?\u1086?\u1084?\u1085?\u1080? \u1090?\u1072?\u1088?\u1080?\u1092?\u1085?\u1080? \u1082?\u1074?\u1086?\u1090?\u1080? \u1085?\u1072? \u1057?\u1098?\u1102?\u1079?\u1072? \u1079?\u1072? \u1085?\u1103?\u1082?\u1086?\u1080? \u1089?\u1077?\u1083?\u1089?\u1082?\u1086?\u1089?\u1090?\u1086?\u1087?\u1072?\u1085?\u1089?\u1082?\u1080? \u1080? \u1087?\u1088?\u1086?\u1084?\u1080?\u1096?\u1083?\u1077?\u1085?\u1080? \u1087?\u1088?\u1086?\u1076?\u1091?\u1082?\u1090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20) 15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75?\u1083?\u1072?\u1084?\u1077?\u1085?\u1090? \u1085?\u1072? \u1057?\u1098?\u1074?\u1077?\u1090?\u1072?"/>
    <w:docVar w:name="LW_TYPEACTEPRINCIPAL.CP" w:val="\u1087?\u1088?\u1077?\u1076?\u1083?\u1086?\u1078?\u1077?\u1085?\u1080?\u1077? \u1079?\u1072? \u1056?\u1077?\u1075?\u1083?\u1072?\u1084?\u1077?\u1085?\u109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numbering" w:customStyle="1" w:styleId="NoList2">
    <w:name w:val="No List2"/>
    <w:next w:val="NoList"/>
    <w:uiPriority w:val="99"/>
    <w:semiHidden/>
    <w:unhideWhenUsed/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1">
    <w:name w:val="Notes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1">
    <w:name w:val="Notes table without border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Listtable2">
    <w:name w:val="List tabl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dash1">
    <w:name w:val="List dash1"/>
    <w:basedOn w:val="Listtable"/>
    <w:pPr>
      <w:spacing w:after="0" w:line="240" w:lineRule="auto"/>
    </w:pPr>
    <w:rPr>
      <w:rFonts w:cs="Times New Roman"/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1">
    <w:name w:val="List Bullet11"/>
    <w:basedOn w:val="Listtable"/>
    <w:pPr>
      <w:spacing w:after="0" w:line="240" w:lineRule="auto"/>
    </w:pPr>
    <w:rPr>
      <w:rFonts w:cs="Times New Roman"/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1">
    <w:name w:val="List numbered1"/>
    <w:basedOn w:val="Listtable"/>
    <w:pPr>
      <w:spacing w:after="0" w:line="240" w:lineRule="auto"/>
    </w:pPr>
    <w:rPr>
      <w:rFonts w:cs="Times New Roman"/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numbering" w:customStyle="1" w:styleId="NoList3">
    <w:name w:val="No List3"/>
    <w:next w:val="NoList"/>
    <w:uiPriority w:val="99"/>
    <w:semiHidden/>
    <w:unhideWhenUsed/>
  </w:style>
  <w:style w:type="table" w:customStyle="1" w:styleId="Listtable3">
    <w:name w:val="List table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2">
    <w:name w:val="Notes table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2">
    <w:name w:val="Notes table without border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Listdash2">
    <w:name w:val="List dash2"/>
    <w:basedOn w:val="Listtable"/>
    <w:pPr>
      <w:spacing w:after="0" w:line="240" w:lineRule="auto"/>
    </w:pPr>
    <w:rPr>
      <w:rFonts w:cs="Times New Roman"/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2">
    <w:name w:val="List Bullet12"/>
    <w:basedOn w:val="Listtable"/>
    <w:pPr>
      <w:spacing w:after="0" w:line="240" w:lineRule="auto"/>
    </w:pPr>
    <w:rPr>
      <w:rFonts w:cs="Times New Roman"/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2">
    <w:name w:val="List numbered2"/>
    <w:basedOn w:val="Listtable"/>
    <w:pPr>
      <w:spacing w:after="0" w:line="240" w:lineRule="auto"/>
    </w:pPr>
    <w:rPr>
      <w:rFonts w:cs="Times New Roman"/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numbering" w:customStyle="1" w:styleId="NoList2">
    <w:name w:val="No List2"/>
    <w:next w:val="NoList"/>
    <w:uiPriority w:val="99"/>
    <w:semiHidden/>
    <w:unhideWhenUsed/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1">
    <w:name w:val="Notes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1">
    <w:name w:val="Notes table without border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Listtable2">
    <w:name w:val="List tabl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dash1">
    <w:name w:val="List dash1"/>
    <w:basedOn w:val="Listtable"/>
    <w:pPr>
      <w:spacing w:after="0" w:line="240" w:lineRule="auto"/>
    </w:pPr>
    <w:rPr>
      <w:rFonts w:cs="Times New Roman"/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1">
    <w:name w:val="List Bullet11"/>
    <w:basedOn w:val="Listtable"/>
    <w:pPr>
      <w:spacing w:after="0" w:line="240" w:lineRule="auto"/>
    </w:pPr>
    <w:rPr>
      <w:rFonts w:cs="Times New Roman"/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1">
    <w:name w:val="List numbered1"/>
    <w:basedOn w:val="Listtable"/>
    <w:pPr>
      <w:spacing w:after="0" w:line="240" w:lineRule="auto"/>
    </w:pPr>
    <w:rPr>
      <w:rFonts w:cs="Times New Roman"/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numbering" w:customStyle="1" w:styleId="NoList3">
    <w:name w:val="No List3"/>
    <w:next w:val="NoList"/>
    <w:uiPriority w:val="99"/>
    <w:semiHidden/>
    <w:unhideWhenUsed/>
  </w:style>
  <w:style w:type="table" w:customStyle="1" w:styleId="Listtable3">
    <w:name w:val="List table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2">
    <w:name w:val="Notes table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2">
    <w:name w:val="Notes table without border2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Listdash2">
    <w:name w:val="List dash2"/>
    <w:basedOn w:val="Listtable"/>
    <w:pPr>
      <w:spacing w:after="0" w:line="240" w:lineRule="auto"/>
    </w:pPr>
    <w:rPr>
      <w:rFonts w:cs="Times New Roman"/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2">
    <w:name w:val="List Bullet12"/>
    <w:basedOn w:val="Listtable"/>
    <w:pPr>
      <w:spacing w:after="0" w:line="240" w:lineRule="auto"/>
    </w:pPr>
    <w:rPr>
      <w:rFonts w:cs="Times New Roman"/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2">
    <w:name w:val="List numbered2"/>
    <w:basedOn w:val="Listtable"/>
    <w:pPr>
      <w:spacing w:after="0" w:line="240" w:lineRule="auto"/>
    </w:pPr>
    <w:rPr>
      <w:rFonts w:cs="Times New Roman"/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531A-01DA-4E20-B12C-A7DCAE78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12</Pages>
  <Words>4292</Words>
  <Characters>20604</Characters>
  <Application>Microsoft Office Word</Application>
  <DocSecurity>0</DocSecurity>
  <Lines>1717</Lines>
  <Paragraphs>1244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WES PDFC Administrator</cp:lastModifiedBy>
  <cp:revision>9</cp:revision>
  <cp:lastPrinted>2018-10-22T11:15:00Z</cp:lastPrinted>
  <dcterms:created xsi:type="dcterms:W3CDTF">2020-04-20T17:13:00Z</dcterms:created>
  <dcterms:modified xsi:type="dcterms:W3CDTF">2020-04-24T08:04:00Z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