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68A2753-23E2-4315-B31F-D090BAFFD0C0" style="width:450.8pt;height:365.9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Calibri"/>
          <w:noProof/>
        </w:rPr>
      </w:pPr>
      <w:r>
        <w:t>1.</w:t>
      </w:r>
      <w:r>
        <w:tab/>
      </w:r>
      <w:r>
        <w:rPr>
          <w:noProof/>
        </w:rPr>
        <w:t>КОНТЕКСТ НА ПРЕДЛОЖЕНИЕТО</w:t>
      </w:r>
    </w:p>
    <w:p>
      <w:pPr>
        <w:pStyle w:val="ManualHeading2"/>
        <w:rPr>
          <w:rFonts w:eastAsia="Arial Unicode MS"/>
          <w:noProof/>
        </w:rPr>
      </w:pPr>
      <w:r>
        <w:rPr>
          <w:noProof/>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Автономните тарифни квоти са необходими за някои продукти, когато в рамките на Съюза производството не е достатъчно, за да удовлетвори потребностите на промишлеността, използваща тези продукти. Необходимо е да бъдат открити тарифни квоти на Съюза с нулеви или намалени ставки на митата и с подходящи обеми, без това да причинява смущения на пазара на съответните продукти.</w:t>
      </w:r>
    </w:p>
    <w:p>
      <w:pPr>
        <w:pBdr>
          <w:top w:val="nil"/>
          <w:left w:val="nil"/>
          <w:bottom w:val="nil"/>
          <w:right w:val="nil"/>
          <w:between w:val="nil"/>
          <w:bar w:val="nil"/>
        </w:pBdr>
        <w:spacing w:before="0" w:after="240"/>
        <w:rPr>
          <w:noProof/>
        </w:rPr>
      </w:pPr>
      <w:r>
        <w:rPr>
          <w:noProof/>
        </w:rPr>
        <w:t>На 17 декември 2013 г. Съветът на Европейския съюз прие Регламент (ЕС) № 1388/2013 за откриване и управление на автономни тарифни квоти на Съюза за някои селскостопански и промишлени продукти, за да може търсенето на въпросните продукти в Съюза да бъде удовлетворено при най-благоприятни условия.</w:t>
      </w:r>
    </w:p>
    <w:p>
      <w:pPr>
        <w:pBdr>
          <w:top w:val="nil"/>
          <w:left w:val="nil"/>
          <w:bottom w:val="nil"/>
          <w:right w:val="nil"/>
          <w:between w:val="nil"/>
          <w:bar w:val="nil"/>
        </w:pBdr>
        <w:spacing w:before="0" w:after="240"/>
        <w:rPr>
          <w:noProof/>
        </w:rPr>
      </w:pPr>
      <w:r>
        <w:rPr>
          <w:noProof/>
        </w:rPr>
        <w:t>Регламентът се актуализира на всеки шест месеца, за да отговаря на нуждите на промишлеността на Съюза. Подпомагана от Групата по икономически и тарифни въпроси, Комисията разгледа всички искания на държавите членки за митата по автономни тарифни квоти.</w:t>
      </w:r>
    </w:p>
    <w:p>
      <w:pPr>
        <w:pBdr>
          <w:top w:val="nil"/>
          <w:left w:val="nil"/>
          <w:bottom w:val="nil"/>
          <w:right w:val="nil"/>
          <w:between w:val="nil"/>
          <w:bar w:val="nil"/>
        </w:pBdr>
        <w:spacing w:before="0" w:after="240"/>
        <w:rPr>
          <w:noProof/>
        </w:rPr>
      </w:pPr>
      <w:r>
        <w:rPr>
          <w:noProof/>
        </w:rPr>
        <w:t>След разглеждането Комисията смята, че откриването на автономни тарифни квоти е оправдано за някои нови продукти, които понастоящем не са включени в приложението към Регламент (ЕС) № 1388/2013. По отношение на някои други продукти е необходимо да се промени описанието, да се определят нови кодове по ТАРИК или да се увеличи първоначалният обем на квотата, включително с обратно действие. Продуктите, за които прилагането на тарифна квота вече не отговаря на икономическите интереси на Съюза, следва да се заличат от приложението.</w:t>
      </w:r>
    </w:p>
    <w:p>
      <w:pPr>
        <w:pBdr>
          <w:top w:val="nil"/>
          <w:left w:val="nil"/>
          <w:bottom w:val="nil"/>
          <w:right w:val="nil"/>
          <w:between w:val="nil"/>
          <w:bar w:val="nil"/>
        </w:pBdr>
        <w:spacing w:before="0" w:after="240"/>
        <w:rPr>
          <w:rFonts w:eastAsia="Arial Unicode MS"/>
          <w:noProof/>
        </w:rPr>
      </w:pPr>
      <w:r>
        <w:rPr>
          <w:noProof/>
        </w:rPr>
        <w:t>За по-голяма яснота е целесъобразно да се публикува консолидирана версия на приложението към Регламент (ЕС) № 1388/2013 на Съвета, което изцяло ще замени предишното приложение.</w:t>
      </w:r>
    </w:p>
    <w:p>
      <w:pPr>
        <w:pStyle w:val="ManualHeading2"/>
        <w:rPr>
          <w:rFonts w:eastAsia="Arial Unicode MS"/>
          <w:noProof/>
          <w:u w:color="000000"/>
          <w:bdr w:val="nil"/>
        </w:rPr>
      </w:pPr>
      <w:r>
        <w:rPr>
          <w:noProof/>
          <w:u w:color="000000"/>
          <w:bdr w:val="nil"/>
        </w:rPr>
        <w:t>•</w:t>
      </w:r>
      <w:r>
        <w:rPr>
          <w:noProof/>
        </w:rPr>
        <w:tab/>
      </w:r>
      <w:r>
        <w:rPr>
          <w:noProof/>
          <w:u w:color="000000"/>
          <w:bdr w:val="nil"/>
        </w:rPr>
        <w:t>Съгласуваност с действащите разпоредби в тази област на политиката</w:t>
      </w:r>
    </w:p>
    <w:p>
      <w:pPr>
        <w:rPr>
          <w:noProof/>
        </w:rPr>
      </w:pPr>
      <w:r>
        <w:rPr>
          <w:noProof/>
        </w:rPr>
        <w:t>Настоящото предложение не засяга държавите, които имат преференциално търговско споразумение със Съюза, нито държавите — кандидатки или потенциални кандидатки за преференциални споразумения със Съюза (напр. Общата система за преференции; режима на Споразумението за партньорство с държавите от Африка, Карибите и Тихоокеанския басейн; споразуменията за свободна търговия).</w:t>
      </w:r>
    </w:p>
    <w:p>
      <w:pPr>
        <w:pStyle w:val="ManualHeading2"/>
        <w:rPr>
          <w:rFonts w:eastAsia="Arial Unicode MS"/>
          <w:noProof/>
          <w:u w:color="000000"/>
          <w:bdr w:val="nil"/>
        </w:rPr>
      </w:pPr>
      <w:r>
        <w:rPr>
          <w:noProof/>
          <w:u w:color="000000"/>
          <w:bdr w:val="nil"/>
        </w:rPr>
        <w:t>•</w:t>
      </w:r>
      <w:r>
        <w:rPr>
          <w:noProof/>
        </w:rPr>
        <w:tab/>
      </w:r>
      <w:r>
        <w:rPr>
          <w:noProof/>
          <w:u w:color="000000"/>
          <w:bdr w:val="nil"/>
        </w:rPr>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Предложението е съобразено с политиките на Съюза в областта на селското стопанство, търговията, предприемачеството, развитието, околната среда и външните отношения.</w:t>
      </w:r>
    </w:p>
    <w:p>
      <w:pPr>
        <w:pStyle w:val="ManualHeading1"/>
        <w:rPr>
          <w:rFonts w:eastAsia="Calibri"/>
          <w:noProof/>
        </w:rPr>
      </w:pPr>
      <w:r>
        <w:t>2.</w:t>
      </w:r>
      <w:r>
        <w:tab/>
      </w:r>
      <w:r>
        <w:rPr>
          <w:noProof/>
        </w:rPr>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на настоящото предложение е член 31 от Договора за функционирането на Европейския съюз (ДФЕС).</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Субсидиарност (при неизключителна компетентност)</w:t>
      </w:r>
    </w:p>
    <w:p>
      <w:pPr>
        <w:rPr>
          <w:noProof/>
        </w:rPr>
      </w:pPr>
      <w:r>
        <w:rPr>
          <w:noProof/>
        </w:rPr>
        <w:t>Предложението попада в обхвата на изключителната компетентност на Съюза. Следователно принципът на субсидиарност 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е съобразено с принципа на пропорционалност. Предвидените мерки съответстват на принципите за опростяване на процедурите за икономическите оператори с предмет на дейност във външната търговия, определени в Съобщението на Комисията относно суспендирането на автономни мита и относно автономните тарифни квоти</w:t>
      </w:r>
      <w:r>
        <w:rPr>
          <w:rStyle w:val="FootnoteReference"/>
          <w:noProof/>
        </w:rPr>
        <w:footnoteReference w:id="2"/>
      </w:r>
      <w:r>
        <w:rPr>
          <w:noProof/>
        </w:rPr>
        <w:t>. С настоящия регламент не се надхвърля необходимото за постигането на преследваните цели в съответствие с член 5, параграф 4 от Договора за Европейския съюз (ДЕС).</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rPr>
          <w:noProof/>
        </w:rPr>
      </w:pPr>
      <w:r>
        <w:rPr>
          <w:noProof/>
        </w:rPr>
        <w:t xml:space="preserve">По силата на член 31 от ДФЕС „митата от Общата митническа тарифа се определят от Съвета, по предложение на Комисията“. По тази причина подходящият инструмент е регламент на Съвета. </w:t>
      </w:r>
    </w:p>
    <w:p>
      <w:pPr>
        <w:pStyle w:val="ManualHeading1"/>
        <w:rPr>
          <w:rFonts w:eastAsia="Calibri"/>
          <w:noProof/>
        </w:rPr>
      </w:pPr>
      <w:r>
        <w:t>3.</w:t>
      </w:r>
      <w:r>
        <w:tab/>
      </w:r>
      <w:r>
        <w:rPr>
          <w:noProof/>
        </w:rPr>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Схемата на автономните тарифни квоти бе предмет на проучване за оценка, проведено през 2013 г. по отношение на суспендирането на автономните мита</w:t>
      </w:r>
      <w:r>
        <w:rPr>
          <w:rStyle w:val="FootnoteReference"/>
          <w:noProof/>
        </w:rPr>
        <w:footnoteReference w:id="3"/>
      </w:r>
      <w:r>
        <w:rPr>
          <w:noProof/>
        </w:rPr>
        <w:t>.</w:t>
      </w:r>
    </w:p>
    <w:p>
      <w:pPr>
        <w:pBdr>
          <w:top w:val="nil"/>
          <w:left w:val="nil"/>
          <w:bottom w:val="nil"/>
          <w:right w:val="nil"/>
          <w:between w:val="nil"/>
          <w:bar w:val="nil"/>
        </w:pBdr>
        <w:spacing w:before="0" w:after="240"/>
        <w:rPr>
          <w:rFonts w:eastAsia="Arial Unicode MS"/>
          <w:noProof/>
        </w:rPr>
      </w:pPr>
      <w:r>
        <w:rPr>
          <w:noProof/>
        </w:rPr>
        <w:t>Това се дължи на факта, че двете мерки са сходни, с тази разлика, че с тарифните квоти се ограничава обемът на вноса. Въз основа на оценката бе направено заключение, че водещото съображение за съществуването на схемата остава валидно. Предприятията от Съюза, внасящи стоки по схемата, могат да икономисват значителни разходи. На свой ред, тези икономии на разходи могат да донесат – в зависимост от продукта, дружеството или отрасъла – по-широкомащабни ползи, например повишение на конкурентоспособността, увеличение на ефективността на производствените методи, създаване или запазване на работни места в Съюза. Подробна информация относно икономиите, произтичащи от настоящия регламент, може да бъде намерена в приложената законодателна финансова обосновка.</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rPr>
          <w:noProof/>
        </w:rPr>
      </w:pPr>
      <w:r>
        <w:rPr>
          <w:noProof/>
        </w:rPr>
        <w:t>При оценката на предложението Комисията беше подпомогната от Групата по икономически и тарифни въпроси, която се състои от делегации от всички държави членки и от Турция. Групата се събра три пъти, преди да постигне съгласие по промените в настоящото предложение.</w:t>
      </w:r>
    </w:p>
    <w:p>
      <w:pPr>
        <w:rPr>
          <w:noProof/>
        </w:rPr>
      </w:pPr>
      <w:r>
        <w:rPr>
          <w:noProof/>
        </w:rPr>
        <w:t xml:space="preserve">Тя внимателно разгледа всички искания (нови или за изменение). По-конкретно, тя проучи всеки един случай, за да се увери, че не се създават вреди за производителите от Съюза и че се повишава и консолидира конкурентоспособността на производството на </w:t>
      </w:r>
      <w:r>
        <w:rPr>
          <w:noProof/>
        </w:rPr>
        <w:lastRenderedPageBreak/>
        <w:t>Съюза. Оценката се основава на проведеното обсъждане сред членовете на Групата по икономически и тарифни въпроси, като държавите членки на свой ред се консултираха с представители на засегнатите промишлени отрасли, сдружения, търговски камари и други заинтересовани страни.</w:t>
      </w:r>
    </w:p>
    <w:p>
      <w:pPr>
        <w:rPr>
          <w:noProof/>
        </w:rPr>
      </w:pPr>
      <w:r>
        <w:rPr>
          <w:noProof/>
        </w:rPr>
        <w:t>По време на обсъждането в Групата по икономически и тарифни въпроси беше постигнато съгласие или компромиси по всички изброени тарифни квоти. Не бяха посочени потенциално значими рискове с необратими последици.</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rPr>
          <w:noProof/>
        </w:rPr>
      </w:pPr>
      <w:r>
        <w:rPr>
          <w:noProof/>
        </w:rPr>
        <w:t>Предложеното изменение е от чисто техническо естество и се отнася само до обхвата на тарифните квоти, включени в приложението към Регламент (ЕС) № 1388/2013 на Съвета. Поради това не беше извършена оценка на въздействието във връзка с настоящото предложение.</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основните права.</w:t>
      </w:r>
    </w:p>
    <w:p>
      <w:pPr>
        <w:pStyle w:val="ManualHeading1"/>
        <w:rPr>
          <w:rFonts w:eastAsia="Calibri"/>
          <w:noProof/>
        </w:rPr>
      </w:pPr>
      <w:r>
        <w:t>4.</w:t>
      </w:r>
      <w:r>
        <w:tab/>
      </w:r>
      <w:r>
        <w:rPr>
          <w:noProof/>
        </w:rPr>
        <w:t>ОТРАЖЕНИЕ ВЪРХУ БЮДЖЕТА</w:t>
      </w:r>
    </w:p>
    <w:p>
      <w:pPr>
        <w:rPr>
          <w:noProof/>
        </w:rPr>
      </w:pPr>
      <w:r>
        <w:rPr>
          <w:noProof/>
        </w:rPr>
        <w:t>Предложението няма финансово отражение върху разходите, но има финансово отражение върху приходите. Несъбраните мита възлизат общо на близо 1,4 млн. евро годишно. Въздействието върху традиционните собствени ресурси на бюджета е в размер на 1,1 млн. евро годишно (т.е. 80 % от общия размер). Отражението върху бюджета, което ще окаже настоящото предложение, е по-подробно изложено в законодателната финансова обосновка.</w:t>
      </w:r>
    </w:p>
    <w:p>
      <w:pPr>
        <w:rPr>
          <w:noProof/>
          <w:szCs w:val="24"/>
        </w:rPr>
      </w:pPr>
      <w:r>
        <w:rPr>
          <w:noProof/>
        </w:rPr>
        <w:t>Загубата на приходи от традиционните собствени ресурси ще се компенсира от вноските на държавите членки въз основа на брутния национален доход (БНД).</w:t>
      </w:r>
    </w:p>
    <w:p>
      <w:pPr>
        <w:pStyle w:val="ManualHeading1"/>
        <w:rPr>
          <w:rFonts w:eastAsia="Calibri"/>
          <w:noProof/>
        </w:rPr>
      </w:pPr>
      <w:r>
        <w:t>5.</w:t>
      </w:r>
      <w:r>
        <w:tab/>
      </w:r>
      <w:r>
        <w:rPr>
          <w:noProof/>
        </w:rPr>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noProof/>
        </w:rPr>
      </w:pPr>
      <w:r>
        <w:rPr>
          <w:noProof/>
        </w:rPr>
        <w:t>Предложените мерки се управляват в рамките на Интегрираната тарифа на Европейския съюз (ТАРИК) и се прилагат от митническите администрации на държавите членки.</w:t>
      </w:r>
    </w:p>
    <w:p>
      <w:pPr>
        <w:rPr>
          <w:noProof/>
        </w:rPr>
        <w:sectPr>
          <w:footerReference w:type="default" r:id="rId11"/>
          <w:footerReference w:type="first" r:id="rId12"/>
          <w:footnotePr>
            <w:numRestart w:val="eachSect"/>
          </w:footnotePr>
          <w:pgSz w:w="11907" w:h="16839"/>
          <w:pgMar w:top="1134" w:right="1417" w:bottom="1134" w:left="1417" w:header="709" w:footer="709" w:gutter="0"/>
          <w:pgNumType w:start="1"/>
          <w:cols w:space="720"/>
          <w:docGrid w:linePitch="360"/>
        </w:sectPr>
      </w:pPr>
    </w:p>
    <w:p>
      <w:pPr>
        <w:pStyle w:val="Rfrenceinterinstitutionnelle"/>
        <w:rPr>
          <w:noProof/>
        </w:rPr>
      </w:pPr>
      <w:r>
        <w:rPr>
          <w:noProof/>
        </w:rPr>
        <w:lastRenderedPageBreak/>
        <w:t>2020/0063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(ЕС) № 1388/2013 за откриване и управление на автономни тарифни квоти на Съюза за някои селскостопански и промишлени продукти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31 от него,</w:t>
      </w:r>
    </w:p>
    <w:p>
      <w:pPr>
        <w:rPr>
          <w:noProof/>
        </w:rPr>
      </w:pPr>
      <w:r>
        <w:rPr>
          <w:noProof/>
        </w:rPr>
        <w:t>като взе предвид предложението на Европейската комисия,</w:t>
      </w:r>
    </w:p>
    <w:p>
      <w:pPr>
        <w:rPr>
          <w:i/>
          <w:noProof/>
        </w:rPr>
      </w:pPr>
      <w:r>
        <w:rPr>
          <w:noProof/>
        </w:rPr>
        <w:t>като има предвид, че:</w:t>
      </w:r>
    </w:p>
    <w:p>
      <w:pPr>
        <w:pStyle w:val="ManualConsidrant"/>
        <w:rPr>
          <w:noProof/>
        </w:rPr>
      </w:pPr>
      <w:r>
        <w:t>(1)</w:t>
      </w:r>
      <w:r>
        <w:tab/>
      </w:r>
      <w:r>
        <w:rPr>
          <w:noProof/>
        </w:rPr>
        <w:t>С цел да се осигури задоволително и непрекъснато снабдяване с някои селскостопански и промишлени продукти, които се произвеждат в недостатъчни количества в Съюза, и по този начин да се избегнат евентуални смущения на пазара на тези продукти, с Регламент (ЕС) № 1388/2013 на Съвета</w:t>
      </w:r>
      <w:r>
        <w:rPr>
          <w:rStyle w:val="FootnoteReference"/>
          <w:noProof/>
        </w:rPr>
        <w:footnoteReference w:id="4"/>
      </w:r>
      <w:r>
        <w:rPr>
          <w:noProof/>
        </w:rPr>
        <w:t xml:space="preserve"> бяха открити автономни тарифни квоти. В рамките на тези тарифни квоти продуктите могат да се внасят в Съюза при намалени или нулеви ставки на митата.</w:t>
      </w:r>
    </w:p>
    <w:p>
      <w:pPr>
        <w:pStyle w:val="ManualConsidrant"/>
        <w:rPr>
          <w:noProof/>
        </w:rPr>
      </w:pPr>
      <w:r>
        <w:t>(2)</w:t>
      </w:r>
      <w:r>
        <w:tab/>
      </w:r>
      <w:r>
        <w:rPr>
          <w:noProof/>
        </w:rPr>
        <w:t xml:space="preserve">Тъй като е в интерес на Съюза да се гарантира адекватното снабдяване с някои промишлени продукти и като се има предвид фактът, че в Съюза не се произвеждат в достатъчни количества идентични, еквивалентни или заместващи продукти, е необходимо да се открият нови тарифни квоти с поредни номера 09.2580, 09.2581 и 09.2583 с нулева ставка на митата за подходящи количества от посочените продукти. </w:t>
      </w:r>
    </w:p>
    <w:p>
      <w:pPr>
        <w:pStyle w:val="ManualConsidrant"/>
        <w:rPr>
          <w:noProof/>
          <w:sz w:val="22"/>
        </w:rPr>
      </w:pPr>
      <w:r>
        <w:t>(3)</w:t>
      </w:r>
      <w:r>
        <w:tab/>
      </w:r>
      <w:r>
        <w:rPr>
          <w:noProof/>
        </w:rPr>
        <w:t>Тъй като е в интерес на Съюза да се гарантира адекватното снабдяване с някои промишлени продукти, следва да се увеличат обемите на тарифните квоти с поредни номера 09.2634 и 09.2668.</w:t>
      </w:r>
    </w:p>
    <w:p>
      <w:pPr>
        <w:pStyle w:val="ManualConsidrant"/>
        <w:rPr>
          <w:noProof/>
        </w:rPr>
      </w:pPr>
      <w:r>
        <w:t>(4)</w:t>
      </w:r>
      <w:r>
        <w:tab/>
      </w:r>
      <w:r>
        <w:rPr>
          <w:noProof/>
        </w:rPr>
        <w:t>Тъй като обхватът на тарифната квота с пореден номер 09.2652 вече не отговаря на нуждите на икономическите оператори в Съюза, описанието на продукта, обхванат от тази квота, следва да бъде изменено.</w:t>
      </w:r>
    </w:p>
    <w:p>
      <w:pPr>
        <w:pStyle w:val="ManualConsidrant"/>
        <w:rPr>
          <w:noProof/>
        </w:rPr>
      </w:pPr>
      <w:r>
        <w:t>(5)</w:t>
      </w:r>
      <w:r>
        <w:tab/>
      </w:r>
      <w:r>
        <w:rPr>
          <w:noProof/>
        </w:rPr>
        <w:t>За тарифната квота с пореден номер 09.2588 квотният период следва да бъде удължен до 31 декември 2020 г., тъй като тарифната квота беше открита само за период от шест месеца и все още е в интерес на Съюза тя да бъде запазена.</w:t>
      </w:r>
    </w:p>
    <w:p>
      <w:pPr>
        <w:pStyle w:val="ManualConsidrant"/>
        <w:rPr>
          <w:noProof/>
        </w:rPr>
      </w:pPr>
      <w:r>
        <w:lastRenderedPageBreak/>
        <w:t>(6)</w:t>
      </w:r>
      <w:r>
        <w:tab/>
      </w:r>
      <w:r>
        <w:rPr>
          <w:noProof/>
        </w:rPr>
        <w:t>Веществата диметилсулфат (CAS RN 77-78-1) с чистота 99 % или повече, 2</w:t>
      </w:r>
      <w:r>
        <w:rPr>
          <w:noProof/>
        </w:rPr>
        <w:noBreakHyphen/>
        <w:t>метиланилин (CAS RN 95-53-4)</w:t>
      </w:r>
      <w:r>
        <w:rPr>
          <w:rFonts w:ascii="Arial" w:hAnsi="Arial"/>
          <w:noProof/>
          <w:color w:val="000000"/>
          <w:sz w:val="18"/>
          <w:szCs w:val="18"/>
          <w:shd w:val="clear" w:color="auto" w:fill="FFFFFF"/>
        </w:rPr>
        <w:t xml:space="preserve"> </w:t>
      </w:r>
      <w:r>
        <w:rPr>
          <w:noProof/>
        </w:rPr>
        <w:t>с чистота 99 тегловни % или повече и 4,4’</w:t>
      </w:r>
      <w:r>
        <w:rPr>
          <w:noProof/>
        </w:rPr>
        <w:noBreakHyphen/>
        <w:t>метандиилдианилин (CAS RN 101-77-9) с чистота 97 тегловни % или повече са включени в списъка с кандидат-вещества, посочен в член 59 от Регламент (ЕО) № 1907/2006 на Европейския парламент и на Съвета</w:t>
      </w:r>
      <w:r>
        <w:rPr>
          <w:rStyle w:val="FootnoteReference"/>
          <w:noProof/>
          <w:szCs w:val="24"/>
        </w:rPr>
        <w:footnoteReference w:id="5"/>
      </w:r>
      <w:r>
        <w:rPr>
          <w:noProof/>
        </w:rPr>
        <w:t xml:space="preserve">, а веществото с CAS 101-77-9 е включено в приложение XIV към посочения регламент. По тази причина съществуващите тарифни квоти за такива продукти постепенно ще бъдат закрити, а всички новооткрити тарифни квоти ще се прилагат в течение на ограничен период. Поради това тарифните квоти с поредни номера 09.2648 и 09.2730 следва да се прилагат до 31 декември 2020 г. със ставка на конвенционално мито в размер на 2 %. Освен това тарифните квоти с пореден номер 09.2590 ще бъдат закрити и до 31 декември 2020 г. следва да се открие нова тарифна квота с пореден номер 09.2582 със ставка на конвенционално мито в размер на 2 %. </w:t>
      </w:r>
    </w:p>
    <w:p>
      <w:pPr>
        <w:pStyle w:val="ManualConsidrant"/>
        <w:rPr>
          <w:noProof/>
        </w:rPr>
      </w:pPr>
      <w:r>
        <w:t>(7)</w:t>
      </w:r>
      <w:r>
        <w:tab/>
      </w:r>
      <w:r>
        <w:rPr>
          <w:noProof/>
        </w:rPr>
        <w:t>Предвид измененията, които е необходимо да се направят, и с оглед на яснотата приложението към Регламент (ЕС) № 1388/2013 следва да бъде заменено.</w:t>
      </w:r>
    </w:p>
    <w:p>
      <w:pPr>
        <w:pStyle w:val="ManualConsidrant"/>
        <w:rPr>
          <w:noProof/>
        </w:rPr>
      </w:pPr>
      <w:r>
        <w:t>(8)</w:t>
      </w:r>
      <w:r>
        <w:tab/>
      </w:r>
      <w:r>
        <w:rPr>
          <w:noProof/>
        </w:rPr>
        <w:t>За да се избегне евентуално прекъсване на прилагането на схемата на тарифните квоти и за да бъдат изпълнени насоките, определени в Съобщението на Комисията относно суспендирането на автономни мита и относно автономните тарифни квоти</w:t>
      </w:r>
      <w:r>
        <w:rPr>
          <w:rStyle w:val="FootnoteReference"/>
          <w:noProof/>
        </w:rPr>
        <w:footnoteReference w:id="6"/>
      </w:r>
      <w:r>
        <w:rPr>
          <w:noProof/>
        </w:rPr>
        <w:t>, предвидените в настоящия регламент промени по отношение на тарифните квоти за съответните продукти, следва да се прилагат от 1 юли 2020 г. Поради това настоящият регламент следва да влезе в сила по спешност,</w:t>
      </w:r>
    </w:p>
    <w:p>
      <w:pPr>
        <w:pStyle w:val="Formuledadoption"/>
        <w:rPr>
          <w:noProof/>
        </w:rPr>
      </w:pPr>
      <w:r>
        <w:rPr>
          <w:noProof/>
        </w:rPr>
        <w:t>ПРИЕ НАСТОЯЩИЯ РЕГЛАМЕНТ:</w:t>
      </w:r>
    </w:p>
    <w:p>
      <w:pPr>
        <w:pStyle w:val="Titrearticle"/>
        <w:rPr>
          <w:i w:val="0"/>
          <w:noProof/>
        </w:rPr>
      </w:pPr>
      <w:r>
        <w:rPr>
          <w:i w:val="0"/>
          <w:noProof/>
        </w:rPr>
        <w:t>Член 1</w:t>
      </w:r>
    </w:p>
    <w:p>
      <w:pPr>
        <w:rPr>
          <w:rFonts w:cs="EUAlbertina"/>
          <w:noProof/>
        </w:rPr>
      </w:pPr>
      <w:r>
        <w:rPr>
          <w:noProof/>
        </w:rPr>
        <w:t>Регламент (ЕС) № 1388/2013 се изменя, както следва:</w:t>
      </w:r>
    </w:p>
    <w:p>
      <w:pPr>
        <w:rPr>
          <w:rFonts w:cs="EUAlbertina"/>
          <w:noProof/>
        </w:rPr>
      </w:pPr>
      <w:r>
        <w:rPr>
          <w:noProof/>
        </w:rPr>
        <w:tab/>
      </w:r>
    </w:p>
    <w:p>
      <w:pPr>
        <w:rPr>
          <w:noProof/>
          <w:sz w:val="22"/>
        </w:rPr>
      </w:pPr>
      <w:r>
        <w:rPr>
          <w:noProof/>
        </w:rPr>
        <w:t>Приложението към Регламент (ЕС) № 1388/2013 се заменя с текста на приложението към настоящия регламент.</w:t>
      </w:r>
    </w:p>
    <w:p>
      <w:pPr>
        <w:pStyle w:val="Titrearticle"/>
        <w:rPr>
          <w:i w:val="0"/>
          <w:noProof/>
        </w:rPr>
      </w:pPr>
      <w:r>
        <w:rPr>
          <w:i w:val="0"/>
          <w:noProof/>
        </w:rPr>
        <w:t>Член 2</w:t>
      </w:r>
    </w:p>
    <w:p>
      <w:pPr>
        <w:rPr>
          <w:iCs/>
          <w:noProof/>
        </w:rPr>
      </w:pPr>
      <w:r>
        <w:rPr>
          <w:noProof/>
        </w:rPr>
        <w:t xml:space="preserve">Настоящият регламент влиза в сила в деня след деня на публикуването му в </w:t>
      </w:r>
      <w:r>
        <w:rPr>
          <w:i/>
          <w:iCs/>
          <w:noProof/>
        </w:rPr>
        <w:t>Официален вестник на Европейския съюз</w:t>
      </w:r>
      <w:r>
        <w:rPr>
          <w:noProof/>
        </w:rPr>
        <w:t>.</w:t>
      </w:r>
    </w:p>
    <w:p>
      <w:pPr>
        <w:rPr>
          <w:noProof/>
        </w:rPr>
      </w:pPr>
    </w:p>
    <w:p>
      <w:pPr>
        <w:rPr>
          <w:noProof/>
        </w:rPr>
      </w:pPr>
      <w:r>
        <w:rPr>
          <w:noProof/>
        </w:rPr>
        <w:t xml:space="preserve">Член 1 се прилага от 1 юли 2020 г. </w:t>
      </w:r>
    </w:p>
    <w:p>
      <w:pPr>
        <w:pStyle w:val="Applicationdirecte"/>
        <w:rPr>
          <w:noProof/>
        </w:rPr>
      </w:pPr>
      <w:r>
        <w:rPr>
          <w:noProof/>
        </w:rPr>
        <w:lastRenderedPageBreak/>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keepNext/>
        <w:spacing w:before="360"/>
        <w:outlineLvl w:val="0"/>
        <w:rPr>
          <w:b/>
          <w:smallCaps/>
          <w:noProof/>
        </w:rPr>
      </w:pPr>
      <w:r>
        <w:rPr>
          <w:b/>
          <w:smallCaps/>
          <w:noProof/>
        </w:rPr>
        <w:t>1.</w:t>
      </w:r>
      <w:r>
        <w:rPr>
          <w:noProof/>
        </w:rPr>
        <w:tab/>
      </w:r>
      <w:r>
        <w:rPr>
          <w:b/>
          <w:smallCaps/>
          <w:noProof/>
        </w:rPr>
        <w:t>НАИМЕНОВАНИЕ НА ПРЕДЛОЖЕНИЕТО:</w:t>
      </w:r>
    </w:p>
    <w:p>
      <w:pPr>
        <w:rPr>
          <w:noProof/>
        </w:rPr>
      </w:pPr>
      <w:r>
        <w:rPr>
          <w:noProof/>
        </w:rPr>
        <w:t>Регламент на Съвета за изменение на Регламент (ЕС) № 1388/2013 за откриване и управление на автономни тарифни квоти на Съюза за някои селскостопански и промишлени продукти</w:t>
      </w:r>
    </w:p>
    <w:p>
      <w:pPr>
        <w:keepNext/>
        <w:spacing w:before="360"/>
        <w:outlineLvl w:val="0"/>
        <w:rPr>
          <w:b/>
          <w:smallCaps/>
          <w:noProof/>
        </w:rPr>
      </w:pPr>
      <w:r>
        <w:rPr>
          <w:b/>
          <w:smallCaps/>
          <w:noProof/>
        </w:rPr>
        <w:t>2.</w:t>
      </w:r>
      <w:r>
        <w:rPr>
          <w:noProof/>
        </w:rPr>
        <w:tab/>
      </w:r>
      <w:r>
        <w:rPr>
          <w:b/>
          <w:smallCaps/>
          <w:noProof/>
        </w:rPr>
        <w:t>БЮДЖЕТНИ РЕДОВЕ</w:t>
      </w:r>
    </w:p>
    <w:p>
      <w:pPr>
        <w:spacing w:before="100" w:beforeAutospacing="1" w:after="100" w:afterAutospacing="1"/>
        <w:jc w:val="left"/>
        <w:rPr>
          <w:rFonts w:eastAsia="Times New Roman"/>
          <w:noProof/>
          <w:szCs w:val="24"/>
        </w:rPr>
      </w:pPr>
      <w:r>
        <w:rPr>
          <w:noProof/>
        </w:rPr>
        <w:t xml:space="preserve">Глава и статия: </w:t>
      </w:r>
      <w:r>
        <w:rPr>
          <w:noProof/>
        </w:rPr>
        <w:br/>
        <w:t>глава 12 и статия 120 — Мита и други задължения, посочени в член 2, параграф 1, буква а) от Решение 2014/335/ЕС, Евратом;</w:t>
      </w:r>
    </w:p>
    <w:p>
      <w:pPr>
        <w:spacing w:before="100" w:beforeAutospacing="1" w:after="100" w:afterAutospacing="1"/>
        <w:jc w:val="left"/>
        <w:rPr>
          <w:rFonts w:eastAsia="Times New Roman"/>
          <w:noProof/>
          <w:szCs w:val="24"/>
        </w:rPr>
      </w:pPr>
      <w:r>
        <w:rPr>
          <w:noProof/>
        </w:rPr>
        <w:t>Сума, предвидена в бюджета за 2020 г. (22 156 900 000 EUR)</w:t>
      </w:r>
    </w:p>
    <w:p>
      <w:pPr>
        <w:keepNext/>
        <w:spacing w:before="360"/>
        <w:outlineLvl w:val="0"/>
        <w:rPr>
          <w:b/>
          <w:smallCaps/>
          <w:noProof/>
        </w:rPr>
      </w:pPr>
      <w:r>
        <w:rPr>
          <w:b/>
          <w:smallCaps/>
          <w:noProof/>
        </w:rPr>
        <w:t>3.</w:t>
      </w:r>
      <w:r>
        <w:rPr>
          <w:noProof/>
        </w:rPr>
        <w:tab/>
      </w:r>
      <w:r>
        <w:rPr>
          <w:b/>
          <w:smallCaps/>
          <w:noProof/>
        </w:rPr>
        <w:t>ФИНАНСОВО ОТРАЖЕНИЕ</w:t>
      </w:r>
    </w:p>
    <w:p>
      <w:pPr>
        <w:rPr>
          <w:noProof/>
        </w:rPr>
      </w:pPr>
      <w:r>
        <w:rPr>
          <w:noProof/>
        </w:rPr>
        <w:sym w:font="Wingdings" w:char="F0A8"/>
      </w:r>
      <w:r>
        <w:rPr>
          <w:noProof/>
        </w:rPr>
        <w:tab/>
        <w:t>Предложението няма финансово отражение</w:t>
      </w:r>
    </w:p>
    <w:p>
      <w:pPr>
        <w:rPr>
          <w:noProof/>
        </w:rPr>
      </w:pPr>
      <w:r>
        <w:rPr>
          <w:noProof/>
        </w:rPr>
        <w:t>X</w:t>
      </w:r>
      <w:r>
        <w:rPr>
          <w:noProof/>
        </w:rPr>
        <w:tab/>
        <w:t>Предложението няма финансово отражение върху разходите, но има финансово отражение върху приходите. Ефектът е, както следва:</w:t>
      </w:r>
    </w:p>
    <w:p>
      <w:pPr>
        <w:jc w:val="right"/>
        <w:rPr>
          <w:noProof/>
          <w:sz w:val="18"/>
        </w:rPr>
      </w:pPr>
      <w:r>
        <w:rPr>
          <w:noProof/>
        </w:rPr>
        <w:t>в млн. евро (до първия знак след десетичната запетая)</w:t>
      </w:r>
    </w:p>
    <w:tbl>
      <w:tblPr>
        <w:tblW w:w="840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2879"/>
        <w:gridCol w:w="2040"/>
        <w:gridCol w:w="2160"/>
      </w:tblGrid>
      <w:tr>
        <w:tc>
          <w:tcPr>
            <w:tcW w:w="1321" w:type="dxa"/>
          </w:tcPr>
          <w:p>
            <w:pPr>
              <w:rPr>
                <w:noProof/>
              </w:rPr>
            </w:pPr>
            <w:r>
              <w:rPr>
                <w:noProof/>
              </w:rPr>
              <w:t>Бюджетен ред</w:t>
            </w:r>
          </w:p>
        </w:tc>
        <w:tc>
          <w:tcPr>
            <w:tcW w:w="2879" w:type="dxa"/>
          </w:tcPr>
          <w:p>
            <w:pPr>
              <w:jc w:val="center"/>
              <w:rPr>
                <w:noProof/>
              </w:rPr>
            </w:pPr>
            <w:r>
              <w:rPr>
                <w:noProof/>
              </w:rPr>
              <w:t>Приходи</w:t>
            </w:r>
            <w:r>
              <w:rPr>
                <w:rStyle w:val="FootnoteReference"/>
                <w:noProof/>
              </w:rPr>
              <w:footnoteReference w:id="7"/>
            </w:r>
          </w:p>
        </w:tc>
        <w:tc>
          <w:tcPr>
            <w:tcW w:w="2040" w:type="dxa"/>
          </w:tcPr>
          <w:p>
            <w:pPr>
              <w:jc w:val="center"/>
              <w:rPr>
                <w:noProof/>
              </w:rPr>
            </w:pPr>
            <w:r>
              <w:rPr>
                <w:noProof/>
              </w:rPr>
              <w:t>6-месечен период, считано от дд/мм/гггг</w:t>
            </w:r>
          </w:p>
        </w:tc>
        <w:tc>
          <w:tcPr>
            <w:tcW w:w="2160" w:type="dxa"/>
          </w:tcPr>
          <w:p>
            <w:pPr>
              <w:jc w:val="center"/>
              <w:rPr>
                <w:noProof/>
              </w:rPr>
            </w:pPr>
            <w:r>
              <w:rPr>
                <w:noProof/>
              </w:rPr>
              <w:t>[Година: втората половина на 2020 г.]</w:t>
            </w:r>
          </w:p>
        </w:tc>
      </w:tr>
      <w:tr>
        <w:tc>
          <w:tcPr>
            <w:tcW w:w="1321" w:type="dxa"/>
          </w:tcPr>
          <w:p>
            <w:pPr>
              <w:rPr>
                <w:noProof/>
              </w:rPr>
            </w:pPr>
            <w:r>
              <w:rPr>
                <w:noProof/>
              </w:rPr>
              <w:t>Статия 120</w:t>
            </w:r>
          </w:p>
        </w:tc>
        <w:tc>
          <w:tcPr>
            <w:tcW w:w="2879" w:type="dxa"/>
          </w:tcPr>
          <w:p>
            <w:pPr>
              <w:jc w:val="center"/>
              <w:rPr>
                <w:i/>
                <w:noProof/>
              </w:rPr>
            </w:pPr>
            <w:r>
              <w:rPr>
                <w:i/>
                <w:noProof/>
              </w:rPr>
              <w:t>Отражение върху собствените ресурси</w:t>
            </w:r>
          </w:p>
        </w:tc>
        <w:tc>
          <w:tcPr>
            <w:tcW w:w="2040" w:type="dxa"/>
          </w:tcPr>
          <w:p>
            <w:pPr>
              <w:jc w:val="center"/>
              <w:rPr>
                <w:noProof/>
              </w:rPr>
            </w:pPr>
            <w:r>
              <w:rPr>
                <w:noProof/>
              </w:rPr>
              <w:t>1.7.2020 г.</w:t>
            </w:r>
          </w:p>
        </w:tc>
        <w:tc>
          <w:tcPr>
            <w:tcW w:w="2160" w:type="dxa"/>
          </w:tcPr>
          <w:p>
            <w:pPr>
              <w:pStyle w:val="ListParagraph"/>
              <w:rPr>
                <w:noProof/>
              </w:rPr>
            </w:pPr>
            <w:r>
              <w:rPr>
                <w:noProof/>
              </w:rPr>
              <w:t>-0,5</w:t>
            </w:r>
          </w:p>
        </w:tc>
      </w:tr>
    </w:tbl>
    <w:p>
      <w:pPr>
        <w:spacing w:before="100" w:beforeAutospacing="1" w:after="100" w:afterAutospacing="1"/>
        <w:rPr>
          <w:noProof/>
          <w:szCs w:val="24"/>
        </w:rPr>
      </w:pPr>
      <w:r>
        <w:rPr>
          <w:noProof/>
        </w:rPr>
        <w:t>Приложението съдържа три нови продукта. Несъбраните мита, съответстващи на тези тарифни квоти, изчислени въз основа на прогнозите на подалите искания държави членки за 2020 г., възлизат на 1 554 954 EUR годишно.</w:t>
      </w:r>
    </w:p>
    <w:p>
      <w:pPr>
        <w:pStyle w:val="Text1"/>
        <w:ind w:left="0"/>
        <w:rPr>
          <w:noProof/>
        </w:rPr>
      </w:pPr>
      <w:r>
        <w:rPr>
          <w:noProof/>
        </w:rPr>
        <w:t xml:space="preserve">Нулевата ставка на митото за трите съществуващи тарифни квоти беше увеличена на 2 %. Това представлява увеличение на събираните мита със 182 864 EUR годишно, изчислено въз основа на статистическите данни за 2019 г.  </w:t>
      </w:r>
    </w:p>
    <w:p>
      <w:pPr>
        <w:spacing w:before="100" w:beforeAutospacing="1" w:after="100" w:afterAutospacing="1"/>
        <w:rPr>
          <w:noProof/>
          <w:szCs w:val="24"/>
        </w:rPr>
      </w:pPr>
      <w:r>
        <w:rPr>
          <w:noProof/>
        </w:rPr>
        <w:t>Въз основа на гореизложеното отражението на настоящия регламент върху загубата на приходи за бюджета на ЕС се оценява на 1 554 954 – 182 864 = 1 372 090 EUR (брутна сума, включително разходите по събирането) x 0,8 = 1 097 672 EUR годишно (нетна сума).</w:t>
      </w:r>
    </w:p>
    <w:p>
      <w:pPr>
        <w:rPr>
          <w:noProof/>
        </w:rPr>
      </w:pPr>
      <w:r>
        <w:rPr>
          <w:noProof/>
        </w:rPr>
        <w:t>4.</w:t>
      </w:r>
      <w:r>
        <w:rPr>
          <w:noProof/>
        </w:rPr>
        <w:tab/>
      </w:r>
      <w:r>
        <w:rPr>
          <w:b/>
          <w:noProof/>
        </w:rPr>
        <w:t>МЕРКИ ЗА БОРБА С ИЗМАМИТЕ</w:t>
      </w:r>
    </w:p>
    <w:p>
      <w:pPr>
        <w:rPr>
          <w:noProof/>
        </w:rPr>
      </w:pPr>
      <w:r>
        <w:rPr>
          <w:noProof/>
        </w:rPr>
        <w:t>В съответствие с член 254 от Регламент (ЕС) № 952/2013 на Европейския парламент и на Съвета от 9 октомври 2013 г. за създаване на Митнически кодекс на Съюза ще се извършват проверки на специфичната употреба на някои от продуктите, обхванати от настоящия регламент на Съвета.</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Malgun Gothic Semi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pPr>
      <w:r>
        <w:rPr>
          <w:rStyle w:val="FootnoteReference"/>
        </w:rPr>
        <w:footnoteRef/>
      </w:r>
      <w:r>
        <w:tab/>
        <w:t>ОВ С 363, 13.12.2011 г., стр. 6.</w:t>
      </w:r>
    </w:p>
  </w:footnote>
  <w:footnote w:id="3">
    <w:p>
      <w:pPr>
        <w:pStyle w:val="FootnoteText"/>
      </w:pPr>
      <w:r>
        <w:rPr>
          <w:rStyle w:val="FootnoteReference"/>
        </w:rPr>
        <w:footnoteRef/>
      </w:r>
      <w:r>
        <w:tab/>
      </w:r>
      <w:hyperlink r:id="rId1" w:history="1">
        <w:r>
          <w:rPr>
            <w:rStyle w:val="Hyperlink"/>
          </w:rPr>
          <w:t>http://ec.europa.eu/taxation_customs/common/publications/studies/index_en.htm</w:t>
        </w:r>
      </w:hyperlink>
    </w:p>
  </w:footnote>
  <w:footnote w:id="4">
    <w:p>
      <w:pPr>
        <w:pStyle w:val="FootnoteText"/>
      </w:pPr>
      <w:r>
        <w:rPr>
          <w:rStyle w:val="FootnoteReference"/>
        </w:rPr>
        <w:footnoteRef/>
      </w:r>
      <w:r>
        <w:tab/>
        <w:t xml:space="preserve">Регламент (ЕС) № 1388/2013 на Съвета от 17 декември 2013 г. за откриване и управление на автономни тарифни квоти на Съюза за някои селскостопански и промишлени продукти и за отмяна на Регламент (ЕС) № 7/2010 (ОВ L 354, 28.12.2013 г., стр. 319). </w:t>
      </w:r>
    </w:p>
    <w:p>
      <w:pPr>
        <w:pStyle w:val="FootnoteText"/>
      </w:pPr>
    </w:p>
    <w:p>
      <w:pPr>
        <w:pStyle w:val="FootnoteText"/>
      </w:pPr>
    </w:p>
  </w:footnote>
  <w:footnote w:id="5">
    <w:p>
      <w:pPr>
        <w:pStyle w:val="FootnoteText"/>
      </w:pPr>
      <w:r>
        <w:rPr>
          <w:rStyle w:val="FootnoteReference"/>
        </w:rPr>
        <w:footnoteRef/>
      </w:r>
      <w:r>
        <w:tab/>
        <w:t>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 (ОВ L 396, 30.12.2006 г., стр. 1).</w:t>
      </w:r>
    </w:p>
  </w:footnote>
  <w:footnote w:id="6">
    <w:p>
      <w:pPr>
        <w:pStyle w:val="FootnoteText"/>
      </w:pPr>
      <w:r>
        <w:rPr>
          <w:rStyle w:val="FootnoteReference"/>
        </w:rPr>
        <w:footnoteRef/>
      </w:r>
      <w:r>
        <w:tab/>
      </w:r>
      <w:hyperlink r:id="rId2" w:history="1">
        <w:r>
          <w:rPr>
            <w:rStyle w:val="Hyperlink"/>
            <w:color w:val="auto"/>
            <w:sz w:val="19"/>
            <w:u w:val="none"/>
            <w:shd w:val="clear" w:color="auto" w:fill="FFFFFF"/>
          </w:rPr>
          <w:t>ОВ С 363, 13.12.2011 г., стр. 6</w:t>
        </w:r>
      </w:hyperlink>
      <w:r>
        <w:rPr>
          <w:sz w:val="19"/>
          <w:szCs w:val="19"/>
          <w:shd w:val="clear" w:color="auto" w:fill="FFFFFF"/>
        </w:rPr>
        <w:t>.</w:t>
      </w:r>
    </w:p>
  </w:footnote>
  <w:footnote w:id="7">
    <w:p>
      <w:pPr>
        <w:pStyle w:val="FootnoteText"/>
        <w:ind w:left="0" w:firstLine="0"/>
      </w:pPr>
      <w:r>
        <w:rPr>
          <w:rStyle w:val="FootnoteReference"/>
        </w:rPr>
        <w:footnoteRef/>
      </w:r>
      <w:r>
        <w:tab/>
        <w:t xml:space="preserve">По отношение на традиционните собствени ресурси (мита, налози върху захарта) посочените суми трябва да са нетни </w:t>
      </w:r>
      <w:r>
        <w:tab/>
        <w:t>(т.е. брутни суми, от които са приспаднати 20 % за разходи по събирането).</w:t>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88836DE"/>
    <w:lvl w:ilvl="0">
      <w:start w:val="1"/>
      <w:numFmt w:val="decimal"/>
      <w:pStyle w:val="ListNumber3"/>
      <w:lvlText w:val="%1."/>
      <w:lvlJc w:val="left"/>
      <w:pPr>
        <w:tabs>
          <w:tab w:val="num" w:pos="926"/>
        </w:tabs>
        <w:ind w:left="926" w:hanging="360"/>
      </w:pPr>
    </w:lvl>
  </w:abstractNum>
  <w:abstractNum w:abstractNumId="1">
    <w:nsid w:val="FFFFFF7F"/>
    <w:multiLevelType w:val="singleLevel"/>
    <w:tmpl w:val="7EAC0BFA"/>
    <w:lvl w:ilvl="0">
      <w:start w:val="1"/>
      <w:numFmt w:val="decimal"/>
      <w:pStyle w:val="ListNumber2"/>
      <w:lvlText w:val="%1."/>
      <w:lvlJc w:val="left"/>
      <w:pPr>
        <w:tabs>
          <w:tab w:val="num" w:pos="643"/>
        </w:tabs>
        <w:ind w:left="643" w:hanging="360"/>
      </w:pPr>
    </w:lvl>
  </w:abstractNum>
  <w:abstractNum w:abstractNumId="2">
    <w:nsid w:val="FFFFFF81"/>
    <w:multiLevelType w:val="singleLevel"/>
    <w:tmpl w:val="75F0DCB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FB54480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37C4AB56"/>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3F6C8F2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Bullet 4"/>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2"/>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2"/>
  </w:num>
  <w:num w:numId="5">
    <w:abstractNumId w:val="4"/>
  </w:num>
  <w:num w:numId="6">
    <w:abstractNumId w:val="0"/>
  </w:num>
  <w:num w:numId="7">
    <w:abstractNumId w:val="1"/>
  </w:num>
  <w:num w:numId="8">
    <w:abstractNumId w:val="5"/>
  </w:num>
  <w:num w:numId="9">
    <w:abstractNumId w:val="3"/>
  </w:num>
  <w:num w:numId="10">
    <w:abstractNumId w:val="2"/>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lvlOverride w:ilvl="0">
      <w:startOverride w:val="1"/>
    </w:lvlOverride>
  </w:num>
  <w:num w:numId="14">
    <w:abstractNumId w:val="19"/>
  </w:num>
  <w:num w:numId="15">
    <w:abstractNumId w:val="11"/>
  </w:num>
  <w:num w:numId="16">
    <w:abstractNumId w:val="21"/>
  </w:num>
  <w:num w:numId="17">
    <w:abstractNumId w:val="10"/>
  </w:num>
  <w:num w:numId="18">
    <w:abstractNumId w:val="12"/>
  </w:num>
  <w:num w:numId="19">
    <w:abstractNumId w:val="8"/>
  </w:num>
  <w:num w:numId="20">
    <w:abstractNumId w:val="20"/>
  </w:num>
  <w:num w:numId="21">
    <w:abstractNumId w:val="7"/>
  </w:num>
  <w:num w:numId="22">
    <w:abstractNumId w:val="13"/>
  </w:num>
  <w:num w:numId="23">
    <w:abstractNumId w:val="17"/>
  </w:num>
  <w:num w:numId="24">
    <w:abstractNumId w:val="18"/>
  </w:num>
  <w:num w:numId="25">
    <w:abstractNumId w:val="9"/>
  </w:num>
  <w:num w:numId="26">
    <w:abstractNumId w:val="16"/>
  </w:num>
  <w:num w:numId="27">
    <w:abstractNumId w:val="23"/>
  </w:num>
  <w:num w:numId="28">
    <w:abstractNumId w:val="19"/>
  </w:num>
  <w:num w:numId="29">
    <w:abstractNumId w:val="11"/>
  </w:num>
  <w:num w:numId="30">
    <w:abstractNumId w:val="21"/>
  </w:num>
  <w:num w:numId="31">
    <w:abstractNumId w:val="10"/>
  </w:num>
  <w:num w:numId="32">
    <w:abstractNumId w:val="12"/>
  </w:num>
  <w:num w:numId="33">
    <w:abstractNumId w:val="8"/>
  </w:num>
  <w:num w:numId="34">
    <w:abstractNumId w:val="20"/>
  </w:num>
  <w:num w:numId="35">
    <w:abstractNumId w:val="7"/>
  </w:num>
  <w:num w:numId="36">
    <w:abstractNumId w:val="13"/>
  </w:num>
  <w:num w:numId="37">
    <w:abstractNumId w:val="17"/>
  </w:num>
  <w:num w:numId="38">
    <w:abstractNumId w:val="18"/>
  </w:num>
  <w:num w:numId="39">
    <w:abstractNumId w:val="9"/>
  </w:num>
  <w:num w:numId="40">
    <w:abstractNumId w:val="16"/>
  </w:num>
  <w:num w:numId="41">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noPunctuationKerning/>
  <w:characterSpacingControl w:val="doNotCompress"/>
  <w:hdrShapeDefaults>
    <o:shapedefaults v:ext="edit" spidmax="86017"/>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4-24 10:04:2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E68A2753-23E2-4315-B31F-D090BAFFD0C0"/>
    <w:docVar w:name="LW_COVERPAGE_TYPE" w:val="1"/>
    <w:docVar w:name="LW_CROSSREFERENCE" w:val="&lt;UNUSED&gt;"/>
    <w:docVar w:name="LW_DocType" w:val="COM"/>
    <w:docVar w:name="LW_EMISSION" w:val="24.4.2020"/>
    <w:docVar w:name="LW_EMISSION_ISODATE" w:val="2020-04-24"/>
    <w:docVar w:name="LW_EMISSION_LOCATION" w:val="BRX"/>
    <w:docVar w:name="LW_EMISSION_PREFIX" w:val="Брюксел, "/>
    <w:docVar w:name="LW_EMISSION_SUFFIX" w:val=" \u1075?."/>
    <w:docVar w:name="LW_ID_DOCMODEL" w:val="b01"/>
    <w:docVar w:name="LW_ID_DOCSIGNATURE" w:val="SJ-016"/>
    <w:docVar w:name="LW_ID_DOCSTRUCTURE" w:val="COM/PL/ORG"/>
    <w:docVar w:name="LW_ID_DOCTYPE" w:val="SJ-016"/>
    <w:docVar w:name="LW_ID_STATUT" w:val="PROPOSAL"/>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63"/>
    <w:docVar w:name="LW_REF.II.NEW.CP_YEAR" w:val="2020"/>
    <w:docVar w:name="LW_REF.INST.NEW" w:val="COM"/>
    <w:docVar w:name="LW_REF.INST.NEW_ADOPTED" w:val="final"/>
    <w:docVar w:name="LW_REF.INST.NEW_TEXT" w:val="(2020) 1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88/2013 \u1079?\u1072? \u1086?\u1090?\u1082?\u1088?\u1080?\u1074?\u1072?\u1085?\u1077? \u1080? \u1091?\u1087?\u1088?\u1072?\u1074?\u1083?\u1077?\u1085?\u1080?\u1077? \u1085?\u1072? \u1072?\u1074?\u1090?\u1086?\u1085?\u1086?\u1084?\u1085?\u1080? \u1090?\u1072?\u1088?\u1080?\u1092?\u1085?\u1080? \u1082?\u1074?\u1086?\u1090?\u1080? \u1085?\u1072? \u1057?\u1098?\u1102?\u1079?\u1072? \u1079?\u1072? \u1085?\u1103?\u1082?\u1086?\u1080? \u1089?\u1077?\u1083?\u1089?\u1082?\u1086?\u1089?\u1090?\u1086?\u1087?\u1072?\u1085?\u1089?\u1082?\u1080? \u1080? \u1087?\u1088?\u1086?\u1084?\u1080?\u1096?\u1083?\u1077?\u1085?\u1080? \u1087?\u1088?\u1086?\u1076?\u1091?\u1082?\u1090?\u1080?"/>
    <w:docVar w:name="LW_TITRE.OBJ.CP_PREVIOUS" w:val="&lt;UNUSED&gt;"/>
    <w:docVar w:name="LW_TYPE.DOC.CP" w:val="\u1056?\u1045?\u1043?\u1051?\u1040?\u1052?\u1045?\u1053?\u1058? \u1053?\u1040? \u1057?\u1066?\u1042?\u1045?\u1058?\u1040?"/>
    <w:docVar w:name="Stamp" w:val="\\dossiers.dgt.cec.eu.int\dossiers\TAXUD\TAXUD-2017-00167\TAXUD-2017-00167-00-00-EN-REV-00.201703081637032294106.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4"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lang w:eastAsia="ko-KR"/>
    </w:rPr>
  </w:style>
  <w:style w:type="table" w:customStyle="1" w:styleId="Listdash">
    <w:name w:val="List dash"/>
    <w:basedOn w:val="Listtable"/>
    <w:rPr>
      <w:sz w:val="20"/>
      <w:szCs w:val="20"/>
    </w:rPr>
    <w:tblPr>
      <w:tblCellMar>
        <w:top w:w="0" w:type="dxa"/>
        <w:left w:w="0" w:type="dxa"/>
        <w:bottom w:w="0" w:type="dxa"/>
      </w:tblCellMar>
    </w:tbl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uiPriority w:val="99"/>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rPr>
      <w:lang w:eastAsia="ko-KR"/>
    </w:r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norm3">
    <w:name w:val="norm3"/>
    <w:basedOn w:val="Normal"/>
    <w:pPr>
      <w:spacing w:after="0" w:line="312" w:lineRule="atLeast"/>
    </w:pPr>
    <w:rPr>
      <w:rFonts w:eastAsia="Times New Roman"/>
      <w:szCs w:val="24"/>
    </w:rPr>
  </w:style>
  <w:style w:type="paragraph" w:styleId="ListParagraph">
    <w:name w:val="List Paragraph"/>
    <w:basedOn w:val="Normal"/>
    <w:uiPriority w:val="34"/>
    <w:qFormat/>
    <w:pPr>
      <w:ind w:left="720"/>
      <w:contextualSpacing/>
    </w:pPr>
  </w:style>
  <w:style w:type="character" w:customStyle="1" w:styleId="Bodytext2">
    <w:name w:val="Body text (2)_"/>
    <w:basedOn w:val="DefaultParagraphFont"/>
    <w:link w:val="Bodytext20"/>
    <w:rPr>
      <w:sz w:val="18"/>
      <w:szCs w:val="18"/>
      <w:shd w:val="clear" w:color="auto" w:fill="FFFFFF"/>
    </w:rPr>
  </w:style>
  <w:style w:type="paragraph" w:customStyle="1" w:styleId="Bodytext20">
    <w:name w:val="Body text (2)"/>
    <w:basedOn w:val="Normal"/>
    <w:link w:val="Bodytext2"/>
    <w:pPr>
      <w:widowControl w:val="0"/>
      <w:shd w:val="clear" w:color="auto" w:fill="FFFFFF"/>
      <w:spacing w:before="300" w:after="0" w:line="504" w:lineRule="exact"/>
      <w:ind w:hanging="560"/>
    </w:pPr>
    <w:rPr>
      <w:rFonts w:asciiTheme="minorHAnsi" w:hAnsiTheme="minorHAnsi" w:cstheme="minorBidi"/>
      <w:sz w:val="18"/>
      <w:szCs w:val="18"/>
    </w:rPr>
  </w:style>
  <w:style w:type="character" w:customStyle="1" w:styleId="CommentTextChar">
    <w:name w:val="Comment Text Char"/>
    <w:basedOn w:val="DefaultParagraphFont"/>
    <w:link w:val="CommentText"/>
    <w:semiHidden/>
    <w:rPr>
      <w:rFonts w:ascii="Times New Roman" w:hAnsi="Times New Roman" w:cs="Times New Roman"/>
      <w:sz w:val="20"/>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4"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lang w:eastAsia="ko-KR"/>
    </w:rPr>
  </w:style>
  <w:style w:type="table" w:customStyle="1" w:styleId="Listdash">
    <w:name w:val="List dash"/>
    <w:basedOn w:val="Listtable"/>
    <w:rPr>
      <w:sz w:val="20"/>
      <w:szCs w:val="20"/>
    </w:rPr>
    <w:tblPr>
      <w:tblCellMar>
        <w:top w:w="0" w:type="dxa"/>
        <w:left w:w="0" w:type="dxa"/>
        <w:bottom w:w="0" w:type="dxa"/>
      </w:tblCellMar>
    </w:tbl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uiPriority w:val="99"/>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rPr>
      <w:lang w:eastAsia="ko-KR"/>
    </w:r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norm3">
    <w:name w:val="norm3"/>
    <w:basedOn w:val="Normal"/>
    <w:pPr>
      <w:spacing w:after="0" w:line="312" w:lineRule="atLeast"/>
    </w:pPr>
    <w:rPr>
      <w:rFonts w:eastAsia="Times New Roman"/>
      <w:szCs w:val="24"/>
    </w:rPr>
  </w:style>
  <w:style w:type="paragraph" w:styleId="ListParagraph">
    <w:name w:val="List Paragraph"/>
    <w:basedOn w:val="Normal"/>
    <w:uiPriority w:val="34"/>
    <w:qFormat/>
    <w:pPr>
      <w:ind w:left="720"/>
      <w:contextualSpacing/>
    </w:pPr>
  </w:style>
  <w:style w:type="character" w:customStyle="1" w:styleId="Bodytext2">
    <w:name w:val="Body text (2)_"/>
    <w:basedOn w:val="DefaultParagraphFont"/>
    <w:link w:val="Bodytext20"/>
    <w:rPr>
      <w:sz w:val="18"/>
      <w:szCs w:val="18"/>
      <w:shd w:val="clear" w:color="auto" w:fill="FFFFFF"/>
    </w:rPr>
  </w:style>
  <w:style w:type="paragraph" w:customStyle="1" w:styleId="Bodytext20">
    <w:name w:val="Body text (2)"/>
    <w:basedOn w:val="Normal"/>
    <w:link w:val="Bodytext2"/>
    <w:pPr>
      <w:widowControl w:val="0"/>
      <w:shd w:val="clear" w:color="auto" w:fill="FFFFFF"/>
      <w:spacing w:before="300" w:after="0" w:line="504" w:lineRule="exact"/>
      <w:ind w:hanging="560"/>
    </w:pPr>
    <w:rPr>
      <w:rFonts w:asciiTheme="minorHAnsi" w:hAnsiTheme="minorHAnsi" w:cstheme="minorBidi"/>
      <w:sz w:val="18"/>
      <w:szCs w:val="18"/>
    </w:rPr>
  </w:style>
  <w:style w:type="character" w:customStyle="1" w:styleId="CommentTextChar">
    <w:name w:val="Comment Text Char"/>
    <w:basedOn w:val="DefaultParagraphFont"/>
    <w:link w:val="CommentText"/>
    <w:semiHidden/>
    <w:rPr>
      <w:rFonts w:ascii="Times New Roman" w:hAnsi="Times New Roman" w:cs="Times New Roman"/>
      <w:sz w:val="20"/>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83856">
      <w:bodyDiv w:val="1"/>
      <w:marLeft w:val="0"/>
      <w:marRight w:val="0"/>
      <w:marTop w:val="0"/>
      <w:marBottom w:val="0"/>
      <w:divBdr>
        <w:top w:val="none" w:sz="0" w:space="0" w:color="auto"/>
        <w:left w:val="none" w:sz="0" w:space="0" w:color="auto"/>
        <w:bottom w:val="none" w:sz="0" w:space="0" w:color="auto"/>
        <w:right w:val="none" w:sz="0" w:space="0" w:color="auto"/>
      </w:divBdr>
    </w:div>
    <w:div w:id="447701243">
      <w:bodyDiv w:val="1"/>
      <w:marLeft w:val="0"/>
      <w:marRight w:val="0"/>
      <w:marTop w:val="0"/>
      <w:marBottom w:val="0"/>
      <w:divBdr>
        <w:top w:val="none" w:sz="0" w:space="0" w:color="auto"/>
        <w:left w:val="none" w:sz="0" w:space="0" w:color="auto"/>
        <w:bottom w:val="none" w:sz="0" w:space="0" w:color="auto"/>
        <w:right w:val="none" w:sz="0" w:space="0" w:color="auto"/>
      </w:divBdr>
    </w:div>
    <w:div w:id="684869422">
      <w:bodyDiv w:val="1"/>
      <w:marLeft w:val="0"/>
      <w:marRight w:val="0"/>
      <w:marTop w:val="0"/>
      <w:marBottom w:val="0"/>
      <w:divBdr>
        <w:top w:val="none" w:sz="0" w:space="0" w:color="auto"/>
        <w:left w:val="none" w:sz="0" w:space="0" w:color="auto"/>
        <w:bottom w:val="none" w:sz="0" w:space="0" w:color="auto"/>
        <w:right w:val="none" w:sz="0" w:space="0" w:color="auto"/>
      </w:divBdr>
    </w:div>
    <w:div w:id="696855808">
      <w:bodyDiv w:val="1"/>
      <w:marLeft w:val="0"/>
      <w:marRight w:val="0"/>
      <w:marTop w:val="0"/>
      <w:marBottom w:val="0"/>
      <w:divBdr>
        <w:top w:val="none" w:sz="0" w:space="0" w:color="auto"/>
        <w:left w:val="none" w:sz="0" w:space="0" w:color="auto"/>
        <w:bottom w:val="none" w:sz="0" w:space="0" w:color="auto"/>
        <w:right w:val="none" w:sz="0" w:space="0" w:color="auto"/>
      </w:divBdr>
      <w:divsChild>
        <w:div w:id="953247395">
          <w:marLeft w:val="0"/>
          <w:marRight w:val="0"/>
          <w:marTop w:val="0"/>
          <w:marBottom w:val="0"/>
          <w:divBdr>
            <w:top w:val="none" w:sz="0" w:space="0" w:color="auto"/>
            <w:left w:val="none" w:sz="0" w:space="0" w:color="auto"/>
            <w:bottom w:val="none" w:sz="0" w:space="0" w:color="auto"/>
            <w:right w:val="none" w:sz="0" w:space="0" w:color="auto"/>
          </w:divBdr>
          <w:divsChild>
            <w:div w:id="1317614473">
              <w:marLeft w:val="0"/>
              <w:marRight w:val="0"/>
              <w:marTop w:val="0"/>
              <w:marBottom w:val="0"/>
              <w:divBdr>
                <w:top w:val="none" w:sz="0" w:space="0" w:color="auto"/>
                <w:left w:val="none" w:sz="0" w:space="0" w:color="auto"/>
                <w:bottom w:val="none" w:sz="0" w:space="0" w:color="auto"/>
                <w:right w:val="none" w:sz="0" w:space="0" w:color="auto"/>
              </w:divBdr>
              <w:divsChild>
                <w:div w:id="207573036">
                  <w:marLeft w:val="0"/>
                  <w:marRight w:val="0"/>
                  <w:marTop w:val="0"/>
                  <w:marBottom w:val="0"/>
                  <w:divBdr>
                    <w:top w:val="none" w:sz="0" w:space="0" w:color="auto"/>
                    <w:left w:val="none" w:sz="0" w:space="0" w:color="auto"/>
                    <w:bottom w:val="none" w:sz="0" w:space="0" w:color="auto"/>
                    <w:right w:val="none" w:sz="0" w:space="0" w:color="auto"/>
                  </w:divBdr>
                  <w:divsChild>
                    <w:div w:id="2066875819">
                      <w:marLeft w:val="1"/>
                      <w:marRight w:val="1"/>
                      <w:marTop w:val="0"/>
                      <w:marBottom w:val="0"/>
                      <w:divBdr>
                        <w:top w:val="none" w:sz="0" w:space="0" w:color="auto"/>
                        <w:left w:val="none" w:sz="0" w:space="0" w:color="auto"/>
                        <w:bottom w:val="none" w:sz="0" w:space="0" w:color="auto"/>
                        <w:right w:val="none" w:sz="0" w:space="0" w:color="auto"/>
                      </w:divBdr>
                      <w:divsChild>
                        <w:div w:id="1261642017">
                          <w:marLeft w:val="0"/>
                          <w:marRight w:val="0"/>
                          <w:marTop w:val="0"/>
                          <w:marBottom w:val="0"/>
                          <w:divBdr>
                            <w:top w:val="none" w:sz="0" w:space="0" w:color="auto"/>
                            <w:left w:val="none" w:sz="0" w:space="0" w:color="auto"/>
                            <w:bottom w:val="none" w:sz="0" w:space="0" w:color="auto"/>
                            <w:right w:val="none" w:sz="0" w:space="0" w:color="auto"/>
                          </w:divBdr>
                          <w:divsChild>
                            <w:div w:id="319191998">
                              <w:marLeft w:val="0"/>
                              <w:marRight w:val="0"/>
                              <w:marTop w:val="0"/>
                              <w:marBottom w:val="360"/>
                              <w:divBdr>
                                <w:top w:val="none" w:sz="0" w:space="0" w:color="auto"/>
                                <w:left w:val="none" w:sz="0" w:space="0" w:color="auto"/>
                                <w:bottom w:val="none" w:sz="0" w:space="0" w:color="auto"/>
                                <w:right w:val="none" w:sz="0" w:space="0" w:color="auto"/>
                              </w:divBdr>
                              <w:divsChild>
                                <w:div w:id="1003053370">
                                  <w:marLeft w:val="0"/>
                                  <w:marRight w:val="0"/>
                                  <w:marTop w:val="0"/>
                                  <w:marBottom w:val="0"/>
                                  <w:divBdr>
                                    <w:top w:val="none" w:sz="0" w:space="0" w:color="auto"/>
                                    <w:left w:val="none" w:sz="0" w:space="0" w:color="auto"/>
                                    <w:bottom w:val="none" w:sz="0" w:space="0" w:color="auto"/>
                                    <w:right w:val="none" w:sz="0" w:space="0" w:color="auto"/>
                                  </w:divBdr>
                                  <w:divsChild>
                                    <w:div w:id="1696031355">
                                      <w:marLeft w:val="0"/>
                                      <w:marRight w:val="0"/>
                                      <w:marTop w:val="0"/>
                                      <w:marBottom w:val="0"/>
                                      <w:divBdr>
                                        <w:top w:val="none" w:sz="0" w:space="0" w:color="auto"/>
                                        <w:left w:val="none" w:sz="0" w:space="0" w:color="auto"/>
                                        <w:bottom w:val="none" w:sz="0" w:space="0" w:color="auto"/>
                                        <w:right w:val="none" w:sz="0" w:space="0" w:color="auto"/>
                                      </w:divBdr>
                                      <w:divsChild>
                                        <w:div w:id="196891429">
                                          <w:marLeft w:val="0"/>
                                          <w:marRight w:val="0"/>
                                          <w:marTop w:val="0"/>
                                          <w:marBottom w:val="0"/>
                                          <w:divBdr>
                                            <w:top w:val="none" w:sz="0" w:space="0" w:color="auto"/>
                                            <w:left w:val="none" w:sz="0" w:space="0" w:color="auto"/>
                                            <w:bottom w:val="none" w:sz="0" w:space="0" w:color="auto"/>
                                            <w:right w:val="none" w:sz="0" w:space="0" w:color="auto"/>
                                          </w:divBdr>
                                          <w:divsChild>
                                            <w:div w:id="1082022401">
                                              <w:marLeft w:val="0"/>
                                              <w:marRight w:val="0"/>
                                              <w:marTop w:val="0"/>
                                              <w:marBottom w:val="0"/>
                                              <w:divBdr>
                                                <w:top w:val="none" w:sz="0" w:space="0" w:color="auto"/>
                                                <w:left w:val="none" w:sz="0" w:space="0" w:color="auto"/>
                                                <w:bottom w:val="none" w:sz="0" w:space="0" w:color="auto"/>
                                                <w:right w:val="none" w:sz="0" w:space="0" w:color="auto"/>
                                              </w:divBdr>
                                              <w:divsChild>
                                                <w:div w:id="1014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650218">
      <w:bodyDiv w:val="1"/>
      <w:marLeft w:val="0"/>
      <w:marRight w:val="0"/>
      <w:marTop w:val="0"/>
      <w:marBottom w:val="0"/>
      <w:divBdr>
        <w:top w:val="none" w:sz="0" w:space="0" w:color="auto"/>
        <w:left w:val="none" w:sz="0" w:space="0" w:color="auto"/>
        <w:bottom w:val="none" w:sz="0" w:space="0" w:color="auto"/>
        <w:right w:val="none" w:sz="0" w:space="0" w:color="auto"/>
      </w:divBdr>
    </w:div>
    <w:div w:id="1060977488">
      <w:bodyDiv w:val="1"/>
      <w:marLeft w:val="0"/>
      <w:marRight w:val="0"/>
      <w:marTop w:val="0"/>
      <w:marBottom w:val="0"/>
      <w:divBdr>
        <w:top w:val="none" w:sz="0" w:space="0" w:color="auto"/>
        <w:left w:val="none" w:sz="0" w:space="0" w:color="auto"/>
        <w:bottom w:val="none" w:sz="0" w:space="0" w:color="auto"/>
        <w:right w:val="none" w:sz="0" w:space="0" w:color="auto"/>
      </w:divBdr>
      <w:divsChild>
        <w:div w:id="1032918486">
          <w:marLeft w:val="0"/>
          <w:marRight w:val="0"/>
          <w:marTop w:val="0"/>
          <w:marBottom w:val="0"/>
          <w:divBdr>
            <w:top w:val="none" w:sz="0" w:space="0" w:color="auto"/>
            <w:left w:val="none" w:sz="0" w:space="0" w:color="auto"/>
            <w:bottom w:val="none" w:sz="0" w:space="0" w:color="auto"/>
            <w:right w:val="none" w:sz="0" w:space="0" w:color="auto"/>
          </w:divBdr>
          <w:divsChild>
            <w:div w:id="500583824">
              <w:marLeft w:val="0"/>
              <w:marRight w:val="0"/>
              <w:marTop w:val="0"/>
              <w:marBottom w:val="0"/>
              <w:divBdr>
                <w:top w:val="none" w:sz="0" w:space="0" w:color="auto"/>
                <w:left w:val="none" w:sz="0" w:space="0" w:color="auto"/>
                <w:bottom w:val="none" w:sz="0" w:space="0" w:color="auto"/>
                <w:right w:val="none" w:sz="0" w:space="0" w:color="auto"/>
              </w:divBdr>
              <w:divsChild>
                <w:div w:id="2092309036">
                  <w:marLeft w:val="0"/>
                  <w:marRight w:val="0"/>
                  <w:marTop w:val="0"/>
                  <w:marBottom w:val="0"/>
                  <w:divBdr>
                    <w:top w:val="none" w:sz="0" w:space="0" w:color="auto"/>
                    <w:left w:val="none" w:sz="0" w:space="0" w:color="auto"/>
                    <w:bottom w:val="none" w:sz="0" w:space="0" w:color="auto"/>
                    <w:right w:val="none" w:sz="0" w:space="0" w:color="auto"/>
                  </w:divBdr>
                  <w:divsChild>
                    <w:div w:id="2003392004">
                      <w:marLeft w:val="1"/>
                      <w:marRight w:val="1"/>
                      <w:marTop w:val="0"/>
                      <w:marBottom w:val="0"/>
                      <w:divBdr>
                        <w:top w:val="none" w:sz="0" w:space="0" w:color="auto"/>
                        <w:left w:val="none" w:sz="0" w:space="0" w:color="auto"/>
                        <w:bottom w:val="none" w:sz="0" w:space="0" w:color="auto"/>
                        <w:right w:val="none" w:sz="0" w:space="0" w:color="auto"/>
                      </w:divBdr>
                      <w:divsChild>
                        <w:div w:id="272445997">
                          <w:marLeft w:val="0"/>
                          <w:marRight w:val="0"/>
                          <w:marTop w:val="0"/>
                          <w:marBottom w:val="0"/>
                          <w:divBdr>
                            <w:top w:val="none" w:sz="0" w:space="0" w:color="auto"/>
                            <w:left w:val="none" w:sz="0" w:space="0" w:color="auto"/>
                            <w:bottom w:val="none" w:sz="0" w:space="0" w:color="auto"/>
                            <w:right w:val="none" w:sz="0" w:space="0" w:color="auto"/>
                          </w:divBdr>
                          <w:divsChild>
                            <w:div w:id="1129474443">
                              <w:marLeft w:val="0"/>
                              <w:marRight w:val="0"/>
                              <w:marTop w:val="0"/>
                              <w:marBottom w:val="360"/>
                              <w:divBdr>
                                <w:top w:val="none" w:sz="0" w:space="0" w:color="auto"/>
                                <w:left w:val="none" w:sz="0" w:space="0" w:color="auto"/>
                                <w:bottom w:val="none" w:sz="0" w:space="0" w:color="auto"/>
                                <w:right w:val="none" w:sz="0" w:space="0" w:color="auto"/>
                              </w:divBdr>
                              <w:divsChild>
                                <w:div w:id="273907376">
                                  <w:marLeft w:val="0"/>
                                  <w:marRight w:val="0"/>
                                  <w:marTop w:val="0"/>
                                  <w:marBottom w:val="0"/>
                                  <w:divBdr>
                                    <w:top w:val="none" w:sz="0" w:space="0" w:color="auto"/>
                                    <w:left w:val="none" w:sz="0" w:space="0" w:color="auto"/>
                                    <w:bottom w:val="none" w:sz="0" w:space="0" w:color="auto"/>
                                    <w:right w:val="none" w:sz="0" w:space="0" w:color="auto"/>
                                  </w:divBdr>
                                  <w:divsChild>
                                    <w:div w:id="310183253">
                                      <w:marLeft w:val="0"/>
                                      <w:marRight w:val="0"/>
                                      <w:marTop w:val="0"/>
                                      <w:marBottom w:val="0"/>
                                      <w:divBdr>
                                        <w:top w:val="none" w:sz="0" w:space="0" w:color="auto"/>
                                        <w:left w:val="none" w:sz="0" w:space="0" w:color="auto"/>
                                        <w:bottom w:val="none" w:sz="0" w:space="0" w:color="auto"/>
                                        <w:right w:val="none" w:sz="0" w:space="0" w:color="auto"/>
                                      </w:divBdr>
                                      <w:divsChild>
                                        <w:div w:id="1844855273">
                                          <w:marLeft w:val="0"/>
                                          <w:marRight w:val="0"/>
                                          <w:marTop w:val="0"/>
                                          <w:marBottom w:val="0"/>
                                          <w:divBdr>
                                            <w:top w:val="none" w:sz="0" w:space="0" w:color="auto"/>
                                            <w:left w:val="none" w:sz="0" w:space="0" w:color="auto"/>
                                            <w:bottom w:val="none" w:sz="0" w:space="0" w:color="auto"/>
                                            <w:right w:val="none" w:sz="0" w:space="0" w:color="auto"/>
                                          </w:divBdr>
                                          <w:divsChild>
                                            <w:div w:id="1675759636">
                                              <w:marLeft w:val="0"/>
                                              <w:marRight w:val="0"/>
                                              <w:marTop w:val="0"/>
                                              <w:marBottom w:val="0"/>
                                              <w:divBdr>
                                                <w:top w:val="none" w:sz="0" w:space="0" w:color="auto"/>
                                                <w:left w:val="none" w:sz="0" w:space="0" w:color="auto"/>
                                                <w:bottom w:val="none" w:sz="0" w:space="0" w:color="auto"/>
                                                <w:right w:val="none" w:sz="0" w:space="0" w:color="auto"/>
                                              </w:divBdr>
                                              <w:divsChild>
                                                <w:div w:id="18300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426333">
      <w:bodyDiv w:val="1"/>
      <w:marLeft w:val="0"/>
      <w:marRight w:val="0"/>
      <w:marTop w:val="0"/>
      <w:marBottom w:val="0"/>
      <w:divBdr>
        <w:top w:val="none" w:sz="0" w:space="0" w:color="auto"/>
        <w:left w:val="none" w:sz="0" w:space="0" w:color="auto"/>
        <w:bottom w:val="none" w:sz="0" w:space="0" w:color="auto"/>
        <w:right w:val="none" w:sz="0" w:space="0" w:color="auto"/>
      </w:divBdr>
    </w:div>
    <w:div w:id="1354502876">
      <w:bodyDiv w:val="1"/>
      <w:marLeft w:val="0"/>
      <w:marRight w:val="0"/>
      <w:marTop w:val="0"/>
      <w:marBottom w:val="0"/>
      <w:divBdr>
        <w:top w:val="none" w:sz="0" w:space="0" w:color="auto"/>
        <w:left w:val="none" w:sz="0" w:space="0" w:color="auto"/>
        <w:bottom w:val="none" w:sz="0" w:space="0" w:color="auto"/>
        <w:right w:val="none" w:sz="0" w:space="0" w:color="auto"/>
      </w:divBdr>
      <w:divsChild>
        <w:div w:id="1480883514">
          <w:marLeft w:val="0"/>
          <w:marRight w:val="0"/>
          <w:marTop w:val="0"/>
          <w:marBottom w:val="0"/>
          <w:divBdr>
            <w:top w:val="none" w:sz="0" w:space="0" w:color="auto"/>
            <w:left w:val="none" w:sz="0" w:space="0" w:color="auto"/>
            <w:bottom w:val="none" w:sz="0" w:space="0" w:color="auto"/>
            <w:right w:val="none" w:sz="0" w:space="0" w:color="auto"/>
          </w:divBdr>
          <w:divsChild>
            <w:div w:id="1272518043">
              <w:marLeft w:val="0"/>
              <w:marRight w:val="0"/>
              <w:marTop w:val="0"/>
              <w:marBottom w:val="0"/>
              <w:divBdr>
                <w:top w:val="none" w:sz="0" w:space="0" w:color="auto"/>
                <w:left w:val="none" w:sz="0" w:space="0" w:color="auto"/>
                <w:bottom w:val="none" w:sz="0" w:space="0" w:color="auto"/>
                <w:right w:val="none" w:sz="0" w:space="0" w:color="auto"/>
              </w:divBdr>
              <w:divsChild>
                <w:div w:id="1230654421">
                  <w:marLeft w:val="0"/>
                  <w:marRight w:val="0"/>
                  <w:marTop w:val="0"/>
                  <w:marBottom w:val="0"/>
                  <w:divBdr>
                    <w:top w:val="none" w:sz="0" w:space="0" w:color="auto"/>
                    <w:left w:val="none" w:sz="0" w:space="0" w:color="auto"/>
                    <w:bottom w:val="none" w:sz="0" w:space="0" w:color="auto"/>
                    <w:right w:val="none" w:sz="0" w:space="0" w:color="auto"/>
                  </w:divBdr>
                  <w:divsChild>
                    <w:div w:id="402797500">
                      <w:marLeft w:val="1"/>
                      <w:marRight w:val="1"/>
                      <w:marTop w:val="0"/>
                      <w:marBottom w:val="0"/>
                      <w:divBdr>
                        <w:top w:val="none" w:sz="0" w:space="0" w:color="auto"/>
                        <w:left w:val="none" w:sz="0" w:space="0" w:color="auto"/>
                        <w:bottom w:val="none" w:sz="0" w:space="0" w:color="auto"/>
                        <w:right w:val="none" w:sz="0" w:space="0" w:color="auto"/>
                      </w:divBdr>
                      <w:divsChild>
                        <w:div w:id="692609672">
                          <w:marLeft w:val="0"/>
                          <w:marRight w:val="0"/>
                          <w:marTop w:val="0"/>
                          <w:marBottom w:val="0"/>
                          <w:divBdr>
                            <w:top w:val="none" w:sz="0" w:space="0" w:color="auto"/>
                            <w:left w:val="none" w:sz="0" w:space="0" w:color="auto"/>
                            <w:bottom w:val="none" w:sz="0" w:space="0" w:color="auto"/>
                            <w:right w:val="none" w:sz="0" w:space="0" w:color="auto"/>
                          </w:divBdr>
                          <w:divsChild>
                            <w:div w:id="932782874">
                              <w:marLeft w:val="0"/>
                              <w:marRight w:val="0"/>
                              <w:marTop w:val="0"/>
                              <w:marBottom w:val="360"/>
                              <w:divBdr>
                                <w:top w:val="none" w:sz="0" w:space="0" w:color="auto"/>
                                <w:left w:val="none" w:sz="0" w:space="0" w:color="auto"/>
                                <w:bottom w:val="none" w:sz="0" w:space="0" w:color="auto"/>
                                <w:right w:val="none" w:sz="0" w:space="0" w:color="auto"/>
                              </w:divBdr>
                              <w:divsChild>
                                <w:div w:id="357128016">
                                  <w:marLeft w:val="0"/>
                                  <w:marRight w:val="0"/>
                                  <w:marTop w:val="0"/>
                                  <w:marBottom w:val="0"/>
                                  <w:divBdr>
                                    <w:top w:val="none" w:sz="0" w:space="0" w:color="auto"/>
                                    <w:left w:val="none" w:sz="0" w:space="0" w:color="auto"/>
                                    <w:bottom w:val="none" w:sz="0" w:space="0" w:color="auto"/>
                                    <w:right w:val="none" w:sz="0" w:space="0" w:color="auto"/>
                                  </w:divBdr>
                                  <w:divsChild>
                                    <w:div w:id="1858498678">
                                      <w:marLeft w:val="0"/>
                                      <w:marRight w:val="0"/>
                                      <w:marTop w:val="0"/>
                                      <w:marBottom w:val="0"/>
                                      <w:divBdr>
                                        <w:top w:val="none" w:sz="0" w:space="0" w:color="auto"/>
                                        <w:left w:val="none" w:sz="0" w:space="0" w:color="auto"/>
                                        <w:bottom w:val="none" w:sz="0" w:space="0" w:color="auto"/>
                                        <w:right w:val="none" w:sz="0" w:space="0" w:color="auto"/>
                                      </w:divBdr>
                                      <w:divsChild>
                                        <w:div w:id="1602836502">
                                          <w:marLeft w:val="0"/>
                                          <w:marRight w:val="0"/>
                                          <w:marTop w:val="0"/>
                                          <w:marBottom w:val="0"/>
                                          <w:divBdr>
                                            <w:top w:val="none" w:sz="0" w:space="0" w:color="auto"/>
                                            <w:left w:val="none" w:sz="0" w:space="0" w:color="auto"/>
                                            <w:bottom w:val="none" w:sz="0" w:space="0" w:color="auto"/>
                                            <w:right w:val="none" w:sz="0" w:space="0" w:color="auto"/>
                                          </w:divBdr>
                                          <w:divsChild>
                                            <w:div w:id="1580597380">
                                              <w:marLeft w:val="0"/>
                                              <w:marRight w:val="0"/>
                                              <w:marTop w:val="0"/>
                                              <w:marBottom w:val="0"/>
                                              <w:divBdr>
                                                <w:top w:val="none" w:sz="0" w:space="0" w:color="auto"/>
                                                <w:left w:val="none" w:sz="0" w:space="0" w:color="auto"/>
                                                <w:bottom w:val="none" w:sz="0" w:space="0" w:color="auto"/>
                                                <w:right w:val="none" w:sz="0" w:space="0" w:color="auto"/>
                                              </w:divBdr>
                                              <w:divsChild>
                                                <w:div w:id="118856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321803">
      <w:bodyDiv w:val="1"/>
      <w:marLeft w:val="0"/>
      <w:marRight w:val="0"/>
      <w:marTop w:val="0"/>
      <w:marBottom w:val="0"/>
      <w:divBdr>
        <w:top w:val="none" w:sz="0" w:space="0" w:color="auto"/>
        <w:left w:val="none" w:sz="0" w:space="0" w:color="auto"/>
        <w:bottom w:val="none" w:sz="0" w:space="0" w:color="auto"/>
        <w:right w:val="none" w:sz="0" w:space="0" w:color="auto"/>
      </w:divBdr>
    </w:div>
    <w:div w:id="1411540715">
      <w:bodyDiv w:val="1"/>
      <w:marLeft w:val="0"/>
      <w:marRight w:val="0"/>
      <w:marTop w:val="0"/>
      <w:marBottom w:val="0"/>
      <w:divBdr>
        <w:top w:val="none" w:sz="0" w:space="0" w:color="auto"/>
        <w:left w:val="none" w:sz="0" w:space="0" w:color="auto"/>
        <w:bottom w:val="none" w:sz="0" w:space="0" w:color="auto"/>
        <w:right w:val="none" w:sz="0" w:space="0" w:color="auto"/>
      </w:divBdr>
    </w:div>
    <w:div w:id="1521702702">
      <w:bodyDiv w:val="1"/>
      <w:marLeft w:val="0"/>
      <w:marRight w:val="0"/>
      <w:marTop w:val="0"/>
      <w:marBottom w:val="0"/>
      <w:divBdr>
        <w:top w:val="none" w:sz="0" w:space="0" w:color="auto"/>
        <w:left w:val="none" w:sz="0" w:space="0" w:color="auto"/>
        <w:bottom w:val="none" w:sz="0" w:space="0" w:color="auto"/>
        <w:right w:val="none" w:sz="0" w:space="0" w:color="auto"/>
      </w:divBdr>
    </w:div>
    <w:div w:id="1596748450">
      <w:bodyDiv w:val="1"/>
      <w:marLeft w:val="0"/>
      <w:marRight w:val="0"/>
      <w:marTop w:val="0"/>
      <w:marBottom w:val="0"/>
      <w:divBdr>
        <w:top w:val="none" w:sz="0" w:space="0" w:color="auto"/>
        <w:left w:val="none" w:sz="0" w:space="0" w:color="auto"/>
        <w:bottom w:val="none" w:sz="0" w:space="0" w:color="auto"/>
        <w:right w:val="none" w:sz="0" w:space="0" w:color="auto"/>
      </w:divBdr>
    </w:div>
    <w:div w:id="1602955697">
      <w:bodyDiv w:val="1"/>
      <w:marLeft w:val="0"/>
      <w:marRight w:val="0"/>
      <w:marTop w:val="0"/>
      <w:marBottom w:val="0"/>
      <w:divBdr>
        <w:top w:val="none" w:sz="0" w:space="0" w:color="auto"/>
        <w:left w:val="none" w:sz="0" w:space="0" w:color="auto"/>
        <w:bottom w:val="none" w:sz="0" w:space="0" w:color="auto"/>
        <w:right w:val="none" w:sz="0" w:space="0" w:color="auto"/>
      </w:divBdr>
    </w:div>
    <w:div w:id="1701853146">
      <w:bodyDiv w:val="1"/>
      <w:marLeft w:val="0"/>
      <w:marRight w:val="0"/>
      <w:marTop w:val="0"/>
      <w:marBottom w:val="0"/>
      <w:divBdr>
        <w:top w:val="none" w:sz="0" w:space="0" w:color="auto"/>
        <w:left w:val="none" w:sz="0" w:space="0" w:color="auto"/>
        <w:bottom w:val="none" w:sz="0" w:space="0" w:color="auto"/>
        <w:right w:val="none" w:sz="0" w:space="0" w:color="auto"/>
      </w:divBdr>
    </w:div>
    <w:div w:id="1934897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BG/TXT/?uri=OJ:C:2011:363:TOC" TargetMode="External"/><Relationship Id="rId1" Type="http://schemas.openxmlformats.org/officeDocument/2006/relationships/hyperlink" Target="http://ec.europa.eu/taxation_customs/common/publications/studies/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F825B-0361-48FA-8F80-FFDC8BAD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1874</Words>
  <Characters>10687</Characters>
  <Application>Microsoft Office Word</Application>
  <DocSecurity>0</DocSecurity>
  <Lines>227</Lines>
  <Paragraphs>104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lpstr>
    </vt:vector>
  </TitlesOfParts>
  <Manager/>
  <Company/>
  <LinksUpToDate>false</LinksUpToDate>
  <CharactersWithSpaces>12457</CharactersWithSpaces>
  <SharedDoc>false</SharedDoc>
  <HLinks>
    <vt:vector size="6" baseType="variant">
      <vt:variant>
        <vt:i4>5242891</vt:i4>
      </vt:variant>
      <vt:variant>
        <vt:i4>0</vt:i4>
      </vt:variant>
      <vt:variant>
        <vt:i4>0</vt:i4>
      </vt:variant>
      <vt:variant>
        <vt:i4>5</vt:i4>
      </vt:variant>
      <vt:variant>
        <vt:lpwstr>http://ec.europa.eu/taxation_customs/common/publications/studies/index_en.htm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2020-02-20T13:40:00Z</cp:lastPrinted>
  <dcterms:created xsi:type="dcterms:W3CDTF">2020-04-20T15:28:00Z</dcterms:created>
  <dcterms:modified xsi:type="dcterms:W3CDTF">2020-04-24T08:04:00Z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5.8.22.0</vt:lpwstr>
  </property>
  <property fmtid="{D5CDD505-2E9C-101B-9397-08002B2CF9AE}" pid="4" name="Created using">
    <vt:lpwstr>LW 5.8, Build 20110311</vt:lpwstr>
  </property>
  <property fmtid="{D5CDD505-2E9C-101B-9397-08002B2CF9AE}" pid="5" name="Last edited using">
    <vt:lpwstr>LW 7.0, Build 20190717</vt:lpwstr>
  </property>
  <property fmtid="{D5CDD505-2E9C-101B-9397-08002B2CF9AE}" pid="6" name="_NewReviewCycle">
    <vt:lpwstr/>
  </property>
  <property fmtid="{D5CDD505-2E9C-101B-9397-08002B2CF9AE}" pid="7" name="LWTemplateID">
    <vt:lpwstr>SJ-016</vt:lpwstr>
  </property>
  <property fmtid="{D5CDD505-2E9C-101B-9397-08002B2CF9AE}" pid="8" name="Part">
    <vt:lpwstr>1</vt:lpwstr>
  </property>
  <property fmtid="{D5CDD505-2E9C-101B-9397-08002B2CF9AE}" pid="9" name="Total parts">
    <vt:lpwstr>1</vt:lpwstr>
  </property>
  <property fmtid="{D5CDD505-2E9C-101B-9397-08002B2CF9AE}" pid="10" name="Level of sensitivity">
    <vt:lpwstr>Standard treatment</vt:lpwstr>
  </property>
  <property fmtid="{D5CDD505-2E9C-101B-9397-08002B2CF9AE}" pid="11" name="DQCStatus">
    <vt:lpwstr>Green (DQC version 03)</vt:lpwstr>
  </property>
</Properties>
</file>