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13CFE3-2716-45D2-B1D5-D97121E5710F" style="width:450.5pt;height:35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u w:color="000000"/>
          <w:bdr w:val="nil"/>
        </w:rPr>
        <w:t>•</w:t>
      </w:r>
      <w:r>
        <w:rPr>
          <w:rFonts w:eastAsia="Arial Unicode MS"/>
          <w:noProof/>
          <w:u w:color="000000"/>
          <w:bdr w:val="nil"/>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Autonomous tariff quotas are needed for certain products when, in the Union, production is insufficient to meet the needs of the user industry. Union tariff quotas should be opened at zero or reduced duty rates for appropriate volumes, without disturbing the markets for such products.</w:t>
      </w:r>
    </w:p>
    <w:p>
      <w:pPr>
        <w:pBdr>
          <w:top w:val="nil"/>
          <w:left w:val="nil"/>
          <w:bottom w:val="nil"/>
          <w:right w:val="nil"/>
          <w:between w:val="nil"/>
          <w:bar w:val="nil"/>
        </w:pBdr>
        <w:spacing w:before="0" w:after="240"/>
        <w:rPr>
          <w:noProof/>
        </w:rPr>
      </w:pPr>
      <w:r>
        <w:rPr>
          <w:noProof/>
        </w:rPr>
        <w:t>On 17 December 2013, the Council of the European Union adopted Regulation (EU) No 1388/2013 opening and providing for the management of autonomous tariff quotas of the Union for certain agricultural and industrial products so that the Union demand for the products in question could be met under the most favourable conditions.</w:t>
      </w:r>
    </w:p>
    <w:p>
      <w:pPr>
        <w:pBdr>
          <w:top w:val="nil"/>
          <w:left w:val="nil"/>
          <w:bottom w:val="nil"/>
          <w:right w:val="nil"/>
          <w:between w:val="nil"/>
          <w:bar w:val="nil"/>
        </w:pBdr>
        <w:spacing w:before="0" w:after="240"/>
        <w:rPr>
          <w:noProof/>
        </w:rPr>
      </w:pPr>
      <w:r>
        <w:rPr>
          <w:noProof/>
        </w:rPr>
        <w:t>The Regulation is updated every six months to accommodate the needs of Union industry. The Commission, assisted by the Economic Tariff Questions Group, has reviewed all requests from the Member States for autonomous tariff quotas duties.</w:t>
      </w:r>
    </w:p>
    <w:p>
      <w:pPr>
        <w:pBdr>
          <w:top w:val="nil"/>
          <w:left w:val="nil"/>
          <w:bottom w:val="nil"/>
          <w:right w:val="nil"/>
          <w:between w:val="nil"/>
          <w:bar w:val="nil"/>
        </w:pBdr>
        <w:spacing w:before="0" w:after="240"/>
        <w:rPr>
          <w:noProof/>
        </w:rPr>
      </w:pPr>
      <w:r>
        <w:rPr>
          <w:noProof/>
        </w:rPr>
        <w:t>Following this review, the Commission considers that the opening of autonomous tariff quotas is justified for some new products, currently not listed in the Annex to Council Regulation (EU) No 1388/2013. In relation to some other products the wording of the description needs to be changed, new TARIC codes should be assigned, or an increase of the initial quota volume became necessary, including retroactively. Products for which a tariff quota is no longer in the Union's economic interest should be withdrawn.</w:t>
      </w:r>
    </w:p>
    <w:p>
      <w:pPr>
        <w:pBdr>
          <w:top w:val="nil"/>
          <w:left w:val="nil"/>
          <w:bottom w:val="nil"/>
          <w:right w:val="nil"/>
          <w:between w:val="nil"/>
          <w:bar w:val="nil"/>
        </w:pBdr>
        <w:spacing w:before="0" w:after="240"/>
        <w:rPr>
          <w:rFonts w:eastAsia="Arial Unicode MS"/>
          <w:noProof/>
        </w:rPr>
      </w:pPr>
      <w:r>
        <w:rPr>
          <w:noProof/>
        </w:rPr>
        <w:t>For reasons of clarity it is advisable to publish a consolidated version of the Annex to Council Regulation (EU) No 1388/2013, which will fully replace the previous Annex.</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Union policies on agriculture, trade, enterprise, development, environment, and external relations.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 (for non-exclusive competence)</w:t>
      </w:r>
    </w:p>
    <w:p>
      <w:pPr>
        <w:rPr>
          <w:noProof/>
        </w:rPr>
      </w:pPr>
      <w:r>
        <w:rPr>
          <w:noProof/>
        </w:rPr>
        <w:t>The proposal falls under the Union's exclusive competence. The subsidiarity principle therefore does not apply.</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Proportionality</w:t>
      </w:r>
    </w:p>
    <w:p>
      <w:pPr>
        <w:pBdr>
          <w:top w:val="nil"/>
          <w:left w:val="nil"/>
          <w:bottom w:val="nil"/>
          <w:right w:val="nil"/>
          <w:between w:val="nil"/>
          <w:bar w:val="nil"/>
        </w:pBdr>
        <w:spacing w:before="0" w:after="240"/>
        <w:rPr>
          <w:rFonts w:eastAsia="Arial Unicode MS"/>
          <w:noProof/>
        </w:rPr>
      </w:pPr>
      <w:r>
        <w:rPr>
          <w:noProof/>
          <w:szCs w:val="24"/>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
          <w:noProof/>
        </w:rPr>
        <w:footnoteReference w:id="2"/>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rPr>
      </w:pPr>
      <w:r>
        <w:rPr>
          <w:noProof/>
        </w:rPr>
        <w:t xml:space="preserve">By virtue of Article 31 of the TFEU, "Common Customs Tariff duties shall be fixed by the Council on a proposal from the Commission". Therefore, a Council regulation is the appropriate instrument.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autonomous tariff quotas scheme was part of an evaluation study carried out in 2013 on autonomous tariff suspensions</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This is because the two measures are similar, except that tariff quotas limit import volumes. The evaluation concluded that the core rationale for the scheme remains valid. The cost savings for Union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rPr>
          <w:noProof/>
        </w:rPr>
      </w:pPr>
      <w:r>
        <w:rPr>
          <w:noProof/>
        </w:rPr>
        <w:t>The Economic Tariff Questions Group, which consists of delegations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noProof/>
        </w:rPr>
        <w:t>All listed tariff quotas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Impact assessment</w:t>
      </w:r>
    </w:p>
    <w:p>
      <w:pPr>
        <w:rPr>
          <w:noProof/>
        </w:rPr>
      </w:pPr>
      <w:r>
        <w:rPr>
          <w:noProof/>
        </w:rPr>
        <w:t>The proposed amendment is of a purely technical nature and concerns only the coverage of tariff quotas listed in the Annex to Regulation (EU) No 1388/2013. Therefore, no impact assessment was carried out for this proposal.</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t>4.</w:t>
      </w:r>
      <w:r>
        <w:tab/>
      </w:r>
      <w:r>
        <w:rPr>
          <w:noProof/>
        </w:rPr>
        <w:t>BUDGETARY IMPLICATIONS</w:t>
      </w:r>
    </w:p>
    <w:p>
      <w:pPr>
        <w:rPr>
          <w:noProof/>
        </w:rPr>
      </w:pPr>
      <w:r>
        <w:rPr>
          <w:noProof/>
        </w:rPr>
        <w:t>This proposal has no financial impact on expenditure, but has a financial impact on revenue. Uncollected customs duties total approximately EUR </w:t>
      </w:r>
      <w:r>
        <w:rPr>
          <w:noProof/>
          <w:szCs w:val="24"/>
        </w:rPr>
        <w:t xml:space="preserve">1,4 </w:t>
      </w:r>
      <w:r>
        <w:rPr>
          <w:noProof/>
        </w:rPr>
        <w:t>million per year. The effect on the traditional own resources of the budget is EUR </w:t>
      </w:r>
      <w:r>
        <w:rPr>
          <w:noProof/>
          <w:szCs w:val="24"/>
        </w:rPr>
        <w:t xml:space="preserve">1,1 </w:t>
      </w:r>
      <w:r>
        <w:rPr>
          <w:noProof/>
        </w:rPr>
        <w:t>million per year (i.e. 80 % of the total). The legislative financial statement sets out the budgetary implications of the proposal in greater detail.</w:t>
      </w:r>
    </w:p>
    <w:p>
      <w:pPr>
        <w:rPr>
          <w:noProof/>
          <w:szCs w:val="24"/>
        </w:rPr>
      </w:pPr>
      <w:r>
        <w:rPr>
          <w:noProof/>
        </w:rPr>
        <w:t>The loss of revenue in traditional own resources shall be compensated by Member States’ Gross National Income (GNI) based on resource contributions</w:t>
      </w:r>
      <w:r>
        <w:rPr>
          <w:iCs/>
          <w:noProof/>
          <w:szCs w:val="24"/>
        </w:rPr>
        <w:t>.</w:t>
      </w:r>
    </w:p>
    <w:p>
      <w:pPr>
        <w:pStyle w:val="ManualHeading1"/>
        <w:rPr>
          <w:noProof/>
        </w:rPr>
      </w:pPr>
      <w:r>
        <w:t>5.</w:t>
      </w:r>
      <w:r>
        <w:tab/>
      </w:r>
      <w:r>
        <w:rPr>
          <w:noProof/>
        </w:rPr>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the Member States’ customs administrations.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2020/0063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1388/2013 opening and providing for the management of autonomous tariff quotas of the Union for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i/>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produced in insufficient quantities in the Union and thereby avoid any disturbances on the market for those products, autonomous tariff quotas were opened by Council Regulation (EU) No 1388/2013</w:t>
      </w:r>
      <w:r>
        <w:rPr>
          <w:rStyle w:val="FootnoteReference"/>
          <w:noProof/>
        </w:rPr>
        <w:footnoteReference w:id="4"/>
      </w:r>
      <w:r>
        <w:rPr>
          <w:noProof/>
        </w:rPr>
        <w:t>. Within those tariff quotas, products can be imported into the Union at reduced or zero duty rates.</w:t>
      </w:r>
    </w:p>
    <w:p>
      <w:pPr>
        <w:pStyle w:val="ManualConsidrant"/>
        <w:rPr>
          <w:noProof/>
        </w:rPr>
      </w:pPr>
      <w:r>
        <w:t>(2)</w:t>
      </w:r>
      <w:r>
        <w:tab/>
      </w:r>
      <w:r>
        <w:rPr>
          <w:noProof/>
        </w:rPr>
        <w:t xml:space="preserve">As it is in the Union's interest to ensure an adequate supply of certain industrial products and having regard to the fact that identical, equivalent or substitute products are not produced in sufficient quantities within the Union, </w:t>
      </w:r>
      <w:r>
        <w:rPr>
          <w:noProof/>
          <w:lang w:bidi="en-US"/>
        </w:rPr>
        <w:t xml:space="preserve">it is necessary to open new tariff quotas with order numbers 09.2580, 09.2581 and </w:t>
      </w:r>
      <w:r>
        <w:rPr>
          <w:noProof/>
        </w:rPr>
        <w:t xml:space="preserve">09.2583 </w:t>
      </w:r>
      <w:r>
        <w:rPr>
          <w:noProof/>
          <w:lang w:bidi="en-US"/>
        </w:rPr>
        <w:t xml:space="preserve">at zero duty rates for appropriate quantities of those products. </w:t>
      </w:r>
    </w:p>
    <w:p>
      <w:pPr>
        <w:pStyle w:val="ManualConsidrant"/>
        <w:rPr>
          <w:noProof/>
          <w:sz w:val="22"/>
          <w:lang w:val="en-US"/>
        </w:rPr>
      </w:pPr>
      <w:r>
        <w:t>(3)</w:t>
      </w:r>
      <w:r>
        <w:tab/>
      </w:r>
      <w:r>
        <w:rPr>
          <w:noProof/>
          <w:lang w:bidi="en-US"/>
        </w:rPr>
        <w:t>As is it in the Union’s interest to ensure an adequate supply of certain industrial products the volumes of tariff quotas with order numbers 09.2634 and 09.2668 should be increased.</w:t>
      </w:r>
    </w:p>
    <w:p>
      <w:pPr>
        <w:pStyle w:val="ManualConsidrant"/>
        <w:rPr>
          <w:noProof/>
        </w:rPr>
      </w:pPr>
      <w:r>
        <w:t>(4)</w:t>
      </w:r>
      <w:r>
        <w:tab/>
      </w:r>
      <w:r>
        <w:rPr>
          <w:noProof/>
          <w:lang w:bidi="en-US"/>
        </w:rPr>
        <w:t>As the scope of the tariff quota with order number 09.2652 has become inadequate to fulfil the needs of the economic operators in the Union, the description of the product covered by this quota should be amended.</w:t>
      </w:r>
    </w:p>
    <w:p>
      <w:pPr>
        <w:pStyle w:val="ManualConsidrant"/>
        <w:rPr>
          <w:noProof/>
        </w:rPr>
      </w:pPr>
      <w:r>
        <w:t>(5)</w:t>
      </w:r>
      <w:r>
        <w:tab/>
      </w:r>
      <w:r>
        <w:rPr>
          <w:noProof/>
        </w:rPr>
        <w:t>For the tariff quota with order number 09.2588, the quota period should be extended until 31 December 2020 as the tariff quota was opened for a period of six months only and it is still in the Union's interest to maintain it.</w:t>
      </w:r>
    </w:p>
    <w:p>
      <w:pPr>
        <w:pStyle w:val="ManualConsidrant"/>
        <w:rPr>
          <w:noProof/>
        </w:rPr>
      </w:pPr>
      <w:r>
        <w:t>(6)</w:t>
      </w:r>
      <w:r>
        <w:tab/>
      </w:r>
      <w:r>
        <w:rPr>
          <w:noProof/>
        </w:rPr>
        <w:t>The substances Dimethyl Sulphate (CAS RN 77-78-1) with a purity of 99 % or more, 2-Methylaniline (CAS RN 95-53-4)</w:t>
      </w:r>
      <w:r>
        <w:rPr>
          <w:rFonts w:ascii="Arial" w:hAnsi="Arial" w:cs="Arial"/>
          <w:noProof/>
          <w:color w:val="000000"/>
          <w:sz w:val="18"/>
          <w:szCs w:val="18"/>
          <w:shd w:val="clear" w:color="auto" w:fill="FFFFFF"/>
        </w:rPr>
        <w:t xml:space="preserve"> </w:t>
      </w:r>
      <w:r>
        <w:rPr>
          <w:noProof/>
        </w:rPr>
        <w:t xml:space="preserve">with a purity by weight of 99 % or more and 4,4’-Methanediyldianiline (CAS RN 101-77-9) with a purity by weight of 97% or more, are included on the candidate list referred to in Article 59 of Regulation (EC) No </w:t>
      </w:r>
      <w:r>
        <w:rPr>
          <w:noProof/>
        </w:rPr>
        <w:lastRenderedPageBreak/>
        <w:t>1907/2006 of the European Parliament and of the Council</w:t>
      </w:r>
      <w:r>
        <w:rPr>
          <w:rStyle w:val="FootnoteReference"/>
          <w:noProof/>
          <w:szCs w:val="24"/>
        </w:rPr>
        <w:footnoteReference w:id="5"/>
      </w:r>
      <w:r>
        <w:rPr>
          <w:noProof/>
        </w:rPr>
        <w:t xml:space="preserve"> and the substance with CAS RN 101-77-9 is included in Annex XIV to that Regulation. For that reason, existing tariff quotas for such products will be progressively closed and any newly opened tariff quotas will apply for a limited period. Therefore, the tariff quotas with order numbers 09.2648 and 09.2730 should apply until 31 December 2020 with a conventional rate of duty at 2%. In addition, tariff quotas with order number 09.2590 will be closed and a new tariff quota with order number 09.2582 should be opened until 31 December 2020 with a conventional rate of duty at 2%.  </w:t>
      </w:r>
    </w:p>
    <w:p>
      <w:pPr>
        <w:pStyle w:val="ManualConsidrant"/>
        <w:rPr>
          <w:noProof/>
        </w:rPr>
      </w:pPr>
      <w:r>
        <w:t>(7)</w:t>
      </w:r>
      <w:r>
        <w:tab/>
      </w:r>
      <w:r>
        <w:rPr>
          <w:noProof/>
          <w:lang w:bidi="en-US"/>
        </w:rPr>
        <w:t xml:space="preserve">Taking into account the amendments to be made and for the sake of clarity, the Annex to Regulation </w:t>
      </w:r>
      <w:r>
        <w:rPr>
          <w:noProof/>
          <w:lang w:bidi="fr-FR"/>
        </w:rPr>
        <w:t xml:space="preserve">(EU) </w:t>
      </w:r>
      <w:r>
        <w:rPr>
          <w:noProof/>
          <w:lang w:bidi="en-US"/>
        </w:rPr>
        <w:t xml:space="preserve">No </w:t>
      </w:r>
      <w:r>
        <w:rPr>
          <w:noProof/>
          <w:lang w:bidi="bg-BG"/>
        </w:rPr>
        <w:t xml:space="preserve">1388/2013 </w:t>
      </w:r>
      <w:r>
        <w:rPr>
          <w:noProof/>
          <w:lang w:bidi="en-US"/>
        </w:rPr>
        <w:t>should be replaced.</w:t>
      </w:r>
    </w:p>
    <w:p>
      <w:pPr>
        <w:pStyle w:val="ManualConsidrant"/>
        <w:rPr>
          <w:noProof/>
        </w:rPr>
      </w:pPr>
      <w:r>
        <w:t>(8)</w:t>
      </w:r>
      <w:r>
        <w:tab/>
      </w:r>
      <w:r>
        <w:rPr>
          <w:noProof/>
        </w:rPr>
        <w:t>In order to avoid any interruption of the application of the tariff quota scheme and to comply with the guidelines set out in the Communication from the Commission concerning autonomous tariff suspensions and quotas</w:t>
      </w:r>
      <w:r>
        <w:rPr>
          <w:rStyle w:val="FootnoteReference"/>
          <w:noProof/>
        </w:rPr>
        <w:footnoteReference w:id="6"/>
      </w:r>
      <w:r>
        <w:rPr>
          <w:noProof/>
        </w:rPr>
        <w:t>, the changes provided for in this Regulation regarding the tariff quotas for the products concerned should apply from 1 </w:t>
      </w:r>
      <w:r>
        <w:rPr>
          <w:noProof/>
          <w:lang w:val="en-IE"/>
        </w:rPr>
        <w:t xml:space="preserve">July </w:t>
      </w:r>
      <w:r>
        <w:rPr>
          <w:noProof/>
        </w:rPr>
        <w:t>2020. This Regulation should therefore enter into force as a matter of urgency,</w:t>
      </w:r>
    </w:p>
    <w:p>
      <w:pPr>
        <w:pStyle w:val="Formuledadoption"/>
        <w:rPr>
          <w:noProof/>
        </w:rPr>
      </w:pPr>
      <w:r>
        <w:rPr>
          <w:noProof/>
        </w:rPr>
        <w:t>HAS ADOPTED THIS REGULATION:</w:t>
      </w:r>
    </w:p>
    <w:p>
      <w:pPr>
        <w:pStyle w:val="Titrearticle"/>
        <w:rPr>
          <w:i w:val="0"/>
          <w:noProof/>
        </w:rPr>
      </w:pPr>
      <w:r>
        <w:rPr>
          <w:i w:val="0"/>
          <w:noProof/>
        </w:rPr>
        <w:t>Article 1</w:t>
      </w:r>
    </w:p>
    <w:p>
      <w:pPr>
        <w:rPr>
          <w:rFonts w:cs="EUAlbertina"/>
          <w:noProof/>
        </w:rPr>
      </w:pPr>
      <w:r>
        <w:rPr>
          <w:rFonts w:cs="EUAlbertina"/>
          <w:noProof/>
        </w:rPr>
        <w:t>Regulation (EU) No 1388/2013 is amended as follows:</w:t>
      </w:r>
    </w:p>
    <w:p>
      <w:pPr>
        <w:rPr>
          <w:rFonts w:cs="EUAlbertina"/>
          <w:noProof/>
        </w:rPr>
      </w:pPr>
      <w:r>
        <w:rPr>
          <w:rFonts w:cs="EUAlbertina"/>
          <w:noProof/>
        </w:rPr>
        <w:tab/>
      </w:r>
    </w:p>
    <w:p>
      <w:pPr>
        <w:rPr>
          <w:noProof/>
          <w:sz w:val="22"/>
        </w:rPr>
      </w:pPr>
      <w:r>
        <w:rPr>
          <w:noProof/>
        </w:rPr>
        <w:t>The Annex to Regulation (EU) No 1388/2013 is replaced by the text set out in the Annex to this Regulation.</w:t>
      </w:r>
    </w:p>
    <w:p>
      <w:pPr>
        <w:pStyle w:val="Titrearticle"/>
        <w:rPr>
          <w:i w:val="0"/>
          <w:noProof/>
        </w:rPr>
      </w:pPr>
      <w:r>
        <w:rPr>
          <w:i w:val="0"/>
          <w:noProof/>
        </w:rPr>
        <w:t>Article 2</w:t>
      </w:r>
    </w:p>
    <w:p>
      <w:pPr>
        <w:rPr>
          <w:iCs/>
          <w:noProof/>
        </w:rPr>
      </w:pPr>
      <w:r>
        <w:rPr>
          <w:noProof/>
        </w:rPr>
        <w:t xml:space="preserve">This Regulation shall enter into force on the day following that of its publication in the </w:t>
      </w:r>
      <w:r>
        <w:rPr>
          <w:i/>
          <w:iCs/>
          <w:noProof/>
        </w:rPr>
        <w:t>Official Journal of the European Union</w:t>
      </w:r>
      <w:r>
        <w:rPr>
          <w:iCs/>
          <w:noProof/>
        </w:rPr>
        <w:t>.</w:t>
      </w:r>
    </w:p>
    <w:p>
      <w:pPr>
        <w:rPr>
          <w:noProof/>
        </w:rPr>
      </w:pPr>
    </w:p>
    <w:p>
      <w:pPr>
        <w:rPr>
          <w:noProof/>
        </w:rPr>
      </w:pPr>
      <w:r>
        <w:rPr>
          <w:noProof/>
        </w:rPr>
        <w:t xml:space="preserve">Article 1 shall apply from 1 July 2020.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keepNext/>
        <w:spacing w:before="360"/>
        <w:outlineLvl w:val="0"/>
        <w:rPr>
          <w:b/>
          <w:smallCaps/>
          <w:noProof/>
        </w:rPr>
      </w:pPr>
      <w:r>
        <w:rPr>
          <w:b/>
          <w:smallCaps/>
          <w:noProof/>
        </w:rPr>
        <w:t>1.</w:t>
      </w:r>
      <w:r>
        <w:rPr>
          <w:b/>
          <w:smallCaps/>
          <w:noProof/>
        </w:rPr>
        <w:tab/>
        <w:t>NAME OF THE PROPOSAL:</w:t>
      </w:r>
    </w:p>
    <w:p>
      <w:pPr>
        <w:rPr>
          <w:noProof/>
        </w:rPr>
      </w:pPr>
      <w:r>
        <w:rPr>
          <w:noProof/>
        </w:rPr>
        <w:t>Council Regulation amending Regulation (EU) No 1388/2013 opening and providing for the management of autonomous tariff quotas of the Union for certain agricultural and industrial products</w:t>
      </w:r>
    </w:p>
    <w:p>
      <w:pPr>
        <w:keepNext/>
        <w:spacing w:before="360"/>
        <w:outlineLvl w:val="0"/>
        <w:rPr>
          <w:b/>
          <w:smallCaps/>
          <w:noProof/>
        </w:rPr>
      </w:pPr>
      <w:r>
        <w:rPr>
          <w:b/>
          <w:smallCaps/>
          <w:noProof/>
        </w:rPr>
        <w:t>2.</w:t>
      </w:r>
      <w:r>
        <w:rPr>
          <w:b/>
          <w:smallCaps/>
          <w:noProof/>
        </w:rPr>
        <w:tab/>
        <w:t>BUDGET LINES</w:t>
      </w:r>
    </w:p>
    <w:p>
      <w:pPr>
        <w:spacing w:before="100" w:beforeAutospacing="1" w:after="100" w:afterAutospacing="1"/>
        <w:jc w:val="left"/>
        <w:rPr>
          <w:rFonts w:eastAsia="Times New Roman"/>
          <w:noProof/>
          <w:szCs w:val="24"/>
        </w:rPr>
      </w:pPr>
      <w:r>
        <w:rPr>
          <w:rFonts w:eastAsia="Times New Roman"/>
          <w:noProof/>
          <w:szCs w:val="24"/>
        </w:rPr>
        <w:t>Chapter and Article:</w:t>
      </w:r>
      <w:r>
        <w:rPr>
          <w:rFonts w:eastAsia="Times New Roman"/>
          <w:noProof/>
          <w:szCs w:val="24"/>
        </w:rPr>
        <w:br/>
        <w:t>Chapter 12 and Article 120 – Customs duties and other duties referred to in point (a) of Article 2(1) of Decision 2014/335/EU, Euratom;</w:t>
      </w:r>
    </w:p>
    <w:p>
      <w:pPr>
        <w:spacing w:before="100" w:beforeAutospacing="1" w:after="100" w:afterAutospacing="1"/>
        <w:jc w:val="left"/>
        <w:rPr>
          <w:rFonts w:eastAsia="Times New Roman"/>
          <w:noProof/>
          <w:szCs w:val="24"/>
        </w:rPr>
      </w:pPr>
      <w:r>
        <w:rPr>
          <w:rFonts w:eastAsia="Times New Roman"/>
          <w:noProof/>
          <w:szCs w:val="24"/>
        </w:rPr>
        <w:t>Amount budgeted for the year 2020 (22 156 900 000 EUR)</w:t>
      </w:r>
    </w:p>
    <w:p>
      <w:pPr>
        <w:keepNext/>
        <w:spacing w:before="360"/>
        <w:outlineLvl w:val="0"/>
        <w:rPr>
          <w:b/>
          <w:smallCaps/>
          <w:noProof/>
        </w:rPr>
      </w:pPr>
      <w:r>
        <w:rPr>
          <w:b/>
          <w:smallCaps/>
          <w:noProof/>
        </w:rPr>
        <w:t>3.</w:t>
      </w:r>
      <w:r>
        <w:rPr>
          <w:b/>
          <w:smallCaps/>
          <w:noProof/>
        </w:rPr>
        <w:tab/>
        <w:t>FINANCIAL IMPACT</w:t>
      </w:r>
    </w:p>
    <w:p>
      <w:pPr>
        <w:rPr>
          <w:noProof/>
        </w:rPr>
      </w:pPr>
      <w:r>
        <w:rPr>
          <w:noProof/>
        </w:rPr>
        <w:sym w:font="Wingdings" w:char="F0A8"/>
      </w:r>
      <w:r>
        <w:rPr>
          <w:noProof/>
        </w:rPr>
        <w:tab/>
        <w:t>Proposal has no financial implications</w:t>
      </w:r>
    </w:p>
    <w:p>
      <w:pPr>
        <w:rPr>
          <w:noProof/>
        </w:rPr>
      </w:pPr>
      <w:r>
        <w:rPr>
          <w:noProof/>
        </w:rPr>
        <w:t>X</w:t>
      </w:r>
      <w:r>
        <w:rPr>
          <w:noProof/>
        </w:rPr>
        <w:tab/>
        <w:t>Proposal has no financial impact on expenditure but has a financial impact on revenue. The effect is as follows:</w:t>
      </w:r>
    </w:p>
    <w:p>
      <w:pPr>
        <w:jc w:val="right"/>
        <w:rPr>
          <w:noProof/>
          <w:sz w:val="18"/>
        </w:rPr>
      </w:pPr>
      <w:r>
        <w:rPr>
          <w:noProof/>
        </w:rPr>
        <w:t>(EUR million to one decimal place)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Budget line</w:t>
            </w:r>
          </w:p>
        </w:tc>
        <w:tc>
          <w:tcPr>
            <w:tcW w:w="2879" w:type="dxa"/>
          </w:tcPr>
          <w:p>
            <w:pPr>
              <w:jc w:val="center"/>
              <w:rPr>
                <w:noProof/>
              </w:rPr>
            </w:pPr>
            <w:r>
              <w:rPr>
                <w:noProof/>
              </w:rPr>
              <w:t>Revenue</w:t>
            </w:r>
            <w:r>
              <w:rPr>
                <w:rStyle w:val="FootnoteReference"/>
                <w:noProof/>
              </w:rPr>
              <w:footnoteReference w:id="7"/>
            </w:r>
          </w:p>
        </w:tc>
        <w:tc>
          <w:tcPr>
            <w:tcW w:w="2040" w:type="dxa"/>
          </w:tcPr>
          <w:p>
            <w:pPr>
              <w:jc w:val="center"/>
              <w:rPr>
                <w:noProof/>
              </w:rPr>
            </w:pPr>
            <w:r>
              <w:rPr>
                <w:noProof/>
              </w:rPr>
              <w:t>6-month period, starting dd/mm/yyyy</w:t>
            </w:r>
          </w:p>
        </w:tc>
        <w:tc>
          <w:tcPr>
            <w:tcW w:w="2160" w:type="dxa"/>
          </w:tcPr>
          <w:p>
            <w:pPr>
              <w:jc w:val="center"/>
              <w:rPr>
                <w:noProof/>
              </w:rPr>
            </w:pPr>
            <w:r>
              <w:rPr>
                <w:noProof/>
              </w:rPr>
              <w:t>[Year: Second half of 2020]</w:t>
            </w:r>
          </w:p>
        </w:tc>
      </w:tr>
      <w:tr>
        <w:tc>
          <w:tcPr>
            <w:tcW w:w="1321" w:type="dxa"/>
          </w:tcPr>
          <w:p>
            <w:pPr>
              <w:rPr>
                <w:noProof/>
              </w:rPr>
            </w:pPr>
            <w:r>
              <w:rPr>
                <w:noProof/>
              </w:rPr>
              <w:t>Article 120</w:t>
            </w:r>
          </w:p>
        </w:tc>
        <w:tc>
          <w:tcPr>
            <w:tcW w:w="2879" w:type="dxa"/>
          </w:tcPr>
          <w:p>
            <w:pPr>
              <w:jc w:val="center"/>
              <w:rPr>
                <w:i/>
                <w:noProof/>
              </w:rPr>
            </w:pPr>
            <w:r>
              <w:rPr>
                <w:i/>
                <w:noProof/>
              </w:rPr>
              <w:t>Impact on own resources</w:t>
            </w:r>
          </w:p>
        </w:tc>
        <w:tc>
          <w:tcPr>
            <w:tcW w:w="2040" w:type="dxa"/>
          </w:tcPr>
          <w:p>
            <w:pPr>
              <w:jc w:val="center"/>
              <w:rPr>
                <w:noProof/>
              </w:rPr>
            </w:pPr>
            <w:r>
              <w:rPr>
                <w:noProof/>
              </w:rPr>
              <w:t>01/07/2020</w:t>
            </w:r>
          </w:p>
        </w:tc>
        <w:tc>
          <w:tcPr>
            <w:tcW w:w="2160" w:type="dxa"/>
          </w:tcPr>
          <w:p>
            <w:pPr>
              <w:pStyle w:val="ListParagraph"/>
              <w:rPr>
                <w:noProof/>
              </w:rPr>
            </w:pPr>
            <w:r>
              <w:rPr>
                <w:noProof/>
              </w:rPr>
              <w:t>-0,5</w:t>
            </w:r>
          </w:p>
        </w:tc>
      </w:tr>
    </w:tbl>
    <w:p>
      <w:pPr>
        <w:spacing w:before="100" w:beforeAutospacing="1" w:after="100" w:afterAutospacing="1"/>
        <w:rPr>
          <w:noProof/>
          <w:szCs w:val="24"/>
        </w:rPr>
      </w:pPr>
      <w:r>
        <w:rPr>
          <w:noProof/>
          <w:szCs w:val="24"/>
        </w:rPr>
        <w:t xml:space="preserve">The annex contains three new products. The uncollected duties corresponding to these tariff quotas, calculated on the basis of requesting Member State projections for 2020, amount to EUR 1 554 954 </w:t>
      </w:r>
      <w:r>
        <w:rPr>
          <w:noProof/>
        </w:rPr>
        <w:t>per year</w:t>
      </w:r>
      <w:r>
        <w:rPr>
          <w:noProof/>
          <w:szCs w:val="24"/>
        </w:rPr>
        <w:t>.</w:t>
      </w:r>
    </w:p>
    <w:p>
      <w:pPr>
        <w:pStyle w:val="Text1"/>
        <w:ind w:left="0"/>
        <w:rPr>
          <w:noProof/>
        </w:rPr>
      </w:pPr>
      <w:r>
        <w:rPr>
          <w:noProof/>
        </w:rPr>
        <w:t xml:space="preserve">The zero duty rate for three existing quotas was increased to 2%. This represents an increase of EUR 182 864 per year in the collection of duties, as estimated on the basis of 2019 statistics.  </w:t>
      </w:r>
    </w:p>
    <w:p>
      <w:pPr>
        <w:spacing w:before="100" w:beforeAutospacing="1" w:after="100" w:afterAutospacing="1"/>
        <w:rPr>
          <w:noProof/>
          <w:szCs w:val="24"/>
        </w:rPr>
      </w:pPr>
      <w:r>
        <w:rPr>
          <w:noProof/>
          <w:szCs w:val="24"/>
        </w:rPr>
        <w:t xml:space="preserve">On the basis of the above, the impact on the loss of revenue for the EU budget resulting from this Regulation is estimated at EUR 1 554 954 – 182 864 = EUR 1 372 090 (gross amount, including collection costs) x 0,8 = EUR 1 097 672  </w:t>
      </w:r>
      <w:r>
        <w:rPr>
          <w:noProof/>
        </w:rPr>
        <w:t>per year</w:t>
      </w:r>
      <w:r>
        <w:rPr>
          <w:noProof/>
          <w:szCs w:val="24"/>
        </w:rPr>
        <w:t xml:space="preserve"> (net amount).</w:t>
      </w:r>
    </w:p>
    <w:p>
      <w:pPr>
        <w:rPr>
          <w:noProof/>
        </w:rPr>
      </w:pPr>
      <w:r>
        <w:rPr>
          <w:noProof/>
        </w:rPr>
        <w:t>4.</w:t>
      </w:r>
      <w:r>
        <w:rPr>
          <w:noProof/>
        </w:rPr>
        <w:tab/>
      </w:r>
      <w:r>
        <w:rPr>
          <w:b/>
          <w:noProof/>
        </w:rPr>
        <w:t>ANTI-FRAUD MEASURES</w:t>
      </w:r>
    </w:p>
    <w:p>
      <w:pPr>
        <w:rPr>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Malgun Gothic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C 363, 13.12.2011, p. 6.</w:t>
      </w:r>
    </w:p>
  </w:footnote>
  <w:footnote w:id="3">
    <w:p>
      <w:pPr>
        <w:pStyle w:val="FootnoteText"/>
        <w:rPr>
          <w:lang w:val="pl-PL"/>
        </w:rPr>
      </w:pPr>
      <w:r>
        <w:rPr>
          <w:rStyle w:val="FootnoteReference"/>
        </w:rPr>
        <w:footnoteRef/>
      </w:r>
      <w:r>
        <w:rPr>
          <w:lang w:val="pl-PL"/>
        </w:rPr>
        <w:tab/>
      </w:r>
      <w:hyperlink r:id="rId1" w:history="1">
        <w:r>
          <w:rPr>
            <w:rStyle w:val="Hyperlink"/>
            <w:lang w:val="pl-PL"/>
          </w:rPr>
          <w:t>http://ec.europa.eu/taxation_customs/common/publications/studies/index_en.htm</w:t>
        </w:r>
      </w:hyperlink>
    </w:p>
  </w:footnote>
  <w:footnote w:id="4">
    <w:p>
      <w:pPr>
        <w:pStyle w:val="FootnoteText"/>
      </w:pPr>
      <w:r>
        <w:rPr>
          <w:rStyle w:val="FootnoteReference"/>
        </w:rPr>
        <w:footnoteRef/>
      </w:r>
      <w:r>
        <w:tab/>
        <w:t xml:space="preserve">Council Regulation (EU) No 1388/2013 of 17 December 2013 opening and providing for the management of autonomous tariff quotas of the Union for certain agricultural and industrial products, and repealing Regulation (EU) No 7/2010 (OJ L 354, 28.12.2013, p. 319). </w:t>
      </w:r>
    </w:p>
    <w:p>
      <w:pPr>
        <w:pStyle w:val="FootnoteText"/>
      </w:pPr>
    </w:p>
    <w:p>
      <w:pPr>
        <w:pStyle w:val="FootnoteText"/>
      </w:pPr>
    </w:p>
  </w:footnote>
  <w:footnote w:id="5">
    <w:p>
      <w:pPr>
        <w:pStyle w:val="FootnoteText"/>
        <w:rPr>
          <w:lang w:val="en-US"/>
        </w:rPr>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6">
    <w:p>
      <w:pPr>
        <w:pStyle w:val="FootnoteText"/>
        <w:rPr>
          <w:lang w:val="en-US"/>
        </w:rPr>
      </w:pPr>
      <w:r>
        <w:rPr>
          <w:rStyle w:val="FootnoteReference"/>
        </w:rPr>
        <w:footnoteRef/>
      </w:r>
      <w:r>
        <w:tab/>
      </w:r>
      <w:hyperlink r:id="rId2" w:history="1">
        <w:r>
          <w:rPr>
            <w:rStyle w:val="Hyperlink"/>
            <w:color w:val="auto"/>
            <w:sz w:val="19"/>
            <w:u w:val="none"/>
            <w:shd w:val="clear" w:color="auto" w:fill="FFFFFF"/>
          </w:rPr>
          <w:t>OJ C 363, 13.12.2011, p. 6</w:t>
        </w:r>
      </w:hyperlink>
      <w:r>
        <w:rPr>
          <w:sz w:val="19"/>
          <w:szCs w:val="19"/>
          <w:shd w:val="clear" w:color="auto" w:fill="FFFFFF"/>
        </w:rPr>
        <w:t>.</w:t>
      </w:r>
    </w:p>
  </w:footnote>
  <w:footnote w:id="7">
    <w:p>
      <w:pPr>
        <w:pStyle w:val="FootnoteText"/>
        <w:ind w:left="0" w:firstLine="0"/>
      </w:pPr>
      <w:r>
        <w:rPr>
          <w:rStyle w:val="FootnoteReference"/>
        </w:rPr>
        <w:footnoteRef/>
      </w:r>
      <w:r>
        <w:tab/>
        <w:t xml:space="preserve">In case of traditional own resources (customs duties, sugar levies), the amounts indicated must be net </w:t>
      </w:r>
      <w:r>
        <w:tab/>
        <w:t>amounts (i.e. gross amounts after deduction of 20% collection costs).</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7372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24 10:02: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5213CFE3-2716-45D2-B1D5-D97121E5710F"/>
    <w:docVar w:name="LW_COVERPAGE_TYPE" w:val="1"/>
    <w:docVar w:name="LW_CROSSREFERENCE" w:val="&lt;UNUSED&gt;"/>
    <w:docVar w:name="LW_DocType" w:val="COM"/>
    <w:docVar w:name="LW_EMISSION" w:val="24.4.2020"/>
    <w:docVar w:name="LW_EMISSION_ISODATE" w:val="2020-04-24"/>
    <w:docVar w:name="LW_EMISSION_LOCATION" w:val="BRX"/>
    <w:docVar w:name="LW_EMISSION_PREFIX" w:val="Brussel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3"/>
    <w:docVar w:name="LW_REF.II.NEW.CP_YEAR" w:val="2020"/>
    <w:docVar w:name="LW_REF.INST.NEW" w:val="COM"/>
    <w:docVar w:name="LW_REF.INST.NEW_ADOPTED" w:val="final"/>
    <w:docVar w:name="LW_REF.INST.NEW_TEXT" w:val="(2020)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8/2013 opening and providing for the management of autonomous tariff quotas of the Union for certain agricultural and industrial products"/>
    <w:docVar w:name="LW_TITRE.OBJ.CP_PREVIOUS" w:val="&lt;UNUSED&gt;"/>
    <w:docVar w:name="LW_TYPE.DOC.CP" w:val="COUNCIL REGULATION"/>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lang w:val="en-US"/>
    </w:rPr>
  </w:style>
  <w:style w:type="character" w:customStyle="1" w:styleId="CommentTextChar">
    <w:name w:val="Comment Text Char"/>
    <w:basedOn w:val="DefaultParagraphFont"/>
    <w:link w:val="CommentText"/>
    <w:semiHidden/>
    <w:rPr>
      <w:rFonts w:ascii="Times New Roman" w:hAnsi="Times New Roman" w:cs="Times New Roman"/>
      <w:sz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6589-3F1B-4E16-9F9B-66FB7216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1864</Words>
  <Characters>9958</Characters>
  <Application>Microsoft Office Word</Application>
  <DocSecurity>0</DocSecurity>
  <Lines>199</Lines>
  <Paragraphs>105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11717</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2020-03-31T12:03:00Z</dcterms:created>
  <dcterms:modified xsi:type="dcterms:W3CDTF">2020-04-24T08:02:00Z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 Build 20190717</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