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2736982-D43B-4BD9-90D7-F70C29685266" style="width:451pt;height:42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 xml:space="preserve">Regulation (EU) 2017/352 </w:t>
      </w:r>
      <w:r>
        <w:rPr>
          <w:noProof/>
          <w:color w:val="000000" w:themeColor="text1"/>
          <w:szCs w:val="24"/>
        </w:rPr>
        <w:t>of the European Parliament and of the Council of 15 February 2017 establishes a framework for the provision of port services and common rules on the financial transparency of ports</w:t>
      </w:r>
      <w:r>
        <w:rPr>
          <w:rStyle w:val="FootnoteReference"/>
          <w:noProof/>
        </w:rPr>
        <w:footnoteReference w:id="1"/>
      </w:r>
      <w:r>
        <w:rPr>
          <w:noProof/>
        </w:rPr>
        <w:t xml:space="preserve"> (hereinafter ‘Regulation (EU) 2017/352’). Its Article 13 requires Member States to ensure that a port infrastructure charge is levied.</w:t>
      </w:r>
    </w:p>
    <w:p>
      <w:pPr>
        <w:pBdr>
          <w:top w:val="nil"/>
          <w:left w:val="nil"/>
          <w:bottom w:val="nil"/>
          <w:right w:val="nil"/>
          <w:between w:val="nil"/>
          <w:bar w:val="nil"/>
        </w:pBdr>
        <w:spacing w:before="0" w:after="240"/>
        <w:rPr>
          <w:noProof/>
        </w:rPr>
      </w:pPr>
      <w:r>
        <w:rPr>
          <w:noProof/>
        </w:rPr>
        <w:t xml:space="preserve">The outbreak of COVID-19 is having a serious impact on maritime transport and on the financial sustainability of operators. </w:t>
      </w:r>
      <w:r>
        <w:rPr>
          <w:noProof/>
          <w:color w:val="000000" w:themeColor="text1"/>
          <w:szCs w:val="24"/>
        </w:rPr>
        <w:t>A suspension or deferral of the payment of port infrastructure charges may therefore help ship operators in such exceptional circumstances.</w:t>
      </w:r>
    </w:p>
    <w:p>
      <w:pPr>
        <w:rPr>
          <w:noProof/>
          <w:color w:val="000000" w:themeColor="text1"/>
          <w:szCs w:val="24"/>
        </w:rPr>
      </w:pPr>
      <w:r>
        <w:rPr>
          <w:noProof/>
          <w:color w:val="000000" w:themeColor="text1"/>
          <w:szCs w:val="24"/>
        </w:rPr>
        <w:t xml:space="preserve">Article 13(1) of Regulation (EU) 2017/352 requires Member States to ensure that a port infrastructure charge is levied. </w:t>
      </w:r>
    </w:p>
    <w:p>
      <w:pPr>
        <w:rPr>
          <w:noProof/>
          <w:color w:val="000000" w:themeColor="text1"/>
          <w:szCs w:val="24"/>
        </w:rPr>
      </w:pPr>
      <w:r>
        <w:rPr>
          <w:noProof/>
          <w:color w:val="000000" w:themeColor="text1"/>
          <w:szCs w:val="24"/>
        </w:rPr>
        <w:t>Port infrastructure charges are defined in Article 2(9) of Regulation (EU) 2017/352 as ”</w:t>
      </w:r>
      <w:r>
        <w:rPr>
          <w:i/>
          <w:noProof/>
          <w:color w:val="000000" w:themeColor="text1"/>
          <w:szCs w:val="24"/>
        </w:rPr>
        <w:t>a charge levied, for the direct or indirect benefit of the managing body of the port or of the competent authority, for the use of infrastructure, facilities and services, including the waterway access to the port concerned, as well as access to the processing of passengers and cargo, but excluding land lease rates and charges having equivalent effect</w:t>
      </w:r>
      <w:r>
        <w:rPr>
          <w:noProof/>
          <w:color w:val="000000" w:themeColor="text1"/>
          <w:szCs w:val="24"/>
        </w:rPr>
        <w:t>”.</w:t>
      </w:r>
    </w:p>
    <w:p>
      <w:pPr>
        <w:rPr>
          <w:noProof/>
          <w:color w:val="000000" w:themeColor="text1"/>
          <w:szCs w:val="24"/>
        </w:rPr>
      </w:pPr>
      <w:r>
        <w:rPr>
          <w:noProof/>
          <w:color w:val="000000" w:themeColor="text1"/>
          <w:szCs w:val="24"/>
        </w:rPr>
        <w:t>Port infrastructure charges are levied by a managing body of a port or by a competent authority on the port users, i.e. ship owners or operators.</w:t>
      </w:r>
    </w:p>
    <w:p>
      <w:pPr>
        <w:rPr>
          <w:noProof/>
          <w:color w:val="000000" w:themeColor="text1"/>
          <w:szCs w:val="24"/>
        </w:rPr>
      </w:pPr>
      <w:r>
        <w:rPr>
          <w:noProof/>
          <w:color w:val="000000" w:themeColor="text1"/>
          <w:szCs w:val="24"/>
        </w:rPr>
        <w:t>Article 13(4) of Regulation (EU) 2017/352 provides that port infrastructure charges may vary, inter alia, for certain categories of users, but does not allow a managing body of a port or a competent authority to waive, suspend, reduce or defer the payment of port infrastructure charges for all port users.</w:t>
      </w:r>
    </w:p>
    <w:p>
      <w:pPr>
        <w:rPr>
          <w:noProof/>
          <w:color w:val="000000" w:themeColor="text1"/>
          <w:szCs w:val="24"/>
        </w:rPr>
      </w:pPr>
      <w:r>
        <w:rPr>
          <w:noProof/>
          <w:color w:val="000000" w:themeColor="text1"/>
          <w:szCs w:val="24"/>
        </w:rPr>
        <w:t>The new transitional provision will provide Member States with the option to allow managing bodies of a port or competent authorities to decide whether to:</w:t>
      </w:r>
    </w:p>
    <w:p>
      <w:pPr>
        <w:pStyle w:val="Tiret0"/>
        <w:numPr>
          <w:ilvl w:val="0"/>
          <w:numId w:val="10"/>
        </w:numPr>
        <w:rPr>
          <w:noProof/>
        </w:rPr>
      </w:pPr>
      <w:r>
        <w:rPr>
          <w:noProof/>
        </w:rPr>
        <w:t xml:space="preserve">waive (condone, i.e. not require the payment at all); or </w:t>
      </w:r>
    </w:p>
    <w:p>
      <w:pPr>
        <w:pStyle w:val="Tiret0"/>
        <w:rPr>
          <w:noProof/>
        </w:rPr>
      </w:pPr>
      <w:r>
        <w:rPr>
          <w:noProof/>
        </w:rPr>
        <w:t xml:space="preserve">suspend (freeze or put on hold the payment for a certain time period); or </w:t>
      </w:r>
    </w:p>
    <w:p>
      <w:pPr>
        <w:pStyle w:val="Tiret0"/>
        <w:rPr>
          <w:noProof/>
        </w:rPr>
      </w:pPr>
      <w:r>
        <w:rPr>
          <w:noProof/>
        </w:rPr>
        <w:t>reduce (decrease the payment); or</w:t>
      </w:r>
    </w:p>
    <w:p>
      <w:pPr>
        <w:pStyle w:val="Tiret0"/>
        <w:rPr>
          <w:noProof/>
        </w:rPr>
      </w:pPr>
      <w:r>
        <w:rPr>
          <w:noProof/>
        </w:rPr>
        <w:t>defer (require the payment at a later point in time) the payment of the port infrastructure charges.</w:t>
      </w:r>
    </w:p>
    <w:p>
      <w:pPr>
        <w:rPr>
          <w:noProof/>
          <w:color w:val="000000" w:themeColor="text1"/>
          <w:szCs w:val="24"/>
        </w:rPr>
      </w:pPr>
      <w:r>
        <w:rPr>
          <w:noProof/>
          <w:color w:val="000000" w:themeColor="text1"/>
          <w:szCs w:val="24"/>
        </w:rPr>
        <w:t>As the duration of the impact on maritime transport of the outbreak of COVID-19 is uncertain and in order to allow for sufficient flexibility for the sector, the new transitional provision will apply to port infrastructure charges due for the period between 1 March 2020 and 31 December 2020.</w:t>
      </w:r>
    </w:p>
    <w:p>
      <w:pPr>
        <w:rPr>
          <w:noProof/>
          <w:color w:val="000000" w:themeColor="text1"/>
          <w:szCs w:val="24"/>
        </w:rPr>
      </w:pPr>
      <w:r>
        <w:rPr>
          <w:noProof/>
          <w:color w:val="000000" w:themeColor="text1"/>
          <w:szCs w:val="24"/>
        </w:rPr>
        <w:t>Article 13(5) of Regulation (EU) 2017/352 provides: “The managing body of the port, or the competent authority, shall ensure that users of the port infrastructure are informed of any changes in the nature or level of the port infrastructure charges at least two months in advance of the date on which those changes come into effect.”</w:t>
      </w:r>
    </w:p>
    <w:p>
      <w:pPr>
        <w:rPr>
          <w:noProof/>
          <w:color w:val="000000" w:themeColor="text1"/>
          <w:szCs w:val="24"/>
        </w:rPr>
      </w:pPr>
      <w:r>
        <w:rPr>
          <w:noProof/>
          <w:color w:val="000000" w:themeColor="text1"/>
          <w:szCs w:val="24"/>
        </w:rPr>
        <w:lastRenderedPageBreak/>
        <w:t>The requirement of a notice of “at least two months” should be dispensed with in exceptional circumstances like the current coronavirus crisis. Therefore, the proposed amendment grants managing bodies of a port or competent authorities the possibility to deviate from the “at least two months” notice in exceptional circumstances and to give a shorter notice, which period is to be determined by the managing body of the port or the competent authority.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Regulation (EU) 2017/352 does not foresee the possibility for ports to waive, suspend, reduce or defer port infrastructure charges in exceptional circumstances, such as the consequences of the COVID-19 outbreak. The Regulation should therefore be amended so as to allow for the possibility to mitigate the effects of the current crisis and to provide legal certainty to Member States, their competent authorities and individuals.</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 xml:space="preserve">The effective functioning of maritime transport depends on the economic performance of the ship operators. The negative economic consequences of the current COVID-19 outbreak for ship operators will have an impact on their financial health of those operators and entail serious negative effects for the transport system and the economy as a whole. The amendment of Regulation 2017/352 to allow Member States to </w:t>
      </w:r>
      <w:r>
        <w:rPr>
          <w:noProof/>
          <w:color w:val="000000" w:themeColor="text1"/>
          <w:szCs w:val="24"/>
        </w:rPr>
        <w:t>provide managing bodies of a port or competent authorities with the flexibility to decide to waive, suspend, reduce or defer the payment of port infrastructure charges can help address this concern</w:t>
      </w:r>
      <w:r>
        <w:rPr>
          <w:noProof/>
        </w:rPr>
        <w:t>. The Member States will have to ensure compliance of the adopted measures with the State aid rules.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 xml:space="preserve">This initiative is based on Article 100(2) of the Treaty on the Functioning of the European Union. That provision permits the adoption of all appropriate provisions for sea transport and already served as a basis for the adoption of Regulation (EU) 2017/352.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The objectives of the proposal cannot be sufficiently achieved by the Member States for the following reasons. Regulation (EU) 2017/352 does not allow Member States, for reasons such as those in question here, to permit ports to waive, suspend, reduce or defer port infrastructure charges. This objective may be achieved only through an amendment of the Regulation.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The proposal is limited in time and does not go beyond what is necessary to achieve the objective of alleviating the impact of the current COVID-19 outbreak for the purposes of the operation of Regulation (EU) 2017/352. The proposed measure is therefore proportionate.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Since the legal act amends Regulation (EU) 2017/352, the appropriate legal instrument is a Regulation.</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This is an urgent measure which is triggered by the sudden and unforeseeable outbreak of COVID-19. For this reason, the measure is not relevant for the regulatory fitness programme and no ex-post evaluation has been carried out.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 xml:space="preserve">Given the urgency of the matter formal stakeholder consultation has not been carried out. However, some Member States authorities and ports have already announced measures similar to those foreseen.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As explained, the proper collection of expertise was not possible due to the urgency of the situation.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 xml:space="preserve">Given the urgency of the situation, an impact assessment could not be carried out.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The measure does not include any specific monitoring or reporting arrangements. However, the Member States will be requested to report on the use of the measures in view of the preparation of a report to the European Parliament and the Council on the functioning and effect of the Regulation by 24 March 2023 as required by Article 20 of Regulation (EU) 2017/352.</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color w:val="000000" w:themeColor="text1"/>
          <w:szCs w:val="24"/>
        </w:rPr>
      </w:pPr>
      <w:r>
        <w:rPr>
          <w:noProof/>
          <w:color w:val="000000" w:themeColor="text1"/>
          <w:szCs w:val="24"/>
        </w:rPr>
        <w:t>A new paragraph 3 is added in Article 21 of Regulation (EU) 2017/352. The new provision provides for a possibility for Member States, notwithstanding the provisions of Article 13(1), to allow managing bodies of a port or competent authorities to waive, suspend, reduce or defer the payment of port infrastructure charges due for the period between 1 March 2020 and 31 December 2020. The waiver, suspension, reduction or deferral of the port infrastructure charge must be granted in a transparent, objective and non-discriminatory way to all port users subject to port infrastructure charges. The new provision</w:t>
      </w:r>
      <w:r>
        <w:rPr>
          <w:noProof/>
        </w:rPr>
        <w:t xml:space="preserve"> also </w:t>
      </w:r>
      <w:r>
        <w:rPr>
          <w:noProof/>
          <w:color w:val="000000" w:themeColor="text1"/>
          <w:szCs w:val="24"/>
        </w:rPr>
        <w:t>grants managing bodies of a port or competent authorities the possibility to deviate from the “at least two months” notice laid down in Article 13(5) of Regulation (EU) 2017/352.</w:t>
      </w:r>
    </w:p>
    <w:p>
      <w:pPr>
        <w:rPr>
          <w:noProof/>
          <w:lang w:val="en-US"/>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2020/0067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 xml:space="preserve">amending Regulation (EU) 2017/352, so as to enable managing bodies or competent authorities to provide flexibility in respect of the levying of port infrastructure charges in the context of the COVID-19 outbreak </w:t>
      </w:r>
      <w:r>
        <w:rPr>
          <w:noProof/>
        </w:rPr>
        <w:br/>
      </w:r>
    </w:p>
    <w:p>
      <w:pPr>
        <w:pStyle w:val="IntrtEEE"/>
        <w:rPr>
          <w:noProof/>
        </w:rPr>
      </w:pPr>
      <w:r>
        <w:rPr>
          <w:noProof/>
        </w:rPr>
        <w:t>(Text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100(2)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
      </w:r>
      <w:r>
        <w:rPr>
          <w:noProof/>
        </w:rPr>
        <w:t>,</w:t>
      </w:r>
    </w:p>
    <w:p>
      <w:pPr>
        <w:rPr>
          <w:noProof/>
        </w:rPr>
      </w:pPr>
      <w:r>
        <w:rPr>
          <w:noProof/>
        </w:rPr>
        <w:t>Having regard to the opinion of the Committee of the Regions</w:t>
      </w:r>
      <w:r>
        <w:rPr>
          <w:rStyle w:val="FootnoteReference"/>
          <w:noProof/>
        </w:rPr>
        <w:footnoteReference w:id="3"/>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sz w:val="16"/>
        </w:rPr>
      </w:pPr>
      <w:r>
        <w:t>(1)</w:t>
      </w:r>
      <w:r>
        <w:tab/>
      </w:r>
      <w:r>
        <w:rPr>
          <w:noProof/>
        </w:rPr>
        <w:t xml:space="preserve">The outbreak of COVID-19 is having a serious impact on maritime transport. The consequent serious impact on maritime transport and port infrastructure has been pervasive since 1 March 2020, and is likely to continue to have an impact throughout 2020. A waiver, suspension, reduction or deferral of the payment of port infrastructure charges could therefore contribute to sustaining the financial operation of ship operators in these exceptional circumstances. </w:t>
      </w:r>
    </w:p>
    <w:p>
      <w:pPr>
        <w:pStyle w:val="ManualConsidrant"/>
        <w:rPr>
          <w:noProof/>
        </w:rPr>
      </w:pPr>
      <w:r>
        <w:t>(2)</w:t>
      </w:r>
      <w:r>
        <w:tab/>
      </w:r>
      <w:r>
        <w:rPr>
          <w:noProof/>
        </w:rPr>
        <w:t>Article 13(1) of Regulation (EU) 2017/352 of the European Parliament and of the Council</w:t>
      </w:r>
      <w:r>
        <w:rPr>
          <w:rStyle w:val="FootnoteReference"/>
          <w:noProof/>
        </w:rPr>
        <w:footnoteReference w:id="4"/>
      </w:r>
      <w:r>
        <w:rPr>
          <w:noProof/>
        </w:rPr>
        <w:t xml:space="preserve"> requires Member States to ensure that port infrastructure charges are levied by a managing body of a port or by a competent authority. There is no exception from this obligation to levy charges, not even in exceptional circumstances. </w:t>
      </w:r>
    </w:p>
    <w:p>
      <w:pPr>
        <w:pStyle w:val="ManualConsidrant"/>
        <w:rPr>
          <w:noProof/>
          <w:u w:val="single"/>
        </w:rPr>
      </w:pPr>
      <w:r>
        <w:t>(3)</w:t>
      </w:r>
      <w:r>
        <w:tab/>
      </w:r>
      <w:r>
        <w:rPr>
          <w:noProof/>
        </w:rPr>
        <w:t>In view of the consequences of the COVID-19 outbreak, it is appropriate to allow Member States to provide the managing bodies of a port or the competent authorities with the possibility to waive, suspend, reduce or defer the payment of port infrastructure charges due for the period from 1 March 2020 to 31 December 2020. The waiver, suspension, reduction or deferral of the port infrastructure charges should be granted in a transparent, objective and non-discriminatory way to all port users subject to port infrastructure charges.</w:t>
      </w:r>
    </w:p>
    <w:p>
      <w:pPr>
        <w:pStyle w:val="ManualConsidrant"/>
        <w:rPr>
          <w:noProof/>
        </w:rPr>
      </w:pPr>
      <w:r>
        <w:lastRenderedPageBreak/>
        <w:t>(4)</w:t>
      </w:r>
      <w:r>
        <w:tab/>
      </w:r>
      <w:r>
        <w:rPr>
          <w:noProof/>
        </w:rPr>
        <w:t>In view of the urgency, it is also appropriate to grant the managing bodies of a port or the competent authorities the possibility to derogate from the obligation provided for in Article 13(5) of Regulation (EU) 2017/352, to inform the users of the port infrastructure of any changes in the nature or level of the port infrastructure charges at least two months before these changes come into effect.</w:t>
      </w:r>
    </w:p>
    <w:p>
      <w:pPr>
        <w:pStyle w:val="ManualConsidrant"/>
        <w:rPr>
          <w:noProof/>
        </w:rPr>
      </w:pPr>
      <w:r>
        <w:t>(5)</w:t>
      </w:r>
      <w:r>
        <w:tab/>
      </w:r>
      <w:r>
        <w:rPr>
          <w:noProof/>
        </w:rPr>
        <w:t>Since the objective of this Regulation requires the adoption of an amendment of Regulation (EU) 2017/352, in view of the urgency created by the outbreak of COVID-19, the Union may adopt measures, in accordance with the principle of subsidiarity as set out in Article 5 of the Treaty on European Union. In accordance with the principle of proportionality, as set out in that Article, this Regulation does not go beyond what is necessary to achieve that objective.</w:t>
      </w:r>
    </w:p>
    <w:p>
      <w:pPr>
        <w:pStyle w:val="ManualConsidrant"/>
        <w:rPr>
          <w:noProof/>
        </w:rPr>
      </w:pPr>
      <w:r>
        <w:t>(6)</w:t>
      </w:r>
      <w:r>
        <w:tab/>
      </w:r>
      <w:r>
        <w:rPr>
          <w:noProof/>
        </w:rPr>
        <w:t>In view of the urgency due to the exceptional circumstances caused by the COVID-19 outbreak justifying the proposed measures, and more particularly the need to adopt such measures quickly in the interest of sustaining the financial operation of ship operators, it is appropriate to provide for an exception to the eight-week period referred to in Article 4 of Protocol No 1 on the role of national Parliaments in the Union, annexed to the Treaty on European Union, to the Treaty on the Functioning of the European Union and the Treaty establishing the European Atomic Energy Community.</w:t>
      </w:r>
    </w:p>
    <w:p>
      <w:pPr>
        <w:pStyle w:val="ManualConsidrant"/>
        <w:rPr>
          <w:noProof/>
        </w:rPr>
      </w:pPr>
      <w:r>
        <w:t>(7)</w:t>
      </w:r>
      <w:r>
        <w:tab/>
      </w:r>
      <w:r>
        <w:rPr>
          <w:noProof/>
        </w:rPr>
        <w:t>The unforeseeable and sudden outbreak of COVID-19 and the relevant legislative procedures required for adoption of relevant measures, made it impossible to adopt such measures in time. For that reason, the provisions of this Regulation should also cover the charges due for the period before its entry into force. Given the nature of these provisions, such an approach should not result in violation of the legitimate expectations of the persons concerned.</w:t>
      </w:r>
    </w:p>
    <w:p>
      <w:pPr>
        <w:pStyle w:val="ManualConsidrant"/>
        <w:rPr>
          <w:noProof/>
        </w:rPr>
      </w:pPr>
      <w:r>
        <w:t>(8)</w:t>
      </w:r>
      <w:r>
        <w:tab/>
      </w:r>
      <w:r>
        <w:rPr>
          <w:noProof/>
        </w:rPr>
        <w:t>This Regulation should enter into force as a matter of urgency on the date following that of its publication in the Official Journal of the European Union,</w:t>
      </w: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 xml:space="preserve">In Article 21 of Regulation (EU) 2017/352, the following paragraph 3 is added: </w:t>
      </w:r>
    </w:p>
    <w:p>
      <w:pPr>
        <w:rPr>
          <w:noProof/>
        </w:rPr>
      </w:pPr>
      <w:r>
        <w:rPr>
          <w:noProof/>
        </w:rPr>
        <w:t xml:space="preserve">“3. By way of derogation from Article 13(1) Member States may allow the managing body of the port or the competent authority not to levy or to suspend or to reduce the port infrastructure charge or to defer a payment of the port infrastructure charge due for the period from 1 March 2020 to 31 December 2020. The waiver, suspension, reduction or deferral of the port infrastructure charge shall be granted in a transparent, objective and non-discriminatory way to all port users subject to port infrastructure charges. </w:t>
      </w:r>
    </w:p>
    <w:p>
      <w:pPr>
        <w:rPr>
          <w:noProof/>
        </w:rPr>
      </w:pPr>
      <w:r>
        <w:rPr>
          <w:noProof/>
        </w:rPr>
        <w:t>The managing body of the port or the competent authority shall ensure that port users and the representatives or associations of port users are informed accordingly. The time limit of two months referred to in Article 13(5) shall not apply.”</w:t>
      </w:r>
    </w:p>
    <w:p>
      <w:pPr>
        <w:pStyle w:val="Titrearticle"/>
        <w:rPr>
          <w:noProof/>
        </w:rPr>
      </w:pPr>
      <w:r>
        <w:rPr>
          <w:noProof/>
        </w:rPr>
        <w:t>Article 2</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pStyle w:val="Applicationdirecte"/>
        <w:rPr>
          <w:noProof/>
        </w:rPr>
      </w:pPr>
      <w:r>
        <w:rPr>
          <w:noProof/>
        </w:rPr>
        <w:lastRenderedPageBreak/>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 xml:space="preserve">Regulation (EU) 2017/352 of the European Parliament and the </w:t>
      </w:r>
      <w:r>
        <w:rPr>
          <w:lang w:val="en-US"/>
        </w:rPr>
        <w:t>Council Regulation (EEC) of 15 February establishing a framework for the provision of port services and common rules on the financial transparency of ports, OJ L 57, 3.3.2017, p. 1</w:t>
      </w:r>
    </w:p>
  </w:footnote>
  <w:footnote w:id="2">
    <w:p>
      <w:pPr>
        <w:pStyle w:val="FootnoteText"/>
      </w:pPr>
      <w:r>
        <w:rPr>
          <w:rStyle w:val="FootnoteReference"/>
        </w:rPr>
        <w:footnoteRef/>
      </w:r>
      <w:r>
        <w:tab/>
        <w:t>OJ C , , p. .</w:t>
      </w:r>
    </w:p>
  </w:footnote>
  <w:footnote w:id="3">
    <w:p>
      <w:pPr>
        <w:pStyle w:val="FootnoteText"/>
      </w:pPr>
      <w:r>
        <w:rPr>
          <w:rStyle w:val="FootnoteReference"/>
        </w:rPr>
        <w:footnoteRef/>
      </w:r>
      <w:r>
        <w:tab/>
        <w:t>OJ C , , p. .</w:t>
      </w:r>
    </w:p>
  </w:footnote>
  <w:footnote w:id="4">
    <w:p>
      <w:pPr>
        <w:pStyle w:val="FootnoteText"/>
      </w:pPr>
      <w:r>
        <w:rPr>
          <w:rStyle w:val="FootnoteReference"/>
        </w:rPr>
        <w:footnoteRef/>
      </w:r>
      <w:r>
        <w:tab/>
        <w:t xml:space="preserve">Regulation (EU) 2017/352 of the European Parliament and the </w:t>
      </w:r>
      <w:r>
        <w:rPr>
          <w:lang w:val="en-US"/>
        </w:rPr>
        <w:t>Council of 15 February 2017 establishing a framework for the provision of port services and common rules on the financial transparency of ports (OJ L 57, 3.3.2017,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CF03C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1885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0AD6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E6BA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DECA7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24896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EA6F4C"/>
    <w:lvl w:ilvl="0">
      <w:start w:val="1"/>
      <w:numFmt w:val="decimal"/>
      <w:pStyle w:val="ListNumber"/>
      <w:lvlText w:val="%1."/>
      <w:lvlJc w:val="left"/>
      <w:pPr>
        <w:tabs>
          <w:tab w:val="num" w:pos="360"/>
        </w:tabs>
        <w:ind w:left="360" w:hanging="360"/>
      </w:pPr>
    </w:lvl>
  </w:abstractNum>
  <w:abstractNum w:abstractNumId="7">
    <w:nsid w:val="FFFFFF89"/>
    <w:multiLevelType w:val="singleLevel"/>
    <w:tmpl w:val="F46EDD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066FA0"/>
    <w:multiLevelType w:val="hybridMultilevel"/>
    <w:tmpl w:val="2D74393C"/>
    <w:lvl w:ilvl="0" w:tplc="FB6846CA">
      <w:start w:val="1"/>
      <w:numFmt w:val="decimal"/>
      <w:pStyle w:val="ListPoi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num>
  <w:num w:numId="11">
    <w:abstractNumId w:val="22"/>
    <w:lvlOverride w:ilvl="0">
      <w:startOverride w:val="1"/>
    </w:lvlOverride>
  </w:num>
  <w:num w:numId="12">
    <w:abstractNumId w:val="18"/>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1"/>
  </w:num>
  <w:num w:numId="29">
    <w:abstractNumId w:val="11"/>
  </w:num>
  <w:num w:numId="30">
    <w:abstractNumId w:val="13"/>
  </w:num>
  <w:num w:numId="31">
    <w:abstractNumId w:val="9"/>
  </w:num>
  <w:num w:numId="32">
    <w:abstractNumId w:val="20"/>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28 12:36: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E2736982-D43B-4BD9-90D7-F70C29685266"/>
    <w:docVar w:name="LW_COVERPAGE_TYPE" w:val="1"/>
    <w:docVar w:name="LW_CROSSREFERENCE" w:val="&lt;UNUSED&gt;"/>
    <w:docVar w:name="LW_DocType" w:val="COM"/>
    <w:docVar w:name="LW_EMISSION" w:val="29.4.2020"/>
    <w:docVar w:name="LW_EMISSION_ISODATE" w:val="2020-04-2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67"/>
    <w:docVar w:name="LW_REF.II.NEW.CP_YEAR" w:val="2020"/>
    <w:docVar w:name="LW_REF.INST.NEW" w:val="COM"/>
    <w:docVar w:name="LW_REF.INST.NEW_ADOPTED" w:val="final"/>
    <w:docVar w:name="LW_REF.INST.NEW_TEXT" w:val="(2020) 1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2017/352, so as to enable managing bodies or competent authorities to provide flexibility in respect of the levying of port infrastructure charges in the context of the COVID-19 outbreak _x000b_"/>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customStyle="1" w:styleId="sti-art">
    <w:name w:val="sti-art"/>
    <w:basedOn w:val="Normal"/>
    <w:pPr>
      <w:spacing w:before="100" w:beforeAutospacing="1" w:after="100" w:afterAutospacing="1"/>
      <w:jc w:val="left"/>
    </w:pPr>
    <w:rPr>
      <w:szCs w:val="24"/>
      <w:lang w:eastAsia="en-GB"/>
    </w:rPr>
  </w:style>
  <w:style w:type="character" w:customStyle="1" w:styleId="italic">
    <w:name w:val="italic"/>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0"/>
      <w:ind w:left="720"/>
      <w:jc w:val="left"/>
    </w:pPr>
    <w:rPr>
      <w:szCs w:val="24"/>
      <w:lang w:val="fr-BE" w:eastAsia="fr-BE"/>
    </w:rPr>
  </w:style>
  <w:style w:type="paragraph" w:customStyle="1" w:styleId="ti-art">
    <w:name w:val="ti-art"/>
    <w:basedOn w:val="Normal"/>
    <w:pPr>
      <w:spacing w:before="100" w:beforeAutospacing="1" w:after="100" w:afterAutospacing="1"/>
      <w:jc w:val="left"/>
    </w:pPr>
    <w:rPr>
      <w:szCs w:val="24"/>
      <w:lang w:val="fr-BE" w:eastAsia="fr-BE"/>
    </w:rPr>
  </w:style>
  <w:style w:type="paragraph" w:customStyle="1" w:styleId="Normal2">
    <w:name w:val="Normal2"/>
    <w:basedOn w:val="Normal"/>
    <w:pPr>
      <w:spacing w:before="100" w:beforeAutospacing="1" w:after="100" w:afterAutospacing="1"/>
      <w:jc w:val="left"/>
    </w:pPr>
    <w:rPr>
      <w:szCs w:val="24"/>
      <w:lang w:val="fr-BE" w:eastAsia="fr-BE"/>
    </w:rPr>
  </w:style>
  <w:style w:type="character" w:customStyle="1" w:styleId="highlight">
    <w:name w:val="highlight"/>
    <w:basedOn w:val="DefaultParagraphFont"/>
  </w:style>
  <w:style w:type="paragraph" w:customStyle="1" w:styleId="ListPoin">
    <w:name w:val="List Poin"/>
    <w:basedOn w:val="ListParagraph"/>
    <w:pPr>
      <w:numPr>
        <w:numId w:val="9"/>
      </w:numPr>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customStyle="1" w:styleId="sti-art">
    <w:name w:val="sti-art"/>
    <w:basedOn w:val="Normal"/>
    <w:pPr>
      <w:spacing w:before="100" w:beforeAutospacing="1" w:after="100" w:afterAutospacing="1"/>
      <w:jc w:val="left"/>
    </w:pPr>
    <w:rPr>
      <w:szCs w:val="24"/>
      <w:lang w:eastAsia="en-GB"/>
    </w:rPr>
  </w:style>
  <w:style w:type="character" w:customStyle="1" w:styleId="italic">
    <w:name w:val="italic"/>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0"/>
      <w:ind w:left="720"/>
      <w:jc w:val="left"/>
    </w:pPr>
    <w:rPr>
      <w:szCs w:val="24"/>
      <w:lang w:val="fr-BE" w:eastAsia="fr-BE"/>
    </w:rPr>
  </w:style>
  <w:style w:type="paragraph" w:customStyle="1" w:styleId="ti-art">
    <w:name w:val="ti-art"/>
    <w:basedOn w:val="Normal"/>
    <w:pPr>
      <w:spacing w:before="100" w:beforeAutospacing="1" w:after="100" w:afterAutospacing="1"/>
      <w:jc w:val="left"/>
    </w:pPr>
    <w:rPr>
      <w:szCs w:val="24"/>
      <w:lang w:val="fr-BE" w:eastAsia="fr-BE"/>
    </w:rPr>
  </w:style>
  <w:style w:type="paragraph" w:customStyle="1" w:styleId="Normal2">
    <w:name w:val="Normal2"/>
    <w:basedOn w:val="Normal"/>
    <w:pPr>
      <w:spacing w:before="100" w:beforeAutospacing="1" w:after="100" w:afterAutospacing="1"/>
      <w:jc w:val="left"/>
    </w:pPr>
    <w:rPr>
      <w:szCs w:val="24"/>
      <w:lang w:val="fr-BE" w:eastAsia="fr-BE"/>
    </w:rPr>
  </w:style>
  <w:style w:type="character" w:customStyle="1" w:styleId="highlight">
    <w:name w:val="highlight"/>
    <w:basedOn w:val="DefaultParagraphFont"/>
  </w:style>
  <w:style w:type="paragraph" w:customStyle="1" w:styleId="ListPoin">
    <w:name w:val="List Poin"/>
    <w:basedOn w:val="ListParagraph"/>
    <w:pPr>
      <w:numPr>
        <w:numId w:val="9"/>
      </w:numPr>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261B522-FBF9-4600-898F-7C290BC6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2107</Words>
  <Characters>11234</Characters>
  <Application>Microsoft Office Word</Application>
  <DocSecurity>0</DocSecurity>
  <Lines>197</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2020-04-27T13:55:00Z</dcterms:created>
  <dcterms:modified xsi:type="dcterms:W3CDTF">2020-04-28T10:36:00Z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