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652461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581786A3-7383-40C1-B29B-5B44B1C833B9" style="width:450.75pt;height:458.25pt">
            <v:imagedata r:id="rId9" o:title=""/>
          </v:shape>
        </w:pict>
      </w:r>
    </w:p>
    <w:bookmarkEnd w:id="1"/>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bCs/>
          <w:noProof/>
          <w:sz w:val="24"/>
          <w:szCs w:val="24"/>
        </w:rPr>
      </w:pPr>
      <w:bookmarkStart w:id="2" w:name="_GoBack"/>
      <w:bookmarkEnd w:id="2"/>
    </w:p>
    <w:sdt>
      <w:sdtPr>
        <w:rPr>
          <w:rFonts w:asciiTheme="minorHAnsi" w:eastAsiaTheme="minorEastAsia" w:hAnsiTheme="minorHAnsi" w:cstheme="minorBidi"/>
          <w:b/>
          <w:noProof/>
          <w:color w:val="auto"/>
          <w:sz w:val="22"/>
          <w:szCs w:val="22"/>
          <w:lang w:val="en-GB" w:eastAsia="en-GB"/>
        </w:rPr>
        <w:id w:val="1959371474"/>
        <w:docPartObj>
          <w:docPartGallery w:val="Table of Contents"/>
          <w:docPartUnique/>
        </w:docPartObj>
      </w:sdtPr>
      <w:sdtEndPr>
        <w:rPr>
          <w:bCs/>
        </w:rPr>
      </w:sdtEndPr>
      <w:sdtContent>
        <w:p>
          <w:pPr>
            <w:pStyle w:val="TOCHeading"/>
            <w:jc w:val="center"/>
            <w:rPr>
              <w:rFonts w:ascii="Times New Roman" w:hAnsi="Times New Roman" w:cs="Times New Roman"/>
              <w:b/>
              <w:noProof/>
              <w:color w:val="auto"/>
              <w:sz w:val="24"/>
              <w:szCs w:val="24"/>
            </w:rPr>
          </w:pPr>
          <w:r>
            <w:rPr>
              <w:rFonts w:ascii="Times New Roman" w:hAnsi="Times New Roman" w:cs="Times New Roman"/>
              <w:b/>
              <w:noProof/>
              <w:color w:val="auto"/>
              <w:sz w:val="24"/>
              <w:szCs w:val="24"/>
            </w:rPr>
            <w:t>TABLE OF CONTENTS</w:t>
          </w:r>
        </w:p>
        <w:p>
          <w:pPr>
            <w:pStyle w:val="TOC1"/>
            <w:tabs>
              <w:tab w:val="left" w:pos="440"/>
              <w:tab w:val="right" w:leader="dot" w:pos="9062"/>
            </w:tabs>
            <w:rPr>
              <w:rFonts w:ascii="Times New Roman" w:hAnsi="Times New Roman" w:cs="Times New Roman"/>
              <w:noProof/>
              <w:sz w:val="24"/>
              <w:szCs w:val="24"/>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10796302" w:history="1">
            <w:r>
              <w:rPr>
                <w:rStyle w:val="Hyperlink"/>
                <w:rFonts w:ascii="Times New Roman" w:hAnsi="Times New Roman" w:cs="Times New Roman"/>
                <w:noProof/>
                <w:sz w:val="24"/>
                <w:szCs w:val="24"/>
              </w:rPr>
              <w:t>1.</w:t>
            </w:r>
            <w:r>
              <w:rPr>
                <w:rFonts w:ascii="Times New Roman" w:hAnsi="Times New Roman" w:cs="Times New Roman"/>
                <w:noProof/>
                <w:sz w:val="24"/>
                <w:szCs w:val="24"/>
              </w:rPr>
              <w:tab/>
            </w:r>
            <w:r>
              <w:rPr>
                <w:rStyle w:val="Hyperlink"/>
                <w:rFonts w:ascii="Times New Roman" w:hAnsi="Times New Roman" w:cs="Times New Roman"/>
                <w:noProof/>
                <w:sz w:val="24"/>
                <w:szCs w:val="24"/>
              </w:rPr>
              <w:t>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_Toc10796302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10796303" w:history="1">
            <w:r>
              <w:rPr>
                <w:rStyle w:val="Hyperlink"/>
                <w:rFonts w:ascii="Times New Roman" w:hAnsi="Times New Roman" w:cs="Times New Roman"/>
                <w:noProof/>
                <w:sz w:val="24"/>
                <w:szCs w:val="24"/>
              </w:rPr>
              <w:t>2.</w:t>
            </w:r>
            <w:r>
              <w:rPr>
                <w:rFonts w:ascii="Times New Roman" w:hAnsi="Times New Roman" w:cs="Times New Roman"/>
                <w:noProof/>
                <w:sz w:val="24"/>
                <w:szCs w:val="24"/>
              </w:rPr>
              <w:tab/>
            </w:r>
            <w:r>
              <w:rPr>
                <w:rStyle w:val="Hyperlink"/>
                <w:rFonts w:ascii="Times New Roman" w:hAnsi="Times New Roman" w:cs="Times New Roman"/>
                <w:noProof/>
                <w:sz w:val="24"/>
                <w:szCs w:val="24"/>
              </w:rPr>
              <w:t>BACKGROUND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_Toc10796303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10796304" w:history="1">
            <w:r>
              <w:rPr>
                <w:rStyle w:val="Hyperlink"/>
                <w:rFonts w:ascii="Times New Roman" w:hAnsi="Times New Roman" w:cs="Times New Roman"/>
                <w:noProof/>
                <w:sz w:val="24"/>
                <w:szCs w:val="24"/>
              </w:rPr>
              <w:t>2.1 Description of the intervention and its objectives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_Toc10796304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10796305" w:history="1">
            <w:r>
              <w:rPr>
                <w:rStyle w:val="Hyperlink"/>
                <w:rFonts w:ascii="Times New Roman" w:hAnsi="Times New Roman" w:cs="Times New Roman"/>
                <w:noProof/>
                <w:sz w:val="24"/>
                <w:szCs w:val="24"/>
              </w:rPr>
              <w:t>2.2 Baseline and points of comparison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_Toc10796305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10796306" w:history="1">
            <w:r>
              <w:rPr>
                <w:rStyle w:val="Hyperlink"/>
                <w:rFonts w:ascii="Times New Roman" w:hAnsi="Times New Roman" w:cs="Times New Roman"/>
                <w:noProof/>
                <w:sz w:val="24"/>
                <w:szCs w:val="24"/>
              </w:rPr>
              <w:t>3.</w:t>
            </w:r>
            <w:r>
              <w:rPr>
                <w:rFonts w:ascii="Times New Roman" w:hAnsi="Times New Roman" w:cs="Times New Roman"/>
                <w:noProof/>
                <w:sz w:val="24"/>
                <w:szCs w:val="24"/>
              </w:rPr>
              <w:tab/>
            </w:r>
            <w:r>
              <w:rPr>
                <w:rStyle w:val="Hyperlink"/>
                <w:rFonts w:ascii="Times New Roman" w:hAnsi="Times New Roman" w:cs="Times New Roman"/>
                <w:noProof/>
                <w:sz w:val="24"/>
                <w:szCs w:val="24"/>
              </w:rPr>
              <w:t>IMPLEMENTATION / STATE OF PLAY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_Toc10796306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10796307" w:history="1">
            <w:r>
              <w:rPr>
                <w:rStyle w:val="Hyperlink"/>
                <w:rFonts w:ascii="Times New Roman" w:hAnsi="Times New Roman" w:cs="Times New Roman"/>
                <w:noProof/>
                <w:sz w:val="24"/>
                <w:szCs w:val="24"/>
              </w:rPr>
              <w:t>4.</w:t>
            </w:r>
            <w:r>
              <w:rPr>
                <w:rFonts w:ascii="Times New Roman" w:hAnsi="Times New Roman" w:cs="Times New Roman"/>
                <w:noProof/>
                <w:sz w:val="24"/>
                <w:szCs w:val="24"/>
              </w:rPr>
              <w:tab/>
            </w:r>
            <w:r>
              <w:rPr>
                <w:rStyle w:val="Hyperlink"/>
                <w:rFonts w:ascii="Times New Roman" w:hAnsi="Times New Roman" w:cs="Times New Roman"/>
                <w:noProof/>
                <w:sz w:val="24"/>
                <w:szCs w:val="24"/>
              </w:rPr>
              <w:t>METHOD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_Toc10796307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10796308" w:history="1">
            <w:r>
              <w:rPr>
                <w:rStyle w:val="Hyperlink"/>
                <w:rFonts w:ascii="Times New Roman" w:hAnsi="Times New Roman" w:cs="Times New Roman"/>
                <w:noProof/>
                <w:sz w:val="24"/>
                <w:szCs w:val="24"/>
              </w:rPr>
              <w:t>4.1 Short description of methodology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_Toc10796308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10796309" w:history="1">
            <w:r>
              <w:rPr>
                <w:rStyle w:val="Hyperlink"/>
                <w:rFonts w:ascii="Times New Roman" w:hAnsi="Times New Roman" w:cs="Times New Roman"/>
                <w:noProof/>
                <w:sz w:val="24"/>
                <w:szCs w:val="24"/>
              </w:rPr>
              <w:t>4.2 Limitations and robustness of findings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_Toc10796309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10796310" w:history="1">
            <w:r>
              <w:rPr>
                <w:rStyle w:val="Hyperlink"/>
                <w:rFonts w:ascii="Times New Roman" w:hAnsi="Times New Roman" w:cs="Times New Roman"/>
                <w:noProof/>
                <w:sz w:val="24"/>
                <w:szCs w:val="24"/>
              </w:rPr>
              <w:t>5.</w:t>
            </w:r>
            <w:r>
              <w:rPr>
                <w:rFonts w:ascii="Times New Roman" w:hAnsi="Times New Roman" w:cs="Times New Roman"/>
                <w:noProof/>
                <w:sz w:val="24"/>
                <w:szCs w:val="24"/>
              </w:rPr>
              <w:tab/>
              <w:t>ANALYSIS AND ANSWERS TO THE EVALUATION QUESTIONS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_Toc10796310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10796311" w:history="1">
            <w:r>
              <w:rPr>
                <w:rStyle w:val="Hyperlink"/>
                <w:rFonts w:ascii="Times New Roman" w:hAnsi="Times New Roman" w:cs="Times New Roman"/>
                <w:noProof/>
                <w:sz w:val="24"/>
                <w:szCs w:val="24"/>
              </w:rPr>
              <w:t>5.1 Effectiveness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_Toc10796311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10796312" w:history="1">
            <w:r>
              <w:rPr>
                <w:rStyle w:val="Hyperlink"/>
                <w:rFonts w:ascii="Times New Roman" w:hAnsi="Times New Roman" w:cs="Times New Roman"/>
                <w:noProof/>
                <w:sz w:val="24"/>
                <w:szCs w:val="24"/>
              </w:rPr>
              <w:t>5.2 Efficiency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_Toc10796312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10796313" w:history="1">
            <w:r>
              <w:rPr>
                <w:rStyle w:val="Hyperlink"/>
                <w:rFonts w:ascii="Times New Roman" w:hAnsi="Times New Roman" w:cs="Times New Roman"/>
                <w:noProof/>
                <w:sz w:val="24"/>
                <w:szCs w:val="24"/>
              </w:rPr>
              <w:t>5.3 Coherence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_Toc10796313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Pr>
                <w:rFonts w:ascii="Times New Roman" w:hAnsi="Times New Roman" w:cs="Times New Roman"/>
                <w:noProof/>
                <w:webHidden/>
                <w:sz w:val="24"/>
                <w:szCs w:val="24"/>
              </w:rPr>
              <w:fldChar w:fldCharType="end"/>
            </w:r>
          </w:hyperlink>
        </w:p>
        <w:p>
          <w:pPr>
            <w:pStyle w:val="TOC2"/>
            <w:tabs>
              <w:tab w:val="right" w:leader="dot" w:pos="9062"/>
            </w:tabs>
            <w:rPr>
              <w:rFonts w:ascii="Times New Roman" w:hAnsi="Times New Roman" w:cs="Times New Roman"/>
              <w:noProof/>
              <w:sz w:val="24"/>
              <w:szCs w:val="24"/>
            </w:rPr>
          </w:pPr>
          <w:hyperlink w:anchor="_Toc10796314" w:history="1">
            <w:r>
              <w:rPr>
                <w:rStyle w:val="Hyperlink"/>
                <w:rFonts w:ascii="Times New Roman" w:hAnsi="Times New Roman" w:cs="Times New Roman"/>
                <w:noProof/>
                <w:sz w:val="24"/>
                <w:szCs w:val="24"/>
              </w:rPr>
              <w:t>5.4 Retrospective Cost-Benefit Analysis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_Toc10796314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10796315" w:history="1">
            <w:r>
              <w:rPr>
                <w:rStyle w:val="Hyperlink"/>
                <w:rFonts w:ascii="Times New Roman" w:hAnsi="Times New Roman" w:cs="Times New Roman"/>
                <w:noProof/>
                <w:sz w:val="24"/>
                <w:szCs w:val="24"/>
              </w:rPr>
              <w:t>6.</w:t>
            </w:r>
            <w:r>
              <w:rPr>
                <w:rFonts w:ascii="Times New Roman" w:hAnsi="Times New Roman" w:cs="Times New Roman"/>
                <w:noProof/>
                <w:sz w:val="24"/>
                <w:szCs w:val="24"/>
              </w:rPr>
              <w:tab/>
            </w:r>
            <w:r>
              <w:rPr>
                <w:rStyle w:val="Hyperlink"/>
                <w:rFonts w:ascii="Times New Roman" w:hAnsi="Times New Roman" w:cs="Times New Roman"/>
                <w:noProof/>
                <w:sz w:val="24"/>
                <w:szCs w:val="24"/>
              </w:rPr>
              <w:t>CONCLUSIONS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_Toc10796315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Pr>
                <w:rFonts w:ascii="Times New Roman" w:hAnsi="Times New Roman" w:cs="Times New Roman"/>
                <w:noProof/>
                <w:webHidden/>
                <w:sz w:val="24"/>
                <w:szCs w:val="24"/>
              </w:rPr>
              <w:fldChar w:fldCharType="end"/>
            </w:r>
          </w:hyperlink>
        </w:p>
        <w:p>
          <w:pPr>
            <w:pStyle w:val="TOC1"/>
            <w:tabs>
              <w:tab w:val="right" w:leader="dot" w:pos="9062"/>
            </w:tabs>
            <w:rPr>
              <w:noProof/>
            </w:rPr>
          </w:pPr>
          <w:hyperlink w:anchor="_Toc10796316" w:history="1">
            <w:r>
              <w:rPr>
                <w:rStyle w:val="Hyperlink"/>
                <w:rFonts w:ascii="Times New Roman" w:hAnsi="Times New Roman" w:cs="Times New Roman"/>
                <w:noProof/>
                <w:sz w:val="24"/>
                <w:szCs w:val="24"/>
              </w:rPr>
              <w:t>ANNEX : EVALUATION QUESTIONS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_Toc10796316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Pr>
                <w:rFonts w:ascii="Times New Roman" w:hAnsi="Times New Roman" w:cs="Times New Roman"/>
                <w:noProof/>
                <w:webHidden/>
                <w:sz w:val="24"/>
                <w:szCs w:val="24"/>
              </w:rPr>
              <w:fldChar w:fldCharType="end"/>
            </w:r>
          </w:hyperlink>
        </w:p>
        <w:p>
          <w:pPr>
            <w:rPr>
              <w:noProof/>
            </w:rPr>
          </w:pPr>
          <w:r>
            <w:rPr>
              <w:rFonts w:ascii="Times New Roman" w:hAnsi="Times New Roman" w:cs="Times New Roman"/>
              <w:b/>
              <w:bCs/>
              <w:noProof/>
              <w:sz w:val="24"/>
              <w:szCs w:val="24"/>
            </w:rPr>
            <w:fldChar w:fldCharType="end"/>
          </w:r>
        </w:p>
      </w:sdtContent>
    </w:sdt>
    <w:p>
      <w:pPr>
        <w:jc w:val="center"/>
        <w:rPr>
          <w:rFonts w:ascii="Times New Roman" w:hAnsi="Times New Roman" w:cs="Times New Roman"/>
          <w:b/>
          <w:bCs/>
          <w:noProof/>
          <w:sz w:val="24"/>
          <w:szCs w:val="24"/>
        </w:rPr>
      </w:pPr>
    </w:p>
    <w:p>
      <w:pPr>
        <w:pStyle w:val="ListParagraph"/>
        <w:numPr>
          <w:ilvl w:val="0"/>
          <w:numId w:val="1"/>
        </w:numPr>
        <w:rPr>
          <w:b/>
          <w:noProof/>
          <w:szCs w:val="24"/>
        </w:rPr>
      </w:pPr>
      <w:r>
        <w:rPr>
          <w:noProof/>
          <w:szCs w:val="24"/>
        </w:rPr>
        <w:br w:type="page"/>
      </w:r>
    </w:p>
    <w:p>
      <w:pPr>
        <w:pStyle w:val="Heading1"/>
        <w:numPr>
          <w:ilvl w:val="0"/>
          <w:numId w:val="21"/>
        </w:numPr>
        <w:spacing w:before="360"/>
        <w:ind w:left="482" w:hanging="482"/>
        <w:rPr>
          <w:noProof/>
        </w:rPr>
      </w:pPr>
      <w:bookmarkStart w:id="3" w:name="_Toc10796302"/>
      <w:r>
        <w:rPr>
          <w:noProof/>
        </w:rPr>
        <w:t>Introduction</w:t>
      </w:r>
      <w:bookmarkEnd w:id="0"/>
      <w:bookmarkEnd w:id="3"/>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The purpose of this periodical (every three years) evaluation of the operation of the Research Executive Agency (REA) is to assess REA’s implementation of the parts of the EU funding programmes which have been entrusted to it and the provision of administrative and logistical support services. REA is governed by the </w:t>
      </w:r>
      <w:hyperlink r:id="rId16" w:history="1">
        <w:r>
          <w:rPr>
            <w:rStyle w:val="Hyperlink"/>
            <w:rFonts w:ascii="Times New Roman" w:hAnsi="Times New Roman" w:cs="Times New Roman"/>
            <w:noProof/>
            <w:color w:val="auto"/>
            <w:sz w:val="24"/>
            <w:szCs w:val="24"/>
          </w:rPr>
          <w:t>Framework Regulation for Executive Agencies</w:t>
        </w:r>
      </w:hyperlink>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rPr>
        <w:t xml:space="preserve">, its </w:t>
      </w:r>
      <w:hyperlink r:id="rId17" w:history="1">
        <w:r>
          <w:rPr>
            <w:rStyle w:val="Hyperlink"/>
            <w:rFonts w:ascii="Times New Roman" w:hAnsi="Times New Roman" w:cs="Times New Roman"/>
            <w:noProof/>
            <w:color w:val="auto"/>
            <w:sz w:val="24"/>
            <w:szCs w:val="24"/>
          </w:rPr>
          <w:t>Act</w:t>
        </w:r>
      </w:hyperlink>
      <w:r>
        <w:rPr>
          <w:rStyle w:val="Hyperlink"/>
          <w:rFonts w:ascii="Times New Roman" w:hAnsi="Times New Roman" w:cs="Times New Roman"/>
          <w:noProof/>
          <w:color w:val="auto"/>
          <w:sz w:val="24"/>
          <w:szCs w:val="24"/>
        </w:rPr>
        <w:t xml:space="preserve"> of Establishment</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which sets out its mandate, the </w:t>
      </w:r>
      <w:hyperlink r:id="rId18" w:history="1">
        <w:r>
          <w:rPr>
            <w:rStyle w:val="Hyperlink"/>
            <w:rFonts w:ascii="Times New Roman" w:hAnsi="Times New Roman" w:cs="Times New Roman"/>
            <w:noProof/>
            <w:color w:val="auto"/>
            <w:sz w:val="24"/>
            <w:szCs w:val="24"/>
          </w:rPr>
          <w:t>Act of Delegation</w:t>
        </w:r>
      </w:hyperlink>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which specifies the tasks to be carried out by, and the powers delegated to the Agency in order to perform </w:t>
      </w:r>
      <w:r>
        <w:rPr>
          <w:rFonts w:ascii="Times New Roman" w:hAnsi="Times New Roman" w:cs="Times New Roman"/>
          <w:noProof/>
          <w:color w:val="000000"/>
          <w:sz w:val="24"/>
          <w:szCs w:val="24"/>
        </w:rPr>
        <w:t>its mandate; and the decision establishing the REA Steering Committee.</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In line with the Commission’s Better Regulation principles</w:t>
      </w:r>
      <w:r>
        <w:rPr>
          <w:rStyle w:val="FootnoteReference"/>
          <w:rFonts w:ascii="Times New Roman" w:hAnsi="Times New Roman" w:cs="Times New Roman"/>
          <w:noProof/>
          <w:color w:val="000000"/>
          <w:sz w:val="24"/>
          <w:szCs w:val="24"/>
        </w:rPr>
        <w:footnoteReference w:id="4"/>
      </w:r>
      <w:r>
        <w:rPr>
          <w:rFonts w:ascii="Times New Roman" w:hAnsi="Times New Roman" w:cs="Times New Roman"/>
          <w:noProof/>
          <w:color w:val="000000"/>
          <w:sz w:val="24"/>
          <w:szCs w:val="24"/>
        </w:rPr>
        <w:t>, the evaluation applies several standard evaluation criteria. The evaluation assesses whether the Agency has fulfilled its tasks in an effective and efficient way, whether there are overlaps / gaps / inconsistencies in the management of the programme portfolio by the Agency, and whether there is a clear delineation of tasks between REA and the parent DGs or other executive agencies (coherence)</w:t>
      </w:r>
      <w:r>
        <w:rPr>
          <w:rStyle w:val="FootnoteReference"/>
          <w:rFonts w:ascii="Times New Roman" w:hAnsi="Times New Roman" w:cs="Times New Roman"/>
          <w:noProof/>
          <w:color w:val="000000"/>
          <w:sz w:val="24"/>
          <w:szCs w:val="24"/>
        </w:rPr>
        <w:footnoteReference w:id="5"/>
      </w:r>
      <w:r>
        <w:rPr>
          <w:rFonts w:ascii="Times New Roman" w:hAnsi="Times New Roman" w:cs="Times New Roman"/>
          <w:noProof/>
          <w:color w:val="000000"/>
          <w:sz w:val="24"/>
          <w:szCs w:val="24"/>
        </w:rPr>
        <w:t>.</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The evaluation also assesses whether the functioning of the Agency has yielded the expected positive results as estimated in the </w:t>
      </w:r>
      <w:r>
        <w:rPr>
          <w:rFonts w:ascii="Times New Roman" w:hAnsi="Times New Roman"/>
          <w:i/>
          <w:noProof/>
          <w:color w:val="000000"/>
          <w:sz w:val="24"/>
        </w:rPr>
        <w:t>ex</w:t>
      </w:r>
      <w:r>
        <w:rPr>
          <w:rFonts w:ascii="Times New Roman" w:hAnsi="Times New Roman" w:cs="Times New Roman"/>
          <w:i/>
          <w:noProof/>
          <w:color w:val="000000"/>
          <w:sz w:val="24"/>
          <w:szCs w:val="24"/>
        </w:rPr>
        <w:t xml:space="preserve"> </w:t>
      </w:r>
      <w:r>
        <w:rPr>
          <w:rFonts w:ascii="Times New Roman" w:hAnsi="Times New Roman"/>
          <w:i/>
          <w:noProof/>
          <w:color w:val="000000"/>
          <w:sz w:val="24"/>
        </w:rPr>
        <w:t>ante</w:t>
      </w:r>
      <w:r>
        <w:rPr>
          <w:rFonts w:ascii="Times New Roman" w:hAnsi="Times New Roman" w:cs="Times New Roman"/>
          <w:noProof/>
          <w:color w:val="000000"/>
          <w:sz w:val="24"/>
          <w:szCs w:val="24"/>
        </w:rPr>
        <w:t xml:space="preserve"> Cost-Benefit Analysis (CBA) for the delegation of tasks to the executive agencies</w:t>
      </w:r>
      <w:r>
        <w:rPr>
          <w:rStyle w:val="FootnoteReference"/>
          <w:rFonts w:ascii="Times New Roman" w:hAnsi="Times New Roman" w:cs="Times New Roman"/>
          <w:noProof/>
          <w:color w:val="000000"/>
          <w:sz w:val="24"/>
          <w:szCs w:val="24"/>
        </w:rPr>
        <w:footnoteReference w:id="6"/>
      </w:r>
      <w:r>
        <w:rPr>
          <w:rFonts w:ascii="Times New Roman" w:hAnsi="Times New Roman" w:cs="Times New Roman"/>
          <w:noProof/>
          <w:color w:val="000000"/>
          <w:sz w:val="24"/>
          <w:szCs w:val="24"/>
        </w:rPr>
        <w:t xml:space="preserve"> and to identify potential areas of improvement. To this end the estimations of the Cost-Benefit Analysis of 2013 have been tested in order to provide evidence on the validity of the assumptions made in the </w:t>
      </w:r>
      <w:r>
        <w:rPr>
          <w:rFonts w:ascii="Times New Roman" w:hAnsi="Times New Roman"/>
          <w:i/>
          <w:noProof/>
          <w:color w:val="000000"/>
          <w:sz w:val="24"/>
        </w:rPr>
        <w:t>ex</w:t>
      </w:r>
      <w:r>
        <w:rPr>
          <w:rFonts w:ascii="Times New Roman" w:hAnsi="Times New Roman" w:cs="Times New Roman"/>
          <w:i/>
          <w:noProof/>
          <w:color w:val="000000"/>
          <w:sz w:val="24"/>
          <w:szCs w:val="24"/>
        </w:rPr>
        <w:t xml:space="preserve"> </w:t>
      </w:r>
      <w:r>
        <w:rPr>
          <w:rFonts w:ascii="Times New Roman" w:hAnsi="Times New Roman"/>
          <w:i/>
          <w:noProof/>
          <w:color w:val="000000"/>
          <w:sz w:val="24"/>
        </w:rPr>
        <w:t>ante</w:t>
      </w:r>
      <w:r>
        <w:rPr>
          <w:rFonts w:ascii="Times New Roman" w:hAnsi="Times New Roman" w:cs="Times New Roman"/>
          <w:noProof/>
          <w:color w:val="000000"/>
          <w:sz w:val="24"/>
          <w:szCs w:val="24"/>
        </w:rPr>
        <w:t xml:space="preserve"> scenario by considering the actual costs and benefits of programme implementation by the Agency in a structured way. The aspects covered by the Cost-Benefit Analysis are specified in Article 3(1) of the Framework Regulation</w:t>
      </w:r>
      <w:r>
        <w:rPr>
          <w:rFonts w:ascii="Times New Roman" w:hAnsi="Times New Roman" w:cs="Times New Roman"/>
          <w:noProof/>
          <w:color w:val="000000"/>
          <w:sz w:val="24"/>
          <w:szCs w:val="24"/>
          <w:vertAlign w:val="superscript"/>
        </w:rPr>
        <w:footnoteReference w:id="7"/>
      </w:r>
      <w:r>
        <w:rPr>
          <w:rFonts w:ascii="Times New Roman" w:hAnsi="Times New Roman" w:cs="Times New Roman"/>
          <w:noProof/>
          <w:color w:val="000000"/>
          <w:sz w:val="24"/>
          <w:szCs w:val="24"/>
          <w:vertAlign w:val="superscript"/>
        </w:rPr>
        <w:t xml:space="preserve"> </w:t>
      </w:r>
      <w:r>
        <w:rPr>
          <w:rFonts w:ascii="Times New Roman" w:hAnsi="Times New Roman" w:cs="Times New Roman"/>
          <w:noProof/>
          <w:color w:val="000000"/>
          <w:sz w:val="24"/>
          <w:szCs w:val="24"/>
        </w:rPr>
        <w:t>and the Guidelines on establishing and operating executive agencies</w:t>
      </w:r>
      <w:r>
        <w:rPr>
          <w:rFonts w:ascii="Times New Roman" w:hAnsi="Times New Roman" w:cs="Times New Roman"/>
          <w:noProof/>
          <w:color w:val="000000"/>
          <w:sz w:val="24"/>
          <w:szCs w:val="24"/>
          <w:vertAlign w:val="superscript"/>
        </w:rPr>
        <w:footnoteReference w:id="8"/>
      </w:r>
      <w:r>
        <w:rPr>
          <w:rFonts w:ascii="Times New Roman" w:hAnsi="Times New Roman" w:cs="Times New Roman"/>
          <w:noProof/>
          <w:color w:val="000000"/>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does not cover the achievements of the programmes managed by REA, which are subject to mid-term and ex post evaluations themselves. The evaluation of REA nevertheless provides useful input for these programme evaluations, considering that the performance of the Agency affects the efficiency and effectiveness of the programmes it manages.</w:t>
      </w:r>
    </w:p>
    <w:p>
      <w:pPr>
        <w:autoSpaceDE w:val="0"/>
        <w:autoSpaceDN w:val="0"/>
        <w:adjustRightInd w:val="0"/>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examines the efficient use of resources and the effective achievement of the tasks entrusted to the Agency. In particular, it looks at whether the alignment of more coherent programme portfolios within the Agency’s core competences and its brand identity delivered the estimated qualitative benefits; whether the assembly of the management of different EU programmes and provision of support services delivered the estimated synergies, simplification and economies of scale; whether the pooling of instruments guaranteed consistent service delivery and whether there is scope for simplification and further efficiency gains.</w:t>
      </w:r>
    </w:p>
    <w:p>
      <w:pPr>
        <w:autoSpaceDE w:val="0"/>
        <w:autoSpaceDN w:val="0"/>
        <w:adjustRightInd w:val="0"/>
        <w:spacing w:after="0" w:line="240" w:lineRule="auto"/>
        <w:jc w:val="both"/>
        <w:rPr>
          <w:rFonts w:ascii="Times New Roman" w:hAnsi="Times New Roman" w:cs="Times New Roman"/>
          <w:bCs/>
          <w:noProof/>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The evaluation covers all the tasks carried out by the Agency during the period 16 July 2015 to 15 July 2018. The evaluation is supported by a study carried out by an external contractor.</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The results of this study are summarised hereafter and this evaluation will be presented to the </w:t>
      </w:r>
      <w:r>
        <w:rPr>
          <w:rFonts w:ascii="Times New Roman" w:hAnsi="Times New Roman" w:cs="Times New Roman"/>
          <w:noProof/>
          <w:sz w:val="24"/>
          <w:szCs w:val="24"/>
        </w:rPr>
        <w:t xml:space="preserve">European Parliament, to the Council and to the Court of Auditors in accordance with Article 25(1) of the Framework Regulation.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cs="Times New Roman"/>
          <w:noProof/>
          <w:color w:val="000000"/>
          <w:sz w:val="24"/>
          <w:szCs w:val="24"/>
        </w:rPr>
        <w:t xml:space="preserve">The results will feed into </w:t>
      </w:r>
      <w:r>
        <w:rPr>
          <w:rFonts w:ascii="Times New Roman" w:hAnsi="Times New Roman"/>
          <w:noProof/>
          <w:sz w:val="24"/>
          <w:szCs w:val="24"/>
        </w:rPr>
        <w:t xml:space="preserve">the reflection </w:t>
      </w:r>
      <w:r>
        <w:rPr>
          <w:rFonts w:ascii="Times New Roman" w:hAnsi="Times New Roman" w:cs="Times New Roman"/>
          <w:noProof/>
          <w:color w:val="000000"/>
          <w:sz w:val="24"/>
          <w:szCs w:val="24"/>
        </w:rPr>
        <w:t xml:space="preserve">to assess the opportunity of expanding/ modifying the Agency’s mandate </w:t>
      </w:r>
      <w:r>
        <w:rPr>
          <w:rFonts w:ascii="Times New Roman" w:hAnsi="Times New Roman"/>
          <w:noProof/>
          <w:sz w:val="24"/>
          <w:szCs w:val="24"/>
        </w:rPr>
        <w:t>in view of the delegation of the implementation of 2021-2027 EU programmes.</w:t>
      </w:r>
    </w:p>
    <w:p>
      <w:pPr>
        <w:autoSpaceDE w:val="0"/>
        <w:autoSpaceDN w:val="0"/>
        <w:adjustRightInd w:val="0"/>
        <w:spacing w:after="0" w:line="240" w:lineRule="auto"/>
        <w:jc w:val="both"/>
        <w:rPr>
          <w:rFonts w:ascii="Times New Roman" w:hAnsi="Times New Roman"/>
          <w:noProof/>
          <w:sz w:val="24"/>
          <w:szCs w:val="24"/>
        </w:rPr>
      </w:pPr>
    </w:p>
    <w:p>
      <w:pPr>
        <w:pStyle w:val="Heading1"/>
        <w:numPr>
          <w:ilvl w:val="0"/>
          <w:numId w:val="21"/>
        </w:numPr>
        <w:spacing w:before="360"/>
        <w:ind w:left="482" w:hanging="482"/>
        <w:rPr>
          <w:rFonts w:eastAsiaTheme="minorEastAsia"/>
          <w:noProof/>
        </w:rPr>
      </w:pPr>
      <w:bookmarkStart w:id="4" w:name="_Toc486524619"/>
      <w:bookmarkStart w:id="5" w:name="_Toc10796303"/>
      <w:r>
        <w:rPr>
          <w:noProof/>
        </w:rPr>
        <w:t>Background</w:t>
      </w:r>
      <w:bookmarkEnd w:id="4"/>
      <w:bookmarkEnd w:id="5"/>
    </w:p>
    <w:p>
      <w:pPr>
        <w:pStyle w:val="Heading2"/>
        <w:tabs>
          <w:tab w:val="num" w:pos="1200"/>
        </w:tabs>
        <w:ind w:left="1200" w:hanging="720"/>
        <w:rPr>
          <w:noProof/>
          <w:szCs w:val="24"/>
        </w:rPr>
      </w:pPr>
      <w:bookmarkStart w:id="6" w:name="_Toc10796304"/>
      <w:r>
        <w:rPr>
          <w:noProof/>
        </w:rPr>
        <w:t>2.1 Description of the intervention and its objectives</w:t>
      </w:r>
      <w:bookmarkEnd w:id="6"/>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outsourcing of certain management tasks to the Agency according to the Framework Regulation and REA’s Act of Establishment intends:</w:t>
      </w:r>
    </w:p>
    <w:p>
      <w:pPr>
        <w:pStyle w:val="ListParagraph"/>
        <w:numPr>
          <w:ilvl w:val="0"/>
          <w:numId w:val="11"/>
        </w:numPr>
        <w:autoSpaceDE w:val="0"/>
        <w:autoSpaceDN w:val="0"/>
        <w:adjustRightInd w:val="0"/>
        <w:spacing w:after="0"/>
        <w:ind w:left="714" w:hanging="357"/>
        <w:rPr>
          <w:noProof/>
        </w:rPr>
      </w:pPr>
      <w:r>
        <w:rPr>
          <w:noProof/>
        </w:rPr>
        <w:t>To allow the Commission to focus on its institutional tasks, i.e. tasks assigned to the institutions by the Treaty, which require discretionary powers in translating political choices into action. Such institutional tasks should not be outsourced.</w:t>
      </w:r>
    </w:p>
    <w:p>
      <w:pPr>
        <w:pStyle w:val="ListParagraph"/>
        <w:numPr>
          <w:ilvl w:val="0"/>
          <w:numId w:val="11"/>
        </w:numPr>
        <w:autoSpaceDE w:val="0"/>
        <w:autoSpaceDN w:val="0"/>
        <w:adjustRightInd w:val="0"/>
        <w:spacing w:after="0"/>
        <w:ind w:left="714" w:hanging="357"/>
        <w:rPr>
          <w:noProof/>
        </w:rPr>
      </w:pPr>
      <w:r>
        <w:rPr>
          <w:noProof/>
        </w:rPr>
        <w:t xml:space="preserve">To enable the Commission to achieve the objectives of the delegated EU programmes more effectively and efficiently. According to the Cost-Benefit Analysis carried out in 2013, delegating tasks to REA was estimated to be more cost-efficient than an in-house scenario. </w:t>
      </w:r>
      <w:r>
        <w:rPr>
          <w:rFonts w:eastAsia="Arial Unicode MS" w:cs="Arial Unicode MS"/>
          <w:noProof/>
          <w:color w:val="000000"/>
          <w:szCs w:val="24"/>
          <w:u w:color="000000"/>
          <w:bdr w:val="nil"/>
          <w:lang w:val="en-US"/>
        </w:rPr>
        <w:t>The Act of Establishment estimated that the alignment of more coherent programme portfolios with the Agency’s core competences and its brand identity would bring qualitative benefits. In addition, it projected that assembling the management of different EU programmes would bring synergies, simplification and economies of scale.</w:t>
      </w:r>
    </w:p>
    <w:p>
      <w:pPr>
        <w:pStyle w:val="CM4"/>
        <w:rPr>
          <w:rFonts w:ascii="Times New Roman" w:hAnsi="Times New Roman"/>
          <w:noProof/>
          <w:highlight w:val="yellow"/>
        </w:rPr>
      </w:pPr>
    </w:p>
    <w:p>
      <w:pPr>
        <w:pStyle w:val="CM4"/>
        <w:rPr>
          <w:rFonts w:ascii="Times New Roman" w:hAnsi="Times New Roman"/>
          <w:noProof/>
        </w:rPr>
      </w:pPr>
      <w:r>
        <w:rPr>
          <w:rFonts w:ascii="Times New Roman" w:hAnsi="Times New Roman"/>
          <w:noProof/>
        </w:rPr>
        <w:t>The original objective of the intervention is entrusting the Agency with the implementation of several EU programmes in parts or fully:</w:t>
      </w:r>
    </w:p>
    <w:p>
      <w:pPr>
        <w:pStyle w:val="CM4"/>
        <w:numPr>
          <w:ilvl w:val="0"/>
          <w:numId w:val="14"/>
        </w:numPr>
        <w:ind w:left="714" w:hanging="357"/>
        <w:jc w:val="both"/>
        <w:rPr>
          <w:rFonts w:ascii="Times New Roman" w:hAnsi="Times New Roman"/>
          <w:noProof/>
        </w:rPr>
      </w:pPr>
      <w:r>
        <w:rPr>
          <w:rFonts w:ascii="Times New Roman" w:hAnsi="Times New Roman"/>
          <w:b/>
          <w:bCs/>
          <w:noProof/>
        </w:rPr>
        <w:t>Grants to Horizon 2020 framework programme for research and innovation projects (</w:t>
      </w:r>
      <w:hyperlink r:id="rId19" w:history="1">
        <w:r>
          <w:rPr>
            <w:rStyle w:val="Hyperlink"/>
            <w:rFonts w:ascii="Times New Roman" w:hAnsi="Times New Roman"/>
            <w:b/>
            <w:bCs/>
            <w:noProof/>
            <w:color w:val="auto"/>
          </w:rPr>
          <w:t>Horizon 2020</w:t>
        </w:r>
      </w:hyperlink>
      <w:r>
        <w:rPr>
          <w:rFonts w:ascii="Times New Roman" w:hAnsi="Times New Roman"/>
          <w:b/>
          <w:bCs/>
          <w:noProof/>
        </w:rPr>
        <w:t>)</w:t>
      </w:r>
      <w:r>
        <w:rPr>
          <w:rFonts w:ascii="Times New Roman" w:hAnsi="Times New Roman"/>
          <w:noProof/>
        </w:rPr>
        <w:t>. REA manages scientific projects funded under the following parts of the Horizon 2020 framework programme (grouped by pillar):</w:t>
      </w:r>
    </w:p>
    <w:p>
      <w:pPr>
        <w:pStyle w:val="CM4"/>
        <w:numPr>
          <w:ilvl w:val="1"/>
          <w:numId w:val="14"/>
        </w:numPr>
        <w:ind w:left="1434" w:hanging="357"/>
        <w:jc w:val="both"/>
        <w:rPr>
          <w:rFonts w:ascii="Times New Roman" w:hAnsi="Times New Roman"/>
          <w:noProof/>
        </w:rPr>
      </w:pPr>
      <w:r>
        <w:rPr>
          <w:rFonts w:ascii="Times New Roman" w:hAnsi="Times New Roman"/>
          <w:noProof/>
        </w:rPr>
        <w:t>Excellent Science:</w:t>
      </w:r>
    </w:p>
    <w:p>
      <w:pPr>
        <w:pStyle w:val="CM4"/>
        <w:numPr>
          <w:ilvl w:val="2"/>
          <w:numId w:val="14"/>
        </w:numPr>
        <w:jc w:val="both"/>
        <w:rPr>
          <w:rFonts w:ascii="Times New Roman" w:hAnsi="Times New Roman"/>
          <w:noProof/>
          <w:lang w:val="fr-BE"/>
        </w:rPr>
      </w:pPr>
      <w:r>
        <w:rPr>
          <w:rFonts w:ascii="Times New Roman" w:hAnsi="Times New Roman"/>
          <w:noProof/>
          <w:lang w:val="fr-FR"/>
        </w:rPr>
        <w:t>Marie Skłodowska-Curie Actions (</w:t>
      </w:r>
      <w:r>
        <w:rPr>
          <w:rFonts w:ascii="Times New Roman" w:hAnsi="Times New Roman"/>
          <w:noProof/>
          <w:color w:val="000000" w:themeColor="text1"/>
          <w:lang w:val="fr-BE" w:eastAsia="lt-LT"/>
        </w:rPr>
        <w:t>MSCA</w:t>
      </w:r>
      <w:r>
        <w:rPr>
          <w:rFonts w:ascii="Times New Roman" w:hAnsi="Times New Roman"/>
          <w:noProof/>
          <w:lang w:val="fr-FR"/>
        </w:rPr>
        <w:t>);</w:t>
      </w:r>
    </w:p>
    <w:p>
      <w:pPr>
        <w:pStyle w:val="CM4"/>
        <w:numPr>
          <w:ilvl w:val="2"/>
          <w:numId w:val="14"/>
        </w:numPr>
        <w:jc w:val="both"/>
        <w:rPr>
          <w:rFonts w:ascii="Times New Roman" w:hAnsi="Times New Roman"/>
          <w:noProof/>
        </w:rPr>
      </w:pPr>
      <w:r>
        <w:rPr>
          <w:rFonts w:ascii="Times New Roman" w:hAnsi="Times New Roman"/>
          <w:noProof/>
        </w:rPr>
        <w:t>Future and Emerging Technologies.</w:t>
      </w:r>
    </w:p>
    <w:p>
      <w:pPr>
        <w:pStyle w:val="CM4"/>
        <w:numPr>
          <w:ilvl w:val="1"/>
          <w:numId w:val="14"/>
        </w:numPr>
        <w:jc w:val="both"/>
        <w:rPr>
          <w:rFonts w:ascii="Times New Roman" w:hAnsi="Times New Roman"/>
          <w:noProof/>
        </w:rPr>
      </w:pPr>
      <w:r>
        <w:rPr>
          <w:rFonts w:ascii="Times New Roman" w:hAnsi="Times New Roman"/>
          <w:noProof/>
        </w:rPr>
        <w:t>Industrial leadership:</w:t>
      </w:r>
    </w:p>
    <w:p>
      <w:pPr>
        <w:pStyle w:val="CM4"/>
        <w:numPr>
          <w:ilvl w:val="2"/>
          <w:numId w:val="14"/>
        </w:numPr>
        <w:jc w:val="both"/>
        <w:rPr>
          <w:rFonts w:ascii="Times New Roman" w:hAnsi="Times New Roman"/>
          <w:noProof/>
        </w:rPr>
      </w:pPr>
      <w:r>
        <w:rPr>
          <w:rFonts w:ascii="Times New Roman" w:hAnsi="Times New Roman"/>
          <w:noProof/>
        </w:rPr>
        <w:t>Space Research.</w:t>
      </w:r>
    </w:p>
    <w:p>
      <w:pPr>
        <w:pStyle w:val="CM4"/>
        <w:numPr>
          <w:ilvl w:val="1"/>
          <w:numId w:val="14"/>
        </w:numPr>
        <w:jc w:val="both"/>
        <w:rPr>
          <w:rFonts w:ascii="Times New Roman" w:hAnsi="Times New Roman"/>
          <w:noProof/>
        </w:rPr>
      </w:pPr>
      <w:r>
        <w:rPr>
          <w:rFonts w:ascii="Times New Roman" w:hAnsi="Times New Roman"/>
          <w:noProof/>
        </w:rPr>
        <w:t>Societal challenges:</w:t>
      </w:r>
    </w:p>
    <w:p>
      <w:pPr>
        <w:pStyle w:val="CM4"/>
        <w:numPr>
          <w:ilvl w:val="2"/>
          <w:numId w:val="14"/>
        </w:numPr>
        <w:jc w:val="both"/>
        <w:rPr>
          <w:rFonts w:ascii="Times New Roman" w:hAnsi="Times New Roman"/>
          <w:noProof/>
        </w:rPr>
      </w:pPr>
      <w:r>
        <w:rPr>
          <w:rFonts w:ascii="Times New Roman" w:hAnsi="Times New Roman"/>
          <w:noProof/>
        </w:rPr>
        <w:t>Food Security, Sustainable Agriculture and Forestry, Marine, Maritime and Inland Water Research and the Bioeconomy;</w:t>
      </w:r>
    </w:p>
    <w:p>
      <w:pPr>
        <w:pStyle w:val="CM4"/>
        <w:numPr>
          <w:ilvl w:val="2"/>
          <w:numId w:val="14"/>
        </w:numPr>
        <w:jc w:val="both"/>
        <w:rPr>
          <w:rFonts w:ascii="Times New Roman" w:hAnsi="Times New Roman"/>
          <w:noProof/>
        </w:rPr>
      </w:pPr>
      <w:r>
        <w:rPr>
          <w:rFonts w:ascii="Times New Roman" w:hAnsi="Times New Roman"/>
          <w:noProof/>
        </w:rPr>
        <w:t>Innovative, Inclusive and Reflective Societies;</w:t>
      </w:r>
    </w:p>
    <w:p>
      <w:pPr>
        <w:pStyle w:val="CM4"/>
        <w:numPr>
          <w:ilvl w:val="2"/>
          <w:numId w:val="14"/>
        </w:numPr>
        <w:jc w:val="both"/>
        <w:rPr>
          <w:rFonts w:ascii="Times New Roman" w:hAnsi="Times New Roman"/>
          <w:noProof/>
        </w:rPr>
      </w:pPr>
      <w:r>
        <w:rPr>
          <w:rFonts w:ascii="Times New Roman" w:hAnsi="Times New Roman"/>
          <w:noProof/>
        </w:rPr>
        <w:t>Secure Societies (partially).</w:t>
      </w:r>
    </w:p>
    <w:p>
      <w:pPr>
        <w:pStyle w:val="CM4"/>
        <w:numPr>
          <w:ilvl w:val="1"/>
          <w:numId w:val="14"/>
        </w:numPr>
        <w:jc w:val="both"/>
        <w:rPr>
          <w:rFonts w:ascii="Times New Roman" w:hAnsi="Times New Roman"/>
          <w:noProof/>
        </w:rPr>
      </w:pPr>
      <w:r>
        <w:rPr>
          <w:rFonts w:ascii="Times New Roman" w:hAnsi="Times New Roman"/>
          <w:noProof/>
        </w:rPr>
        <w:t>Specific objectives:</w:t>
      </w:r>
    </w:p>
    <w:p>
      <w:pPr>
        <w:pStyle w:val="CM4"/>
        <w:numPr>
          <w:ilvl w:val="2"/>
          <w:numId w:val="14"/>
        </w:numPr>
        <w:jc w:val="both"/>
        <w:rPr>
          <w:rFonts w:ascii="Times New Roman" w:hAnsi="Times New Roman"/>
          <w:noProof/>
        </w:rPr>
      </w:pPr>
      <w:r>
        <w:rPr>
          <w:rFonts w:ascii="Times New Roman" w:hAnsi="Times New Roman"/>
          <w:noProof/>
        </w:rPr>
        <w:t>Spreading Excellence and Widening Participation;</w:t>
      </w:r>
    </w:p>
    <w:p>
      <w:pPr>
        <w:pStyle w:val="CM4"/>
        <w:numPr>
          <w:ilvl w:val="2"/>
          <w:numId w:val="14"/>
        </w:numPr>
        <w:ind w:left="2154" w:hanging="357"/>
        <w:jc w:val="both"/>
        <w:rPr>
          <w:rFonts w:ascii="Times New Roman" w:hAnsi="Times New Roman"/>
          <w:noProof/>
        </w:rPr>
      </w:pPr>
      <w:r>
        <w:rPr>
          <w:rFonts w:ascii="Times New Roman" w:hAnsi="Times New Roman"/>
          <w:noProof/>
        </w:rPr>
        <w:t>Science with and for Society.</w:t>
      </w:r>
    </w:p>
    <w:p>
      <w:pPr>
        <w:pStyle w:val="CM4"/>
        <w:ind w:left="720"/>
        <w:jc w:val="both"/>
        <w:rPr>
          <w:rFonts w:ascii="Times New Roman" w:hAnsi="Times New Roman"/>
          <w:noProof/>
        </w:rPr>
      </w:pPr>
    </w:p>
    <w:p>
      <w:pPr>
        <w:pStyle w:val="CM4"/>
        <w:ind w:left="720"/>
        <w:jc w:val="both"/>
        <w:rPr>
          <w:rFonts w:ascii="Times New Roman" w:hAnsi="Times New Roman"/>
          <w:noProof/>
        </w:rPr>
      </w:pPr>
      <w:r>
        <w:rPr>
          <w:rFonts w:ascii="Times New Roman" w:hAnsi="Times New Roman"/>
          <w:noProof/>
        </w:rPr>
        <w:t xml:space="preserve">As of 2018, REA’s </w:t>
      </w:r>
      <w:r>
        <w:rPr>
          <w:rFonts w:ascii="Times New Roman" w:hAnsi="Times New Roman"/>
          <w:b/>
          <w:bCs/>
          <w:noProof/>
        </w:rPr>
        <w:t>mandate was extended</w:t>
      </w:r>
      <w:r>
        <w:rPr>
          <w:rFonts w:ascii="Times New Roman" w:hAnsi="Times New Roman"/>
          <w:noProof/>
        </w:rPr>
        <w:t xml:space="preserve"> to the processing of grants to projects that may generate EU classified information (EUCI), including under the specific objective Secure Societies.</w:t>
      </w:r>
    </w:p>
    <w:p>
      <w:pPr>
        <w:spacing w:after="0" w:line="240" w:lineRule="auto"/>
        <w:rPr>
          <w:rFonts w:ascii="Times New Roman" w:hAnsi="Times New Roman" w:cs="Times New Roman"/>
          <w:noProof/>
          <w:sz w:val="24"/>
          <w:szCs w:val="24"/>
        </w:rPr>
      </w:pPr>
    </w:p>
    <w:p>
      <w:pPr>
        <w:pStyle w:val="CM4"/>
        <w:numPr>
          <w:ilvl w:val="0"/>
          <w:numId w:val="14"/>
        </w:numPr>
        <w:ind w:left="714" w:hanging="357"/>
        <w:jc w:val="both"/>
        <w:rPr>
          <w:rFonts w:ascii="Times New Roman" w:hAnsi="Times New Roman"/>
          <w:noProof/>
        </w:rPr>
      </w:pPr>
      <w:r>
        <w:rPr>
          <w:rFonts w:ascii="Times New Roman" w:hAnsi="Times New Roman"/>
          <w:b/>
          <w:bCs/>
          <w:noProof/>
        </w:rPr>
        <w:t>Research projects</w:t>
      </w:r>
      <w:r>
        <w:rPr>
          <w:rFonts w:ascii="Times New Roman" w:hAnsi="Times New Roman"/>
          <w:noProof/>
        </w:rPr>
        <w:t xml:space="preserve"> of the 7th framework programme</w:t>
      </w:r>
      <w:r>
        <w:rPr>
          <w:noProof/>
        </w:rPr>
        <w:t xml:space="preserve"> </w:t>
      </w:r>
      <w:r>
        <w:rPr>
          <w:rFonts w:ascii="Times New Roman" w:hAnsi="Times New Roman"/>
          <w:noProof/>
        </w:rPr>
        <w:t>for research and innovation (</w:t>
      </w:r>
      <w:hyperlink r:id="rId20" w:history="1">
        <w:r>
          <w:rPr>
            <w:rStyle w:val="Hyperlink"/>
            <w:b/>
            <w:bCs/>
            <w:noProof/>
            <w:color w:val="auto"/>
          </w:rPr>
          <w:t>FP7</w:t>
        </w:r>
      </w:hyperlink>
      <w:r>
        <w:rPr>
          <w:rFonts w:ascii="Times New Roman" w:hAnsi="Times New Roman"/>
          <w:noProof/>
        </w:rPr>
        <w:t>)</w:t>
      </w:r>
      <w:r>
        <w:rPr>
          <w:rFonts w:ascii="Times New Roman" w:hAnsi="Times New Roman"/>
          <w:b/>
          <w:bCs/>
          <w:noProof/>
        </w:rPr>
        <w:t xml:space="preserve">. </w:t>
      </w:r>
      <w:r>
        <w:rPr>
          <w:rFonts w:ascii="Times New Roman" w:hAnsi="Times New Roman"/>
          <w:noProof/>
        </w:rPr>
        <w:t xml:space="preserve">The Agency continues to manage </w:t>
      </w:r>
      <w:r>
        <w:rPr>
          <w:rFonts w:ascii="Times New Roman" w:hAnsi="Times New Roman"/>
          <w:b/>
          <w:bCs/>
          <w:noProof/>
        </w:rPr>
        <w:t>ongoing FP7 research projects</w:t>
      </w:r>
      <w:r>
        <w:rPr>
          <w:rFonts w:ascii="Times New Roman" w:hAnsi="Times New Roman"/>
          <w:noProof/>
        </w:rPr>
        <w:t xml:space="preserve"> in the following areas:</w:t>
      </w:r>
    </w:p>
    <w:p>
      <w:pPr>
        <w:pStyle w:val="CM4"/>
        <w:numPr>
          <w:ilvl w:val="0"/>
          <w:numId w:val="35"/>
        </w:numPr>
        <w:jc w:val="both"/>
        <w:rPr>
          <w:rFonts w:ascii="Times New Roman" w:hAnsi="Times New Roman"/>
          <w:noProof/>
        </w:rPr>
      </w:pPr>
      <w:r>
        <w:rPr>
          <w:rFonts w:ascii="Times New Roman" w:hAnsi="Times New Roman"/>
          <w:noProof/>
        </w:rPr>
        <w:t>Certain programme areas of the specific programme PEOPLE of FP7;</w:t>
      </w:r>
    </w:p>
    <w:p>
      <w:pPr>
        <w:pStyle w:val="CM4"/>
        <w:numPr>
          <w:ilvl w:val="0"/>
          <w:numId w:val="35"/>
        </w:numPr>
        <w:jc w:val="both"/>
        <w:rPr>
          <w:rFonts w:ascii="Times New Roman" w:hAnsi="Times New Roman"/>
          <w:noProof/>
        </w:rPr>
      </w:pPr>
      <w:r>
        <w:rPr>
          <w:rFonts w:ascii="Times New Roman" w:hAnsi="Times New Roman"/>
          <w:noProof/>
        </w:rPr>
        <w:t>The actions research for SMEs and research for SME associations of the specific programme capacities of FP7;</w:t>
      </w:r>
    </w:p>
    <w:p>
      <w:pPr>
        <w:pStyle w:val="CM4"/>
        <w:numPr>
          <w:ilvl w:val="0"/>
          <w:numId w:val="35"/>
        </w:numPr>
        <w:jc w:val="both"/>
        <w:rPr>
          <w:rFonts w:ascii="Times New Roman" w:hAnsi="Times New Roman"/>
          <w:noProof/>
        </w:rPr>
      </w:pPr>
      <w:r>
        <w:rPr>
          <w:rFonts w:ascii="Times New Roman" w:hAnsi="Times New Roman"/>
          <w:noProof/>
        </w:rPr>
        <w:t xml:space="preserve">The theme space of the specific programme cooperation of FP7; </w:t>
      </w:r>
    </w:p>
    <w:p>
      <w:pPr>
        <w:pStyle w:val="CM4"/>
        <w:numPr>
          <w:ilvl w:val="0"/>
          <w:numId w:val="35"/>
        </w:numPr>
        <w:ind w:left="1434" w:hanging="357"/>
        <w:jc w:val="both"/>
        <w:rPr>
          <w:rFonts w:ascii="Times New Roman" w:hAnsi="Times New Roman"/>
          <w:noProof/>
        </w:rPr>
      </w:pPr>
      <w:r>
        <w:rPr>
          <w:rFonts w:ascii="Times New Roman" w:hAnsi="Times New Roman"/>
          <w:noProof/>
        </w:rPr>
        <w:t>The theme security of the specific programme cooperation of FP7 (partially).</w:t>
      </w:r>
    </w:p>
    <w:p>
      <w:pPr>
        <w:pStyle w:val="CM4"/>
        <w:rPr>
          <w:rFonts w:ascii="Times New Roman" w:hAnsi="Times New Roman"/>
          <w:i/>
          <w:noProof/>
          <w:highlight w:val="yellow"/>
        </w:rPr>
      </w:pPr>
    </w:p>
    <w:p>
      <w:pPr>
        <w:pStyle w:val="CM4"/>
        <w:numPr>
          <w:ilvl w:val="0"/>
          <w:numId w:val="14"/>
        </w:numPr>
        <w:ind w:left="714" w:hanging="357"/>
        <w:rPr>
          <w:rFonts w:ascii="Times New Roman" w:hAnsi="Times New Roman"/>
          <w:noProof/>
        </w:rPr>
      </w:pPr>
      <w:r>
        <w:rPr>
          <w:rFonts w:ascii="Times New Roman" w:hAnsi="Times New Roman"/>
          <w:noProof/>
        </w:rPr>
        <w:t xml:space="preserve">In addition, REA was entrusted with </w:t>
      </w:r>
      <w:r>
        <w:rPr>
          <w:rFonts w:ascii="Times New Roman" w:hAnsi="Times New Roman"/>
          <w:b/>
          <w:bCs/>
          <w:noProof/>
        </w:rPr>
        <w:t>administrative and logistical support services</w:t>
      </w:r>
      <w:r>
        <w:rPr>
          <w:rFonts w:ascii="Times New Roman" w:hAnsi="Times New Roman"/>
          <w:noProof/>
        </w:rPr>
        <w:t>:</w:t>
      </w:r>
    </w:p>
    <w:p>
      <w:pPr>
        <w:pStyle w:val="ListParagraph"/>
        <w:numPr>
          <w:ilvl w:val="0"/>
          <w:numId w:val="36"/>
        </w:numPr>
        <w:spacing w:after="0"/>
        <w:ind w:left="1418" w:hanging="425"/>
        <w:rPr>
          <w:noProof/>
        </w:rPr>
      </w:pPr>
      <w:r>
        <w:rPr>
          <w:noProof/>
        </w:rPr>
        <w:t>The Agency runs the support for independent experts evaluating project proposals, including the management of on-site evaluation facilities for most of Horizon 2020 activities and provides services for the legal and financial validation of participants in Horizon 2020 and certain other programmes;</w:t>
      </w:r>
    </w:p>
    <w:p>
      <w:pPr>
        <w:pStyle w:val="ListParagraph"/>
        <w:numPr>
          <w:ilvl w:val="0"/>
          <w:numId w:val="36"/>
        </w:numPr>
        <w:spacing w:after="0"/>
        <w:ind w:left="1417" w:hanging="425"/>
        <w:rPr>
          <w:noProof/>
        </w:rPr>
      </w:pPr>
      <w:r>
        <w:rPr>
          <w:noProof/>
        </w:rPr>
        <w:t xml:space="preserve">As of 2018, in the context of the Commission’s initiatives for synergies and efficiencies between programmes, REA plays a </w:t>
      </w:r>
      <w:r>
        <w:rPr>
          <w:b/>
          <w:bCs/>
          <w:noProof/>
        </w:rPr>
        <w:t xml:space="preserve">major role in the development and roll-out of the </w:t>
      </w:r>
      <w:r>
        <w:rPr>
          <w:noProof/>
        </w:rPr>
        <w:t>Single Electronic Data Interchange Area</w:t>
      </w:r>
      <w:r>
        <w:rPr>
          <w:b/>
          <w:bCs/>
          <w:noProof/>
        </w:rPr>
        <w:t xml:space="preserve"> </w:t>
      </w:r>
      <w:r>
        <w:rPr>
          <w:noProof/>
        </w:rPr>
        <w:t>(</w:t>
      </w:r>
      <w:r>
        <w:rPr>
          <w:bCs/>
          <w:noProof/>
        </w:rPr>
        <w:t>SEDIA</w:t>
      </w:r>
      <w:r>
        <w:rPr>
          <w:noProof/>
        </w:rPr>
        <w:t>) project, building on REA’s participant validation activities supported by the Participant Data Management tool. This entails the legal validation of third parties and the preparation of financial capacity assessments for all the Commission services and executive agencies (which implement grants and procurements under direct management) and the first level of transactions under indirect management</w:t>
      </w:r>
      <w:r>
        <w:rPr>
          <w:rStyle w:val="FootnoteReference"/>
          <w:noProof/>
        </w:rPr>
        <w:footnoteReference w:id="9"/>
      </w:r>
      <w:r>
        <w:rPr>
          <w:noProof/>
        </w:rPr>
        <w:t xml:space="preserve">. </w:t>
      </w:r>
    </w:p>
    <w:p>
      <w:pPr>
        <w:pStyle w:val="CM4"/>
        <w:rPr>
          <w:rFonts w:ascii="Times New Roman" w:hAnsi="Times New Roman"/>
          <w:noProof/>
        </w:rPr>
      </w:pPr>
    </w:p>
    <w:p>
      <w:pPr>
        <w:pStyle w:val="CM4"/>
        <w:rPr>
          <w:rFonts w:ascii="Times New Roman" w:hAnsi="Times New Roman"/>
          <w:noProof/>
        </w:rPr>
      </w:pPr>
      <w:r>
        <w:rPr>
          <w:rFonts w:ascii="Times New Roman" w:hAnsi="Times New Roman"/>
          <w:noProof/>
        </w:rPr>
        <w:t>The Agency has six parent Directorates-General:</w:t>
      </w:r>
    </w:p>
    <w:p>
      <w:pPr>
        <w:pStyle w:val="ListParagraph"/>
        <w:numPr>
          <w:ilvl w:val="0"/>
          <w:numId w:val="12"/>
        </w:numPr>
        <w:spacing w:after="0"/>
        <w:rPr>
          <w:noProof/>
        </w:rPr>
      </w:pPr>
      <w:r>
        <w:rPr>
          <w:noProof/>
        </w:rPr>
        <w:t>Research and Innovation (RTD) – Lead parent DG;</w:t>
      </w:r>
    </w:p>
    <w:p>
      <w:pPr>
        <w:pStyle w:val="ListParagraph"/>
        <w:numPr>
          <w:ilvl w:val="0"/>
          <w:numId w:val="12"/>
        </w:numPr>
        <w:spacing w:after="0"/>
        <w:rPr>
          <w:noProof/>
        </w:rPr>
      </w:pPr>
      <w:r>
        <w:rPr>
          <w:noProof/>
        </w:rPr>
        <w:t>Internal Market, Industry, Entrepreneurship and SMEs (GROW);</w:t>
      </w:r>
      <w:r>
        <w:rPr>
          <w:rStyle w:val="FootnoteReference"/>
          <w:noProof/>
        </w:rPr>
        <w:footnoteReference w:id="10"/>
      </w:r>
    </w:p>
    <w:p>
      <w:pPr>
        <w:pStyle w:val="ListParagraph"/>
        <w:numPr>
          <w:ilvl w:val="0"/>
          <w:numId w:val="12"/>
        </w:numPr>
        <w:spacing w:after="0"/>
        <w:rPr>
          <w:noProof/>
        </w:rPr>
      </w:pPr>
      <w:r>
        <w:rPr>
          <w:noProof/>
        </w:rPr>
        <w:t>Education and Culture (EAC);</w:t>
      </w:r>
    </w:p>
    <w:p>
      <w:pPr>
        <w:pStyle w:val="ListParagraph"/>
        <w:numPr>
          <w:ilvl w:val="0"/>
          <w:numId w:val="12"/>
        </w:numPr>
        <w:spacing w:after="0"/>
        <w:rPr>
          <w:noProof/>
        </w:rPr>
      </w:pPr>
      <w:r>
        <w:rPr>
          <w:noProof/>
        </w:rPr>
        <w:t>Communications Networks, Content and Technology (CNECT);</w:t>
      </w:r>
    </w:p>
    <w:p>
      <w:pPr>
        <w:pStyle w:val="ListParagraph"/>
        <w:numPr>
          <w:ilvl w:val="0"/>
          <w:numId w:val="12"/>
        </w:numPr>
        <w:spacing w:after="0"/>
        <w:rPr>
          <w:noProof/>
        </w:rPr>
      </w:pPr>
      <w:r>
        <w:rPr>
          <w:noProof/>
        </w:rPr>
        <w:t>Agriculture and Rural Development (AGRI);</w:t>
      </w:r>
    </w:p>
    <w:p>
      <w:pPr>
        <w:pStyle w:val="ListParagraph"/>
        <w:numPr>
          <w:ilvl w:val="0"/>
          <w:numId w:val="12"/>
        </w:numPr>
        <w:spacing w:after="0"/>
        <w:rPr>
          <w:noProof/>
        </w:rPr>
      </w:pPr>
      <w:r>
        <w:rPr>
          <w:noProof/>
        </w:rPr>
        <w:t>Migration and Home Affairs (HOME).</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Agency also works closely with the Common Support Centre (CSC), now named the Common Implementation Centre (CIC), administratively part of DG RTD, which provides the framework for harmonised implementation of the EU Research and Innovation (R&amp;I) programmes for entire DGs in the R&amp;I family of implementing bodies, and executive agencies and Joint Undertakings. The CSC is responsible for defining common business processes for grant management, and providing IT, legal, audit and information and data services to the Horizon 2020 implementing bodies.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regard to the tasks delegated in the framework of Horizon 2020 and FP7 legacy, REA performs the following programme implementation tasks:</w:t>
      </w:r>
    </w:p>
    <w:p>
      <w:pPr>
        <w:pStyle w:val="ListParagraph"/>
        <w:numPr>
          <w:ilvl w:val="4"/>
          <w:numId w:val="16"/>
        </w:numPr>
        <w:tabs>
          <w:tab w:val="left" w:pos="426"/>
        </w:tabs>
        <w:spacing w:after="0"/>
        <w:ind w:left="709" w:hanging="284"/>
        <w:rPr>
          <w:noProof/>
        </w:rPr>
      </w:pPr>
      <w:r>
        <w:rPr>
          <w:noProof/>
        </w:rPr>
        <w:t>Manage some or all of the stages in the lifetime of projects of the delegated programmes. In this regard, it is responsible for launching calls for proposals, evaluating proposals and signing grant agreements, monitoring the projects, making the necessary checks and recovery procedures, and for performing budget implementation tasks covering revenue and expenditure within the meaning of Regulation (EU, Euratom) 966/2012;</w:t>
      </w:r>
    </w:p>
    <w:p>
      <w:pPr>
        <w:pStyle w:val="ListParagraph"/>
        <w:numPr>
          <w:ilvl w:val="4"/>
          <w:numId w:val="16"/>
        </w:numPr>
        <w:tabs>
          <w:tab w:val="left" w:pos="426"/>
        </w:tabs>
        <w:spacing w:after="0"/>
        <w:ind w:left="709" w:hanging="283"/>
        <w:rPr>
          <w:noProof/>
        </w:rPr>
      </w:pPr>
      <w:r>
        <w:rPr>
          <w:noProof/>
        </w:rPr>
        <w:t>Perform all the operations required to launch contests and award prizes in accordance with the Regulation (EU, Euratom) 966/2012;</w:t>
      </w:r>
    </w:p>
    <w:p>
      <w:pPr>
        <w:pStyle w:val="ListParagraph"/>
        <w:numPr>
          <w:ilvl w:val="4"/>
          <w:numId w:val="16"/>
        </w:numPr>
        <w:tabs>
          <w:tab w:val="left" w:pos="426"/>
        </w:tabs>
        <w:spacing w:after="0"/>
        <w:ind w:left="709" w:hanging="284"/>
        <w:rPr>
          <w:noProof/>
        </w:rPr>
      </w:pPr>
      <w:r>
        <w:rPr>
          <w:noProof/>
        </w:rPr>
        <w:t>Conclude public procurement procedures and manage the ensuing contracts, including the operations required to launch and conclude public procurement procedures;</w:t>
      </w:r>
    </w:p>
    <w:p>
      <w:pPr>
        <w:pStyle w:val="ListParagraph"/>
        <w:numPr>
          <w:ilvl w:val="4"/>
          <w:numId w:val="16"/>
        </w:numPr>
        <w:tabs>
          <w:tab w:val="left" w:pos="426"/>
        </w:tabs>
        <w:spacing w:after="0"/>
        <w:ind w:left="709" w:hanging="284"/>
        <w:rPr>
          <w:b/>
          <w:bCs/>
          <w:noProof/>
        </w:rPr>
      </w:pPr>
      <w:r>
        <w:rPr>
          <w:noProof/>
        </w:rPr>
        <w:t xml:space="preserve">Provide support in programme implementation. </w:t>
      </w:r>
    </w:p>
    <w:p>
      <w:pPr>
        <w:spacing w:after="0" w:line="240" w:lineRule="auto"/>
        <w:jc w:val="both"/>
        <w:rPr>
          <w:rFonts w:ascii="Times New Roman" w:hAnsi="Times New Roman" w:cs="Times New Roman"/>
          <w:noProof/>
          <w:sz w:val="24"/>
          <w:szCs w:val="24"/>
        </w:rPr>
      </w:pPr>
    </w:p>
    <w:p>
      <w:pPr>
        <w:pStyle w:val="Heading2"/>
        <w:tabs>
          <w:tab w:val="num" w:pos="1200"/>
        </w:tabs>
        <w:ind w:left="1202" w:hanging="720"/>
        <w:rPr>
          <w:noProof/>
        </w:rPr>
      </w:pPr>
      <w:bookmarkStart w:id="7" w:name="_Toc10796305"/>
      <w:r>
        <w:rPr>
          <w:noProof/>
        </w:rPr>
        <w:t>2.2 Baseline and points of comparison</w:t>
      </w:r>
      <w:bookmarkEnd w:id="7"/>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evaluation of REA operations during 2015-2018 assesses </w:t>
      </w:r>
      <w:r>
        <w:rPr>
          <w:rFonts w:ascii="Times New Roman" w:hAnsi="Times New Roman" w:cs="Times New Roman"/>
          <w:noProof/>
          <w:color w:val="000000"/>
          <w:sz w:val="24"/>
          <w:szCs w:val="24"/>
        </w:rPr>
        <w:t xml:space="preserve">the actual costs and benefits of programme implementation by REA (executive agency scenario) when compared with the alternative scenario of </w:t>
      </w:r>
      <w:r>
        <w:rPr>
          <w:rFonts w:ascii="Times New Roman" w:hAnsi="Times New Roman" w:cs="Times New Roman"/>
          <w:noProof/>
          <w:sz w:val="24"/>
          <w:szCs w:val="24"/>
        </w:rPr>
        <w:t>management by the Commission services (in-house scenario).</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the reference point for the present REA evaluation is the 2013 </w:t>
      </w:r>
      <w:r>
        <w:rPr>
          <w:rFonts w:ascii="Times New Roman" w:hAnsi="Times New Roman"/>
          <w:i/>
          <w:noProof/>
          <w:sz w:val="24"/>
        </w:rPr>
        <w:t>ex ante</w:t>
      </w:r>
      <w:r>
        <w:rPr>
          <w:rFonts w:ascii="Times New Roman" w:hAnsi="Times New Roman" w:cs="Times New Roman"/>
          <w:noProof/>
          <w:sz w:val="24"/>
          <w:szCs w:val="24"/>
        </w:rPr>
        <w:t xml:space="preserve"> Cost-benefit analysis, and the specific financial statement</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(SFS) of REA.</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Wherever possible, the analysis of the performance of REA during the period of reference assesses the progress compared to the two previous evaluations, covering the Agency’s operations during 2009-2012 and 2012-2015. The current evaluation covers the period between the beginning of the second half of 2015 and the end of the first half of 2018. However, wherever possible and relevant, and provided that all the necessary data was available,</w:t>
      </w:r>
      <w:r>
        <w:rPr>
          <w:noProof/>
        </w:rPr>
        <w:t xml:space="preserve"> </w:t>
      </w:r>
      <w:r>
        <w:rPr>
          <w:rFonts w:ascii="Times New Roman" w:hAnsi="Times New Roman" w:cs="Times New Roman"/>
          <w:noProof/>
          <w:sz w:val="24"/>
          <w:szCs w:val="24"/>
        </w:rPr>
        <w:t>the analysis was extended to include the whole of 2015 and, at times, 2014.</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 the period 2009-2013 the savings resulting from the delegation of tasks to REA have been evaluated at approximately EUR 106 million compared to the in-house scenario. </w:t>
      </w:r>
    </w:p>
    <w:p>
      <w:pPr>
        <w:spacing w:after="0" w:line="240" w:lineRule="auto"/>
        <w:jc w:val="both"/>
        <w:rPr>
          <w:rFonts w:ascii="Times New Roman" w:hAnsi="Times New Roman" w:cs="Times New Roman"/>
          <w:noProof/>
          <w:sz w:val="24"/>
          <w:szCs w:val="24"/>
        </w:rPr>
      </w:pPr>
    </w:p>
    <w:p>
      <w:pPr>
        <w:spacing w:after="0" w:line="240" w:lineRule="auto"/>
        <w:jc w:val="both"/>
        <w:rPr>
          <w:noProof/>
          <w:szCs w:val="24"/>
        </w:rPr>
      </w:pPr>
      <w:r>
        <w:rPr>
          <w:rFonts w:ascii="Times New Roman" w:hAnsi="Times New Roman" w:cs="Times New Roman"/>
          <w:noProof/>
          <w:sz w:val="24"/>
          <w:szCs w:val="24"/>
        </w:rPr>
        <w:t>According to the SFS of REA prepared in 2013 the estimated efficiency gains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were of EUR 80 million over the period 2015-2018. The total number of full time equivalents (FTEs) required to manage the relevant programmes in year 2020, the peak programming year in terms of workload, was estimated at 793 for REA. The total estimated operational budget entrusted to REA in 2020 is around EUR 2 511,382 million in commitment appropriations and EUR 2 188,754 million in payment appropriations. Considerable efficiency gains were expected as compared to the in-house scenario over the period, along with non-quantifiable benefits such as improved quality of programme management and service delivery, improved visibility of the EU programmes and proximity to beneficiaries.</w:t>
      </w:r>
    </w:p>
    <w:p>
      <w:pPr>
        <w:spacing w:after="0" w:line="240" w:lineRule="auto"/>
        <w:jc w:val="both"/>
        <w:rPr>
          <w:rFonts w:ascii="Times New Roman" w:hAnsi="Times New Roman" w:cs="Times New Roman"/>
          <w:noProof/>
          <w:sz w:val="24"/>
          <w:szCs w:val="24"/>
        </w:rPr>
      </w:pPr>
    </w:p>
    <w:p>
      <w:pPr>
        <w:pStyle w:val="Heading1"/>
        <w:numPr>
          <w:ilvl w:val="0"/>
          <w:numId w:val="21"/>
        </w:numPr>
        <w:spacing w:before="360"/>
        <w:ind w:left="482" w:hanging="482"/>
        <w:rPr>
          <w:noProof/>
        </w:rPr>
      </w:pPr>
      <w:bookmarkStart w:id="8" w:name="_Toc486524620"/>
      <w:bookmarkStart w:id="9" w:name="_Toc10796306"/>
      <w:r>
        <w:rPr>
          <w:noProof/>
        </w:rPr>
        <w:t>Implementation</w:t>
      </w:r>
      <w:bookmarkEnd w:id="8"/>
      <w:r>
        <w:rPr>
          <w:noProof/>
        </w:rPr>
        <w:t>/State of play</w:t>
      </w:r>
      <w:bookmarkEnd w:id="9"/>
    </w:p>
    <w:p>
      <w:pPr>
        <w:pStyle w:val="CM4"/>
        <w:jc w:val="both"/>
        <w:rPr>
          <w:rFonts w:ascii="Times New Roman" w:hAnsi="Times New Roman"/>
          <w:noProof/>
        </w:rPr>
      </w:pPr>
      <w:r>
        <w:rPr>
          <w:noProof/>
        </w:rPr>
        <w:t>The Agency’s mandate was extended by the Commission Implementing Decision No 2013/</w:t>
      </w:r>
      <w:r>
        <w:rPr>
          <w:rFonts w:ascii="Times New Roman" w:hAnsi="Times New Roman"/>
          <w:noProof/>
          <w:szCs w:val="20"/>
        </w:rPr>
        <w:t>778</w:t>
      </w:r>
      <w:r>
        <w:rPr>
          <w:noProof/>
        </w:rPr>
        <w:t xml:space="preserve">/EU, which came into effect on 1 January 2014. </w:t>
      </w:r>
      <w:r>
        <w:rPr>
          <w:rFonts w:ascii="Times New Roman" w:hAnsi="Times New Roman"/>
          <w:noProof/>
        </w:rPr>
        <w:t>Based on its renewed mandate, REA implemented large parts of the Horizon 2020 programme and the FP7 actions delegated to the Agency under its first mandate. In addition, REA was also mandated to provide administrative and logistical support services to all entities involved in Horizon 2020 management and the provision of participant validation services for a variety of programmes. As of 1 January 2018, REA plays an important role in the SEDIA project as detailed under point 2.1.</w:t>
      </w:r>
    </w:p>
    <w:p>
      <w:pPr>
        <w:pStyle w:val="CM4"/>
        <w:jc w:val="both"/>
        <w:rPr>
          <w:rFonts w:ascii="Times New Roman" w:hAnsi="Times New Roman"/>
          <w:noProof/>
        </w:rPr>
      </w:pPr>
    </w:p>
    <w:p>
      <w:pPr>
        <w:spacing w:after="0" w:line="240" w:lineRule="auto"/>
        <w:jc w:val="both"/>
        <w:rPr>
          <w:rFonts w:ascii="Times New Roman" w:eastAsia="Arial Unicode MS" w:hAnsi="Times New Roman" w:cs="Arial Unicode MS"/>
          <w:noProof/>
          <w:color w:val="000000"/>
          <w:sz w:val="24"/>
          <w:szCs w:val="24"/>
          <w:u w:color="000000"/>
          <w:bdr w:val="nil"/>
          <w:lang w:val="en-US"/>
        </w:rPr>
      </w:pPr>
      <w:r>
        <w:rPr>
          <w:rFonts w:ascii="Times New Roman" w:eastAsia="Arial Unicode MS" w:hAnsi="Times New Roman" w:cs="Arial Unicode MS"/>
          <w:noProof/>
          <w:color w:val="000000"/>
          <w:sz w:val="24"/>
          <w:szCs w:val="24"/>
          <w:u w:color="000000"/>
          <w:bdr w:val="nil"/>
          <w:lang w:val="en-US"/>
        </w:rPr>
        <w:t>The governance of the Agency remained the same at the start of the new mandate and was adjusted in 2016 when DG HOME joined the REA Steering Committee as a new parent DG. A new Memorandum of Understanding (MoU)</w:t>
      </w:r>
      <w:r>
        <w:rPr>
          <w:rFonts w:ascii="Times New Roman" w:eastAsia="Times New Roman" w:hAnsi="Times New Roman" w:cs="Times New Roman"/>
          <w:noProof/>
          <w:color w:val="000000"/>
          <w:sz w:val="20"/>
          <w:szCs w:val="20"/>
          <w:u w:color="000000"/>
          <w:bdr w:val="nil"/>
          <w:vertAlign w:val="superscript"/>
          <w:lang w:val="en-US"/>
        </w:rPr>
        <w:footnoteReference w:id="13"/>
      </w:r>
      <w:r>
        <w:rPr>
          <w:rFonts w:ascii="Times New Roman" w:eastAsia="Arial Unicode MS" w:hAnsi="Times New Roman" w:cs="Arial Unicode MS"/>
          <w:noProof/>
          <w:color w:val="000000"/>
          <w:sz w:val="24"/>
          <w:szCs w:val="24"/>
          <w:u w:color="000000"/>
          <w:bdr w:val="nil"/>
          <w:lang w:val="en-US"/>
        </w:rPr>
        <w:t xml:space="preserve"> between REA and its parent DGs</w:t>
      </w:r>
      <w:r>
        <w:rPr>
          <w:rFonts w:ascii="Times New Roman" w:eastAsia="Times New Roman" w:hAnsi="Times New Roman" w:cs="Times New Roman"/>
          <w:noProof/>
          <w:color w:val="000000"/>
          <w:sz w:val="20"/>
          <w:szCs w:val="20"/>
          <w:u w:color="000000"/>
          <w:bdr w:val="nil"/>
          <w:vertAlign w:val="superscript"/>
          <w:lang w:val="en-US"/>
        </w:rPr>
        <w:t xml:space="preserve"> </w:t>
      </w:r>
      <w:r>
        <w:rPr>
          <w:rFonts w:ascii="Times New Roman" w:eastAsia="Arial Unicode MS" w:hAnsi="Times New Roman" w:cs="Arial Unicode MS"/>
          <w:noProof/>
          <w:color w:val="000000"/>
          <w:sz w:val="24"/>
          <w:szCs w:val="24"/>
          <w:u w:color="000000"/>
          <w:bdr w:val="nil"/>
          <w:lang w:val="en-US"/>
        </w:rPr>
        <w:t xml:space="preserve">was concluded in 2014 and further adjusted in 2016. The MoU defined the modalities and procedures of interaction between REA and its parent DGs in view of the implementation of Horizon 2020 (and legacy of FP7) by the Agency. The distribution of tasks and responsibilities, as presented in the MoU, is included in </w:t>
      </w:r>
      <w:r>
        <w:rPr>
          <w:rFonts w:ascii="Times New Roman" w:eastAsia="Arial Unicode MS" w:hAnsi="Times New Roman" w:cs="Arial Unicode MS"/>
          <w:noProof/>
          <w:color w:val="000000"/>
          <w:sz w:val="24"/>
          <w:szCs w:val="24"/>
          <w:u w:color="000000"/>
          <w:bdr w:val="nil"/>
        </w:rPr>
        <w:t>s</w:t>
      </w:r>
      <w:r>
        <w:rPr>
          <w:rFonts w:ascii="Times New Roman" w:eastAsia="Arial Unicode MS" w:hAnsi="Times New Roman" w:cs="Arial Unicode MS"/>
          <w:noProof/>
          <w:color w:val="000000"/>
          <w:sz w:val="24"/>
          <w:szCs w:val="24"/>
          <w:u w:color="000000"/>
          <w:bdr w:val="nil"/>
          <w:lang w:val="en-US"/>
        </w:rPr>
        <w:t>ections 5.1 and 5.3</w:t>
      </w:r>
      <w:r>
        <w:rPr>
          <w:rFonts w:ascii="Times New Roman" w:eastAsia="Arial Unicode MS" w:hAnsi="Times New Roman" w:cs="Arial Unicode MS"/>
          <w:noProof/>
          <w:color w:val="000000"/>
          <w:sz w:val="24"/>
          <w:szCs w:val="24"/>
          <w:u w:color="000000"/>
          <w:bdr w:val="nil"/>
        </w:rPr>
        <w:t xml:space="preserve"> of this document</w:t>
      </w:r>
      <w:r>
        <w:rPr>
          <w:rFonts w:ascii="Times New Roman" w:eastAsia="Arial Unicode MS" w:hAnsi="Times New Roman" w:cs="Arial Unicode MS"/>
          <w:noProof/>
          <w:color w:val="000000"/>
          <w:sz w:val="24"/>
          <w:szCs w:val="24"/>
          <w:u w:color="000000"/>
          <w:bdr w:val="nil"/>
          <w:lang w:val="en-US"/>
        </w:rPr>
        <w:t>. Compared to this reference, this evaluation assessed whether this distribution of roles has been respected for the 2015-2018 period, and the effects of the intervention on the coherence and the efficiency of REA’s action.</w:t>
      </w:r>
    </w:p>
    <w:p>
      <w:pPr>
        <w:pStyle w:val="CM4"/>
        <w:jc w:val="both"/>
        <w:rPr>
          <w:rFonts w:ascii="Times New Roman" w:hAnsi="Times New Roman"/>
          <w:noProof/>
        </w:rPr>
      </w:pPr>
    </w:p>
    <w:p>
      <w:pPr>
        <w:pStyle w:val="CM4"/>
        <w:jc w:val="both"/>
        <w:rPr>
          <w:rFonts w:ascii="Times New Roman" w:hAnsi="Times New Roman"/>
          <w:noProof/>
        </w:rPr>
      </w:pPr>
      <w:r>
        <w:rPr>
          <w:rFonts w:ascii="Times New Roman" w:hAnsi="Times New Roman"/>
          <w:noProof/>
        </w:rPr>
        <w:t>The operational budget managed by REA ranged between EUR 1 520 - 2 010 million (in terms of commitments) and between around EUR 1 420 - 1 700 million (in terms of payments) per year during the period 2015-2017. On average, REA’s staff managed an increasing volume of the operational budget during this period, primarily because the growing volume of the operational budget outpaced the increase in the number of the Agency’s operational staff (i.e. REA’s staff minus staff working in the central support services).</w:t>
      </w:r>
    </w:p>
    <w:p>
      <w:pPr>
        <w:pStyle w:val="CM4"/>
        <w:jc w:val="both"/>
        <w:rPr>
          <w:rFonts w:ascii="Times New Roman" w:hAnsi="Times New Roman"/>
          <w:noProof/>
        </w:rPr>
      </w:pPr>
    </w:p>
    <w:p>
      <w:pPr>
        <w:pStyle w:val="CM4"/>
        <w:jc w:val="both"/>
        <w:rPr>
          <w:rFonts w:ascii="Times New Roman" w:hAnsi="Times New Roman"/>
          <w:noProof/>
        </w:rPr>
      </w:pPr>
      <w:r>
        <w:rPr>
          <w:rFonts w:ascii="Times New Roman" w:hAnsi="Times New Roman"/>
          <w:noProof/>
        </w:rPr>
        <w:t>The annual number of proposals received at REA fluctuated around 15 000 between 2015 and 2017 and the total number of running projects decreased from 7 020 in 2015 to 6 420 in 2017. On the other hand, the budget per operational head (in commitments) increased from EUR 3.03 million in 2015 to EUR 3.54 million in 2017. During the reference period, the actual workload of REA was higher than estimated in the 2013 CBA due to a higher than expected number of new Horizon 2020 grants. This also increased the workload of monitoring project implementation.</w:t>
      </w:r>
    </w:p>
    <w:p>
      <w:pPr>
        <w:pStyle w:val="CM4"/>
        <w:jc w:val="both"/>
        <w:rPr>
          <w:rFonts w:ascii="Times New Roman" w:hAnsi="Times New Roman"/>
          <w:noProof/>
        </w:rPr>
      </w:pPr>
    </w:p>
    <w:p>
      <w:pPr>
        <w:pStyle w:val="CM4"/>
        <w:jc w:val="both"/>
        <w:rPr>
          <w:rFonts w:ascii="Times New Roman" w:hAnsi="Times New Roman"/>
          <w:noProof/>
        </w:rPr>
      </w:pPr>
      <w:r>
        <w:rPr>
          <w:rFonts w:ascii="Times New Roman" w:hAnsi="Times New Roman"/>
          <w:noProof/>
        </w:rPr>
        <w:t xml:space="preserve">REA gradually grew in size </w:t>
      </w:r>
      <w:r>
        <w:rPr>
          <w:rFonts w:ascii="Times New Roman" w:eastAsia="Calibri" w:hAnsi="Times New Roman"/>
          <w:noProof/>
        </w:rPr>
        <w:t xml:space="preserve">in accordance with the multi-annual planning stated in the SFS </w:t>
      </w:r>
      <w:r>
        <w:rPr>
          <w:rFonts w:ascii="Times New Roman" w:hAnsi="Times New Roman"/>
          <w:noProof/>
        </w:rPr>
        <w:t>and was the largest Executive Agency in 2018 with 735 actual staff members</w:t>
      </w:r>
      <w:r>
        <w:rPr>
          <w:rStyle w:val="FootnoteReference"/>
          <w:rFonts w:ascii="Times New Roman" w:hAnsi="Times New Roman"/>
          <w:noProof/>
        </w:rPr>
        <w:footnoteReference w:id="14"/>
      </w:r>
      <w:r>
        <w:rPr>
          <w:rFonts w:ascii="Times New Roman" w:hAnsi="Times New Roman"/>
          <w:noProof/>
        </w:rPr>
        <w:t>. The Agency is based in Brussels.</w:t>
      </w:r>
    </w:p>
    <w:p>
      <w:pPr>
        <w:pStyle w:val="Body"/>
        <w:spacing w:after="0"/>
        <w:jc w:val="both"/>
        <w:rPr>
          <w:rFonts w:ascii="Times New Roman" w:hAnsi="Times New Roman"/>
          <w:noProof/>
          <w:sz w:val="24"/>
          <w:szCs w:val="24"/>
        </w:rPr>
      </w:pPr>
      <w:r>
        <w:rPr>
          <w:rFonts w:ascii="Times New Roman" w:hAnsi="Times New Roman"/>
          <w:noProof/>
          <w:sz w:val="24"/>
          <w:szCs w:val="24"/>
          <w:lang w:val="en-GB"/>
        </w:rPr>
        <w:t>A</w:t>
      </w:r>
      <w:r>
        <w:rPr>
          <w:rFonts w:ascii="Times New Roman" w:hAnsi="Times New Roman"/>
          <w:noProof/>
          <w:sz w:val="24"/>
          <w:szCs w:val="24"/>
        </w:rPr>
        <w:t xml:space="preserve"> series of organisational and procedural changes took place during the implementation of the Horizon 2020 programme under the multiannual financial framework (MFF) of 2014-2020:</w:t>
      </w:r>
    </w:p>
    <w:p>
      <w:pPr>
        <w:pStyle w:val="Body"/>
        <w:numPr>
          <w:ilvl w:val="0"/>
          <w:numId w:val="41"/>
        </w:numPr>
        <w:spacing w:after="0"/>
        <w:jc w:val="both"/>
        <w:rPr>
          <w:rFonts w:ascii="Times New Roman" w:eastAsia="Times New Roman" w:hAnsi="Times New Roman" w:cs="Times New Roman"/>
          <w:noProof/>
          <w:sz w:val="24"/>
          <w:szCs w:val="24"/>
        </w:rPr>
      </w:pPr>
      <w:r>
        <w:rPr>
          <w:rFonts w:ascii="Times New Roman" w:hAnsi="Times New Roman"/>
          <w:noProof/>
          <w:sz w:val="24"/>
          <w:szCs w:val="24"/>
        </w:rPr>
        <w:t>Delegation of the management of additional activities and objectives, as detailed under point 2.1 above, and as a consequence new tasks for the Agency;</w:t>
      </w:r>
    </w:p>
    <w:p>
      <w:pPr>
        <w:pStyle w:val="Body"/>
        <w:numPr>
          <w:ilvl w:val="0"/>
          <w:numId w:val="41"/>
        </w:numPr>
        <w:spacing w:after="0"/>
        <w:jc w:val="both"/>
        <w:rPr>
          <w:rFonts w:ascii="Times New Roman" w:eastAsia="Times New Roman" w:hAnsi="Times New Roman" w:cs="Times New Roman"/>
          <w:noProof/>
          <w:sz w:val="24"/>
          <w:szCs w:val="24"/>
        </w:rPr>
      </w:pPr>
      <w:r>
        <w:rPr>
          <w:rFonts w:ascii="Times New Roman" w:hAnsi="Times New Roman"/>
          <w:noProof/>
          <w:sz w:val="24"/>
          <w:szCs w:val="24"/>
        </w:rPr>
        <w:t>Further simplification and improvement of grant management processes and procedures, notably electronic submission of proposals, due to the adoption of new business processes and use of the Commissions Horizon 2020 IT tools and systems (i.e. Compass and SyGMa);</w:t>
      </w:r>
    </w:p>
    <w:p>
      <w:pPr>
        <w:pStyle w:val="Body"/>
        <w:numPr>
          <w:ilvl w:val="0"/>
          <w:numId w:val="41"/>
        </w:numPr>
        <w:spacing w:after="0"/>
        <w:jc w:val="both"/>
        <w:rPr>
          <w:rFonts w:ascii="Times New Roman" w:eastAsia="Times New Roman" w:hAnsi="Times New Roman" w:cs="Times New Roman"/>
          <w:noProof/>
          <w:sz w:val="24"/>
          <w:szCs w:val="24"/>
        </w:rPr>
      </w:pPr>
      <w:r>
        <w:rPr>
          <w:rFonts w:ascii="Times New Roman" w:hAnsi="Times New Roman"/>
          <w:noProof/>
          <w:sz w:val="24"/>
          <w:szCs w:val="24"/>
        </w:rPr>
        <w:t>The adoption of the multiannual human resource (HR) strategy for 2017-2020 to address the findings of the 2016 staff opinion survey. Based on this new strategy and in combination with a dedicated action plan addressing attention points identified through the survey, the Agency implemented specific measures related to staff engagement, internal communication, career development opportunities, work and private life balance and training, meant to improve effective HR management and increase the effectiveness and flexibility of the Agency’s operations.</w:t>
      </w:r>
    </w:p>
    <w:p>
      <w:pPr>
        <w:spacing w:after="0" w:line="240" w:lineRule="auto"/>
        <w:rPr>
          <w:rFonts w:ascii="Times New Roman" w:eastAsia="Times New Roman" w:hAnsi="Times New Roman" w:cs="Times New Roman"/>
          <w:noProof/>
          <w:sz w:val="24"/>
          <w:szCs w:val="24"/>
        </w:rPr>
      </w:pPr>
    </w:p>
    <w:p>
      <w:pPr>
        <w:pStyle w:val="Heading1"/>
        <w:numPr>
          <w:ilvl w:val="0"/>
          <w:numId w:val="21"/>
        </w:numPr>
        <w:spacing w:before="360"/>
        <w:ind w:left="482" w:hanging="482"/>
        <w:rPr>
          <w:noProof/>
        </w:rPr>
      </w:pPr>
      <w:bookmarkStart w:id="10" w:name="_Toc486524621"/>
      <w:bookmarkStart w:id="11" w:name="_Toc10796307"/>
      <w:r>
        <w:rPr>
          <w:noProof/>
        </w:rPr>
        <w:t>Method</w:t>
      </w:r>
      <w:bookmarkEnd w:id="10"/>
      <w:bookmarkEnd w:id="11"/>
    </w:p>
    <w:p>
      <w:pPr>
        <w:pStyle w:val="Heading2"/>
        <w:ind w:left="482"/>
        <w:rPr>
          <w:noProof/>
          <w:szCs w:val="24"/>
        </w:rPr>
      </w:pPr>
      <w:bookmarkStart w:id="12" w:name="_Toc10796308"/>
      <w:r>
        <w:rPr>
          <w:noProof/>
        </w:rPr>
        <w:t xml:space="preserve">4.1 </w:t>
      </w:r>
      <w:r>
        <w:rPr>
          <w:rStyle w:val="Heading2Char"/>
          <w:b/>
          <w:noProof/>
        </w:rPr>
        <w:t>Short description of methodology</w:t>
      </w:r>
      <w:bookmarkEnd w:id="12"/>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cs="Times New Roman"/>
          <w:noProof/>
          <w:sz w:val="24"/>
          <w:szCs w:val="24"/>
        </w:rPr>
        <w:t>The evaluation was supported by a study carried out by external contractors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t>
      </w:r>
      <w:r>
        <w:rPr>
          <w:rFonts w:ascii="Times New Roman" w:hAnsi="Times New Roman"/>
          <w:noProof/>
          <w:sz w:val="24"/>
          <w:szCs w:val="24"/>
        </w:rPr>
        <w:t>The methodology of the REA evaluation was consistent with the approaches employed for similar parallel evaluations of ERCEA, EACEA, INEA, EASME and CHAFEA, and built on the previous evaluation of REA operations during 2012-2015. Whenever possible, data was collected and the analysis extended to also cover 2014, the whole of 2015 and the whole of 2018, even if formally outside the evaluation timeframe. Specific methodological approaches were used for each of the evaluation tasks (Regulatory framework, REA mission and governance; REA performance between 2015-2018, including effectiveness, efficiency and coherence; the Cost Benefit Analysis and Conclusions and Policy Recommendations) to ensure data triangulation (confirmation from different sources). The study was structured around a series of evaluation questions available in Annex.</w:t>
      </w:r>
    </w:p>
    <w:p>
      <w:pPr>
        <w:pStyle w:val="CM4"/>
        <w:jc w:val="both"/>
        <w:rPr>
          <w:rFonts w:ascii="Times New Roman" w:hAnsi="Times New Roman"/>
          <w:noProof/>
        </w:rPr>
      </w:pPr>
    </w:p>
    <w:p>
      <w:pPr>
        <w:pStyle w:val="CM4"/>
        <w:jc w:val="both"/>
        <w:rPr>
          <w:rFonts w:ascii="Times New Roman" w:hAnsi="Times New Roman"/>
          <w:noProof/>
        </w:rPr>
      </w:pPr>
      <w:r>
        <w:rPr>
          <w:rFonts w:ascii="Times New Roman" w:hAnsi="Times New Roman"/>
          <w:noProof/>
        </w:rPr>
        <w:t>The evaluation relied on the evidence gathered and analysed using qualitative and quantitative methods and included:</w:t>
      </w:r>
    </w:p>
    <w:p>
      <w:pPr>
        <w:pStyle w:val="ListParagraph"/>
        <w:numPr>
          <w:ilvl w:val="0"/>
          <w:numId w:val="42"/>
        </w:numPr>
        <w:spacing w:after="0"/>
        <w:rPr>
          <w:noProof/>
        </w:rPr>
      </w:pPr>
      <w:r>
        <w:rPr>
          <w:b/>
          <w:bCs/>
          <w:noProof/>
        </w:rPr>
        <w:t>an extensive documentary review and desk research</w:t>
      </w:r>
      <w:r>
        <w:rPr>
          <w:noProof/>
        </w:rPr>
        <w:t xml:space="preserve"> of REA and Commission documents, including Annual Work Programmes and Annual Activity Reports, audit reports and related documents, CBA studies and other financial documents, the Memorandum of Understanding</w:t>
      </w:r>
      <w:r>
        <w:rPr>
          <w:rStyle w:val="FootnoteReference"/>
          <w:noProof/>
        </w:rPr>
        <w:footnoteReference w:id="16"/>
      </w:r>
      <w:r>
        <w:rPr>
          <w:noProof/>
        </w:rPr>
        <w:t xml:space="preserve"> (MoU), previous evaluations and action plans addressing the ensuing recommendations; the evaluation relied also on the results of the 2016 staff </w:t>
      </w:r>
      <w:r>
        <w:rPr>
          <w:noProof/>
          <w:szCs w:val="24"/>
        </w:rPr>
        <w:t xml:space="preserve">opinion </w:t>
      </w:r>
      <w:r>
        <w:rPr>
          <w:noProof/>
        </w:rPr>
        <w:t>survey;</w:t>
      </w:r>
    </w:p>
    <w:p>
      <w:pPr>
        <w:pStyle w:val="ListParagraph"/>
        <w:numPr>
          <w:ilvl w:val="0"/>
          <w:numId w:val="42"/>
        </w:numPr>
        <w:spacing w:after="0"/>
        <w:rPr>
          <w:noProof/>
        </w:rPr>
      </w:pPr>
      <w:r>
        <w:rPr>
          <w:b/>
          <w:noProof/>
        </w:rPr>
        <w:t>31</w:t>
      </w:r>
      <w:r>
        <w:rPr>
          <w:noProof/>
        </w:rPr>
        <w:t xml:space="preserve"> semi-structured in-depth </w:t>
      </w:r>
      <w:r>
        <w:rPr>
          <w:b/>
          <w:bCs/>
          <w:noProof/>
        </w:rPr>
        <w:t>interviews</w:t>
      </w:r>
      <w:r>
        <w:rPr>
          <w:noProof/>
        </w:rPr>
        <w:t xml:space="preserve"> with Commission staff and REA staff, including: members of the REA Steering Committee; selected Commission staff in the parent DGs/mirror units; the Director of REA &amp; heads of department; heads of unit/representatives of the operational units; heads of unit/representatives of units of the Administrative Department; Representatives of the REA Staff Committee, other employees;</w:t>
      </w:r>
    </w:p>
    <w:p>
      <w:pPr>
        <w:pStyle w:val="ListParagraph"/>
        <w:numPr>
          <w:ilvl w:val="0"/>
          <w:numId w:val="42"/>
        </w:numPr>
        <w:spacing w:after="0"/>
        <w:rPr>
          <w:noProof/>
        </w:rPr>
      </w:pPr>
      <w:r>
        <w:rPr>
          <w:b/>
          <w:noProof/>
        </w:rPr>
        <w:t>15</w:t>
      </w:r>
      <w:r>
        <w:rPr>
          <w:noProof/>
        </w:rPr>
        <w:t xml:space="preserve"> </w:t>
      </w:r>
      <w:r>
        <w:rPr>
          <w:b/>
          <w:bCs/>
          <w:noProof/>
        </w:rPr>
        <w:t>interviews</w:t>
      </w:r>
      <w:r>
        <w:rPr>
          <w:noProof/>
        </w:rPr>
        <w:t xml:space="preserve"> with beneficiaries of different programmes (including MSCA, Societal Challenges, Industrial Leadership, and Specific Objectives), funding instruments, and organisation types (i.e. higher education institutions, public research organisations, small and medium enterprises);</w:t>
      </w:r>
    </w:p>
    <w:p>
      <w:pPr>
        <w:pStyle w:val="ListParagraph"/>
        <w:numPr>
          <w:ilvl w:val="0"/>
          <w:numId w:val="42"/>
        </w:numPr>
        <w:spacing w:after="0"/>
        <w:rPr>
          <w:noProof/>
        </w:rPr>
      </w:pPr>
      <w:r>
        <w:rPr>
          <w:b/>
          <w:bCs/>
          <w:noProof/>
        </w:rPr>
        <w:t>3 surveys</w:t>
      </w:r>
      <w:r>
        <w:rPr>
          <w:noProof/>
        </w:rPr>
        <w:t xml:space="preserve"> addressing the REA’s beneficiaries (652 answers or 10.5% response rate), unsuccessful applicants (306 answers or 6.1% response rate), experts (2470 answers or 39.7% response rate) and of Commission staff (50 answers or 59.5% response rate)</w:t>
      </w:r>
      <w:r>
        <w:rPr>
          <w:rStyle w:val="FootnoteReference"/>
          <w:noProof/>
        </w:rPr>
        <w:footnoteReference w:id="17"/>
      </w:r>
      <w:r>
        <w:rPr>
          <w:noProof/>
        </w:rPr>
        <w:t xml:space="preserve">; </w:t>
      </w:r>
    </w:p>
    <w:p>
      <w:pPr>
        <w:pStyle w:val="ListParagraph"/>
        <w:numPr>
          <w:ilvl w:val="0"/>
          <w:numId w:val="42"/>
        </w:numPr>
        <w:spacing w:after="0"/>
        <w:rPr>
          <w:noProof/>
        </w:rPr>
      </w:pPr>
      <w:r>
        <w:rPr>
          <w:noProof/>
        </w:rPr>
        <w:t xml:space="preserve">a retrospective </w:t>
      </w:r>
      <w:r>
        <w:rPr>
          <w:b/>
          <w:bCs/>
          <w:noProof/>
        </w:rPr>
        <w:t>cost–benefit analysis</w:t>
      </w:r>
      <w:r>
        <w:rPr>
          <w:noProof/>
        </w:rPr>
        <w:t>;</w:t>
      </w:r>
    </w:p>
    <w:p>
      <w:pPr>
        <w:pStyle w:val="ListParagraph"/>
        <w:numPr>
          <w:ilvl w:val="0"/>
          <w:numId w:val="42"/>
        </w:numPr>
        <w:spacing w:after="0"/>
        <w:rPr>
          <w:noProof/>
        </w:rPr>
      </w:pPr>
      <w:r>
        <w:rPr>
          <w:noProof/>
        </w:rPr>
        <w:t xml:space="preserve">a </w:t>
      </w:r>
      <w:r>
        <w:rPr>
          <w:b/>
          <w:bCs/>
          <w:noProof/>
        </w:rPr>
        <w:t>focus group</w:t>
      </w:r>
      <w:r>
        <w:rPr>
          <w:noProof/>
        </w:rPr>
        <w:t xml:space="preserve"> meeting with representatives of REA and Commission staff (including the Common Support Centre), to validate the draft conclusions and recommendations of the evaluation;</w:t>
      </w:r>
    </w:p>
    <w:p>
      <w:pPr>
        <w:pStyle w:val="ListParagraph"/>
        <w:numPr>
          <w:ilvl w:val="0"/>
          <w:numId w:val="42"/>
        </w:numPr>
        <w:spacing w:after="0"/>
        <w:rPr>
          <w:noProof/>
        </w:rPr>
      </w:pPr>
      <w:r>
        <w:rPr>
          <w:noProof/>
        </w:rPr>
        <w:t>a</w:t>
      </w:r>
      <w:r>
        <w:rPr>
          <w:b/>
          <w:noProof/>
        </w:rPr>
        <w:t xml:space="preserve"> c</w:t>
      </w:r>
      <w:r>
        <w:rPr>
          <w:b/>
          <w:noProof/>
          <w:szCs w:val="24"/>
        </w:rPr>
        <w:t>omparative analysis and benchmarking</w:t>
      </w:r>
      <w:r>
        <w:rPr>
          <w:noProof/>
          <w:szCs w:val="24"/>
        </w:rPr>
        <w:t xml:space="preserve"> of the various executive agencies was also carried out against a set of (qualitative and quantitative) indicators. This enabled the evaluation team to compare the performance of REA effectively with that of other executive agencies.</w:t>
      </w:r>
    </w:p>
    <w:p>
      <w:pPr>
        <w:spacing w:after="0"/>
        <w:rPr>
          <w:rFonts w:ascii="Times New Roman" w:hAnsi="Times New Roman" w:cs="Times New Roman"/>
          <w:noProof/>
          <w:sz w:val="24"/>
          <w:szCs w:val="24"/>
        </w:rPr>
      </w:pPr>
    </w:p>
    <w:p>
      <w:pPr>
        <w:pStyle w:val="Heading2"/>
        <w:ind w:left="360"/>
        <w:rPr>
          <w:noProof/>
          <w:szCs w:val="24"/>
        </w:rPr>
      </w:pPr>
      <w:bookmarkStart w:id="13" w:name="_Toc10796309"/>
      <w:r>
        <w:rPr>
          <w:noProof/>
        </w:rPr>
        <w:t>4.2 Limitations and robustness of findings</w:t>
      </w:r>
      <w:bookmarkEnd w:id="13"/>
    </w:p>
    <w:p>
      <w:pPr>
        <w:pStyle w:val="CM4"/>
        <w:jc w:val="both"/>
        <w:rPr>
          <w:rFonts w:ascii="Times New Roman" w:hAnsi="Times New Roman"/>
          <w:noProof/>
        </w:rPr>
      </w:pPr>
      <w:r>
        <w:rPr>
          <w:rFonts w:ascii="Times New Roman" w:hAnsi="Times New Roman"/>
          <w:noProof/>
        </w:rPr>
        <w:t xml:space="preserve">All the relevant stakeholders within the Commission and REA were duly consulted via interviews and surveys. An extensive number of REA applicants, beneficiaries and experts were covered by the surveys and the response rates are solid and comparable with similar evaluations. However, compared with the overall population reached, unsuccessful applicants participated less actively in the survey than programme beneficiaries. </w:t>
      </w:r>
    </w:p>
    <w:p>
      <w:pPr>
        <w:pStyle w:val="CM4"/>
        <w:jc w:val="both"/>
        <w:rPr>
          <w:rFonts w:ascii="Times New Roman" w:hAnsi="Times New Roman"/>
          <w:noProof/>
        </w:rPr>
      </w:pPr>
      <w:r>
        <w:rPr>
          <w:rFonts w:ascii="Times New Roman" w:hAnsi="Times New Roman"/>
          <w:noProof/>
        </w:rPr>
        <w:t>No sampling bias was observed as the profile of the respondents to the surveys was very similar to the overall population, guaranteeing statistical representativeness. The non-response bias (not all characteristics of the group that did not reply had been captured in full) was mitigated through triangulation with the results of follow up interviews. The triangulation approach, using multi-level and multi-stakeholder dimension in the data collection, ensured the robustness and reliability of the data and information used to draw up conclusions in the supporting study.</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Some views from Commission and Agency staff gathered from the interviews and mentioned in the study illustrate personal experience, although they may not be representative of overall relations between the Commission and the Agency.</w:t>
      </w:r>
    </w:p>
    <w:p>
      <w:pPr>
        <w:spacing w:after="0" w:line="240" w:lineRule="auto"/>
        <w:rPr>
          <w:rFonts w:ascii="Times New Roman" w:eastAsia="Times New Roman" w:hAnsi="Times New Roman" w:cs="Times New Roman"/>
          <w:b/>
          <w:smallCaps/>
          <w:noProof/>
          <w:sz w:val="24"/>
          <w:szCs w:val="24"/>
        </w:rPr>
      </w:pPr>
      <w:bookmarkStart w:id="14" w:name="_Toc486524622"/>
    </w:p>
    <w:p>
      <w:pPr>
        <w:pStyle w:val="Heading1"/>
        <w:numPr>
          <w:ilvl w:val="0"/>
          <w:numId w:val="21"/>
        </w:numPr>
        <w:spacing w:before="360"/>
        <w:ind w:left="482" w:hanging="482"/>
        <w:rPr>
          <w:noProof/>
        </w:rPr>
      </w:pPr>
      <w:bookmarkStart w:id="15" w:name="_Toc10796310"/>
      <w:r>
        <w:rPr>
          <w:noProof/>
        </w:rPr>
        <w:t>Analysis and answers to the evaluation questions</w:t>
      </w:r>
      <w:bookmarkEnd w:id="14"/>
      <w:bookmarkEnd w:id="15"/>
    </w:p>
    <w:p>
      <w:pPr>
        <w:autoSpaceDE w:val="0"/>
        <w:autoSpaceDN w:val="0"/>
        <w:adjustRightInd w:val="0"/>
        <w:spacing w:after="0" w:line="240" w:lineRule="auto"/>
        <w:jc w:val="both"/>
        <w:rPr>
          <w:rFonts w:ascii="Times New Roman" w:eastAsia="Calibri" w:hAnsi="Times New Roman" w:cs="Times New Roman"/>
          <w:bCs/>
          <w:noProof/>
          <w:color w:val="000000" w:themeColor="text1"/>
          <w:sz w:val="24"/>
          <w:szCs w:val="24"/>
        </w:rPr>
      </w:pPr>
      <w:r>
        <w:rPr>
          <w:rFonts w:ascii="Times New Roman" w:eastAsia="Calibri" w:hAnsi="Times New Roman" w:cs="Times New Roman"/>
          <w:bCs/>
          <w:noProof/>
          <w:color w:val="000000" w:themeColor="text1"/>
          <w:sz w:val="24"/>
          <w:szCs w:val="24"/>
        </w:rPr>
        <w:t>Analysis and answers to the evaluation questions are grouped below as per the three evaluation criteria: effectiveness, efficiency and coherence. The quantitative results of the ex post cost benefit analysis are presented separately in section 5.4 below, while the qualitative aspects are embedded in the answers to the evaluation questions (sections 5.1-5.3). The detailed evaluation questions and sub-questions are listed in annex.</w:t>
      </w:r>
    </w:p>
    <w:p>
      <w:pPr>
        <w:autoSpaceDE w:val="0"/>
        <w:autoSpaceDN w:val="0"/>
        <w:adjustRightInd w:val="0"/>
        <w:spacing w:after="0" w:line="240" w:lineRule="auto"/>
        <w:jc w:val="both"/>
        <w:rPr>
          <w:rFonts w:ascii="Times New Roman" w:eastAsia="Calibri" w:hAnsi="Times New Roman" w:cs="Times New Roman"/>
          <w:noProof/>
          <w:color w:val="000000" w:themeColor="text1"/>
          <w:sz w:val="24"/>
          <w:szCs w:val="24"/>
        </w:rPr>
      </w:pPr>
    </w:p>
    <w:p>
      <w:pPr>
        <w:pStyle w:val="Heading2"/>
        <w:tabs>
          <w:tab w:val="num" w:pos="1200"/>
        </w:tabs>
        <w:ind w:left="1202" w:hanging="720"/>
        <w:rPr>
          <w:noProof/>
        </w:rPr>
      </w:pPr>
      <w:bookmarkStart w:id="16" w:name="_Toc10796311"/>
      <w:r>
        <w:rPr>
          <w:noProof/>
        </w:rPr>
        <w:t>5.1 Effectiveness</w:t>
      </w:r>
      <w:bookmarkEnd w:id="16"/>
    </w:p>
    <w:p>
      <w:pPr>
        <w:pStyle w:val="PlainText"/>
        <w:jc w:val="both"/>
        <w:rPr>
          <w:rFonts w:ascii="Times New Roman" w:hAnsi="Times New Roman"/>
          <w:noProof/>
          <w:sz w:val="24"/>
          <w:szCs w:val="24"/>
          <w:lang w:val="en-GB"/>
        </w:rPr>
      </w:pPr>
      <w:r>
        <w:rPr>
          <w:rFonts w:ascii="Times New Roman" w:hAnsi="Times New Roman"/>
          <w:noProof/>
          <w:sz w:val="24"/>
          <w:szCs w:val="24"/>
          <w:lang w:val="en-GB"/>
        </w:rPr>
        <w:t>For the purpose of this evaluation, effectiveness relates to how successful the Agency has been in achieving or progressing towards its objectives.</w:t>
      </w:r>
    </w:p>
    <w:p>
      <w:pPr>
        <w:autoSpaceDE w:val="0"/>
        <w:autoSpaceDN w:val="0"/>
        <w:adjustRightInd w:val="0"/>
        <w:spacing w:after="0" w:line="240" w:lineRule="auto"/>
        <w:jc w:val="both"/>
        <w:rPr>
          <w:rFonts w:ascii="Times New Roman" w:eastAsia="Calibri" w:hAnsi="Times New Roman" w:cs="Times New Roman"/>
          <w:noProof/>
          <w:color w:val="000000" w:themeColor="text1"/>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During 2015-2018, REA operated according to the legal framework that established it. REA’s activities, as planned in the annual work programmes and reported in the annual activity reports, corresponded to the tasks set out in the Commission Decisions and the Act of Delegation.</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modalities and procedures of interaction between the Agency and its parent DGs are set out in the Memorandum of Understanding (MoU) between REA and its parent DGs of 2016. The MoU provides for a supervision strategy aimed at avoiding gaps and duplication of efforts resulting from crossover between monitoring and supervision tasks of the parent DGs and the execution tasks of the Agency, while ensuring that no micro-management was present. In 2018, three separate legal documents</w:t>
      </w:r>
      <w:r>
        <w:rPr>
          <w:rStyle w:val="FootnoteReference"/>
          <w:rFonts w:ascii="Times New Roman" w:eastAsia="Times New Roman" w:hAnsi="Times New Roman" w:cs="Times New Roman"/>
          <w:noProof/>
          <w:sz w:val="24"/>
          <w:szCs w:val="24"/>
        </w:rPr>
        <w:footnoteReference w:id="18"/>
      </w:r>
      <w:r>
        <w:rPr>
          <w:rFonts w:ascii="Times New Roman" w:eastAsia="Times New Roman" w:hAnsi="Times New Roman" w:cs="Times New Roman"/>
          <w:noProof/>
          <w:sz w:val="24"/>
          <w:szCs w:val="24"/>
        </w:rPr>
        <w:t xml:space="preserve"> were adopted in the context of REA’s extended mandate. These provisions have generally worked well and all parent DGs and REA appreciate the effectiveness of the collaboration. However, several processes related to the selection of independent experts, validation of expert lists, and the participation of Commission staff in project monitoring activities require further consolidation. In these areas, the interviews and the survey revealed that a number of Commission staff have different expectations as regards REA’s role, possibly due to varying levels of awareness of the MoU provisions. Accordingly, the Commission and REA should work together to ensure that these provisions are clearly communicated to Commission staff.</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Agency was flexible and effective in addressing the key changes that occurred during the evaluation period (delegation of a specific role in SEDIA; implementing projects generating EU classified information for Societal Challenge 7</w:t>
      </w:r>
      <w:r>
        <w:rPr>
          <w:rStyle w:val="FootnoteReference"/>
          <w:rFonts w:ascii="Times New Roman" w:eastAsia="Times New Roman" w:hAnsi="Times New Roman" w:cs="Times New Roman"/>
          <w:noProof/>
          <w:sz w:val="24"/>
          <w:szCs w:val="24"/>
        </w:rPr>
        <w:footnoteReference w:id="19"/>
      </w:r>
      <w:r>
        <w:rPr>
          <w:rFonts w:ascii="Times New Roman" w:eastAsia="Times New Roman" w:hAnsi="Times New Roman" w:cs="Times New Roman"/>
          <w:noProof/>
          <w:sz w:val="24"/>
          <w:szCs w:val="24"/>
        </w:rPr>
        <w:t>), and continuously improving its operations, even though it was already achieving a high level of overall effectiveness. REA began the delivery of corporate validation services on 1 January 2018. During 2018, the participant validation activity grew progressively with the integration of new clients from both grant and procurement domains.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2015-2018 REA achieved very good results in terms of most key performance indicators (KPI). Compared to previous years the Agency’s performance improved during the period of reference. The prompt conclusion of grant agreements (measured in ‘Time-To-Grant’ – TTG) improved, on average, from 222</w:t>
      </w:r>
      <w:r>
        <w:rPr>
          <w:rFonts w:ascii="Times New Roman" w:hAnsi="Times New Roman"/>
          <w:noProof/>
          <w:sz w:val="24"/>
        </w:rPr>
        <w:t xml:space="preserve"> days in </w:t>
      </w:r>
      <w:r>
        <w:rPr>
          <w:rFonts w:ascii="Times New Roman" w:eastAsia="Times New Roman" w:hAnsi="Times New Roman" w:cs="Times New Roman"/>
          <w:noProof/>
          <w:sz w:val="24"/>
          <w:szCs w:val="24"/>
        </w:rPr>
        <w:t>2014</w:t>
      </w:r>
      <w:r>
        <w:rPr>
          <w:rFonts w:ascii="Times New Roman" w:hAnsi="Times New Roman"/>
          <w:noProof/>
          <w:sz w:val="24"/>
        </w:rPr>
        <w:t xml:space="preserve"> to </w:t>
      </w:r>
      <w:r>
        <w:rPr>
          <w:rFonts w:ascii="Times New Roman" w:eastAsia="Times New Roman" w:hAnsi="Times New Roman" w:cs="Times New Roman"/>
          <w:noProof/>
          <w:sz w:val="24"/>
          <w:szCs w:val="24"/>
        </w:rPr>
        <w:t xml:space="preserve">203 in 2015 and became stable at </w:t>
      </w:r>
      <w:r>
        <w:rPr>
          <w:rFonts w:ascii="Times New Roman" w:hAnsi="Times New Roman"/>
          <w:noProof/>
          <w:sz w:val="24"/>
        </w:rPr>
        <w:t xml:space="preserve">193 days </w:t>
      </w:r>
      <w:r>
        <w:rPr>
          <w:rFonts w:ascii="Times New Roman" w:eastAsia="Times New Roman" w:hAnsi="Times New Roman" w:cs="Times New Roman"/>
          <w:noProof/>
          <w:sz w:val="24"/>
          <w:szCs w:val="24"/>
        </w:rPr>
        <w:t>during</w:t>
      </w:r>
      <w:r>
        <w:rPr>
          <w:rFonts w:ascii="Times New Roman" w:hAnsi="Times New Roman"/>
          <w:noProof/>
          <w:sz w:val="24"/>
        </w:rPr>
        <w:t xml:space="preserve"> 2016-2018</w:t>
      </w:r>
      <w:r>
        <w:rPr>
          <w:rFonts w:ascii="Times New Roman" w:eastAsia="Times New Roman" w:hAnsi="Times New Roman" w:cs="Times New Roman"/>
          <w:noProof/>
          <w:sz w:val="24"/>
          <w:szCs w:val="24"/>
        </w:rPr>
        <w:t>, 52 days (over 20%) below the Horizon 2020 target (245 days). The share of grants concluded within TTG targets reached nearly 100% for the 2016-2017 calls. Regarding payments to grants, the average Time-to-Pay (TTP) stood well below the contractual thresholds for all types of payments (pre-financing, interim and final payments) in 2015-2018 both for FP7 and Horizon 2020. Concerning the share of payments within contractual limits, nearly 100% of all pre-financing payments in 2015-2018 were executed on time. With regard to interim and final payments, REA maintained a similar performance level compared to the previous evaluation period for FP7 (94% of payments executed on time) and during 2017-2018 improved its performance for Horizon 2020 (98% of payments executed on time).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was the case in previous years, REA achieved full execution of its operational budget both in commitment and payment appropriations during 2015-2018.</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REA target with regards to the share of projects that achieved all or most of their objectives, the REA Annual Activity Reports showed that over 95% of FP7 projects that closed in 2015-2018 achieved all or most of their objectives (against a target of 90%).</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regard to the legality and regularity of transactions, the estimated residual multi-annual error rate remained in a similar range over 2014-2018 compared with those in the previous years for the FP7 programmes implemented by REA. The residual multi-annual error rate for the People Programme remained below 2% while for the SME actions, Space and Security it was above the materiality threshold of 2% that lead REA to enter reservations in its Annual Activity Reports</w:t>
      </w:r>
      <w:r>
        <w:rPr>
          <w:rStyle w:val="FootnoteReference"/>
          <w:rFonts w:ascii="Times New Roman" w:eastAsia="Times New Roman" w:hAnsi="Times New Roman" w:cs="Times New Roman"/>
          <w:noProof/>
          <w:sz w:val="24"/>
          <w:szCs w:val="24"/>
        </w:rPr>
        <w:footnoteReference w:id="20"/>
      </w:r>
      <w:r>
        <w:rPr>
          <w:rFonts w:ascii="Times New Roman" w:eastAsia="Times New Roman" w:hAnsi="Times New Roman" w:cs="Times New Roman"/>
          <w:noProof/>
          <w:sz w:val="24"/>
          <w:szCs w:val="24"/>
        </w:rPr>
        <w:t>. In addition, it should be noted that the estimated error rate can be attributed, to a large extent, to the complexity of the funding schemes, which is generic to FP7 as a whole; therefore, these error rates remained in line with the general FP7 trend. For Horizon 2020 financial transactions, REA reports the residual error rate common to the Research family as a whole (2.24% for 2017) but also on REA specific residual error rate (</w:t>
      </w:r>
      <w:r>
        <w:rPr>
          <w:rFonts w:ascii="Times New Roman" w:hAnsi="Times New Roman" w:cs="Times New Roman"/>
          <w:noProof/>
          <w:sz w:val="24"/>
          <w:szCs w:val="24"/>
        </w:rPr>
        <w:t>1.46% for 2017</w:t>
      </w:r>
      <w:r>
        <w:rPr>
          <w:rFonts w:ascii="Times New Roman" w:eastAsia="Times New Roman" w:hAnsi="Times New Roman" w:cs="Times New Roman"/>
          <w:noProof/>
          <w:sz w:val="24"/>
          <w:szCs w:val="24"/>
        </w:rPr>
        <w:t>). Concerning MSCA, there were not enough audits to draw any conclusions for Horizon 2020 but it is expected</w:t>
      </w:r>
      <w:r>
        <w:rPr>
          <w:rStyle w:val="FootnoteReference"/>
          <w:rFonts w:ascii="Times New Roman" w:eastAsia="Times New Roman" w:hAnsi="Times New Roman" w:cs="Times New Roman"/>
          <w:noProof/>
          <w:sz w:val="24"/>
          <w:szCs w:val="24"/>
        </w:rPr>
        <w:footnoteReference w:id="21"/>
      </w:r>
      <w:r>
        <w:rPr>
          <w:rFonts w:ascii="Times New Roman" w:eastAsia="Times New Roman" w:hAnsi="Times New Roman" w:cs="Times New Roman"/>
          <w:noProof/>
          <w:sz w:val="24"/>
          <w:szCs w:val="24"/>
        </w:rPr>
        <w:t xml:space="preserve"> that the error rate will remain below 2%.</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REA’s efforts to improve the quality of the evaluation process and the Evaluation Summary Reports (ESRs) were reflected in a reduced share of evaluation review/redress cases filed and (fully or partially) upheld compared to the number of proposals evaluated. The share of evaluation review/redress cases filed decreased from 3.0% for the 2011 FP7 calls to 1.2% for the 2017 Horizon 2020 calls. Similarly, the share of evaluation review/redress cases upheld decreased from 0.8% for the 2011 calls to 0.3% for the 2017 calls and for the 2014-2017 Horizon 2020 calls it stayed below the maximum target of 0.5%.</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regards the provision of administrative and logistic support services, and in particular the management of the Research Enquiry Service (RES)</w:t>
      </w:r>
      <w:r>
        <w:rPr>
          <w:rStyle w:val="FootnoteReference"/>
          <w:rFonts w:ascii="Times New Roman" w:eastAsia="Calibri" w:hAnsi="Times New Roman" w:cs="Times New Roman"/>
          <w:noProof/>
          <w:sz w:val="24"/>
          <w:szCs w:val="24"/>
        </w:rPr>
        <w:footnoteReference w:id="22"/>
      </w:r>
      <w:r>
        <w:rPr>
          <w:rFonts w:ascii="Times New Roman" w:eastAsia="Calibri" w:hAnsi="Times New Roman" w:cs="Times New Roman"/>
          <w:noProof/>
          <w:sz w:val="24"/>
          <w:szCs w:val="24"/>
        </w:rPr>
        <w:t>, Financial Capacity Checks/Assessments and the participant Validation Services, the overall performance of the Agency was favourable and target deadlines for validations were fully respected between 2015 and 2018. In 2017, 7 900 enquiries were received of which 99.4% were answered or forwarded within 8 days, with an average of 3 working days. The REA target to perform 95% of validations within the 90 days from the “raise priority” date</w:t>
      </w:r>
      <w:r>
        <w:rPr>
          <w:rStyle w:val="FootnoteReference"/>
          <w:rFonts w:ascii="Times New Roman" w:eastAsia="Calibri" w:hAnsi="Times New Roman" w:cs="Times New Roman"/>
          <w:noProof/>
          <w:sz w:val="24"/>
          <w:szCs w:val="24"/>
        </w:rPr>
        <w:footnoteReference w:id="23"/>
      </w:r>
      <w:r>
        <w:rPr>
          <w:rFonts w:ascii="Times New Roman" w:eastAsia="Calibri" w:hAnsi="Times New Roman" w:cs="Times New Roman"/>
          <w:noProof/>
          <w:sz w:val="24"/>
          <w:szCs w:val="24"/>
        </w:rPr>
        <w:t xml:space="preserve"> – for all direct management operations at the Commission – was fully met as of 30 June 2018. For the period 2014 to 2016 REA handled from 1 600 to 2 000 Financial Capacity Assessments (FCA) requests per year. From 2017, the reporting on assessments provided to clients changed – only those cases in which financial data had been provided to REA clients were taken into account.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Overall satisfaction with the performance of REA is one of the highest among executive agencies. 86% of beneficiaries responding to the survey were satisfied (42% ‘very satisfied’) with the services provided by the Agency. This result is a further improvement compared to the previous evaluation of REA (82% in 2015) and is higher than the overall level of satisfaction reported by the beneficiaries of CHAFEA (74%) and comparable to what was reported by the beneficiaries of EACEA (89%) and ERCEA (89%). Almost all respondents to the surveys would like to work with the Agency again in the future (98% of beneficiaries, 99% of REA’s independent experts and around 90% of unsuccessful applicants).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lang w:eastAsia="lt-LT"/>
        </w:rPr>
        <w:t>The independent experts were highly satisfied with the overall processes of registration, selection and contracting and their level of satisfaction improved as compared to the previous 2015 experts’ survey. However, the experts remained less positive about the</w:t>
      </w:r>
      <w:r>
        <w:rPr>
          <w:rFonts w:ascii="Times New Roman" w:hAnsi="Times New Roman" w:cs="Times New Roman"/>
          <w:noProof/>
          <w:sz w:val="24"/>
          <w:szCs w:val="24"/>
        </w:rPr>
        <w:t xml:space="preserve"> online evaluation system used, the quality of the templates used for reports, and the time available for drafting them.</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terms of proximity to the addressees, REA continued to serve as a direct ‘contact point’ between the applicants/beneficiaries of EU funding, as well as other stakeholders and the Commission during the evaluation period. Building on the results of the 2015 beneficiary satisfaction survey, REA made sustained efforts to boost awareness on new funding opportunities and opportunities for experts, to broaden the participants’ group, to consolidate a service-oriented communication, and to support parent DGs by giving visibility to EU research via success stories and providing input to the policy-feedback loop.</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survey of beneficiaries indicates a broad satisfaction with the way in which the Agency communicated with them during various phases of the project life-cycle. As many as 81% of the respondents to the beneficiaries’ survey strongly or rather agreed that REA staff assigned to their project were easily available and responsive during the implementation. Most favourable results were received in relation to REA’s availability and responsiveness during the grant amendment (82% strongly or rather agreed) and in the grant finalisation phases (85% strongly or rather agreed). About 74% of the respondents claimed that the feedback received on the scientific and technological progress in their project was useful. The areas with reported lower levels of satisfaction were related to the user-friendliness of the IT tools employed throughout the project management life-cycle. The Commission, which is leading the development of grant management IT tools at corporate level, is currently taking measures to address the beneficiaries’ lower satisfaction in this area.</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Concerning the visibility of the EU as a promoter of the programmes entrusted to REA, the survey shows that a large majority of beneficiaries were aware that REA grants were funded from the EU budget (95%) and that the European Commission entrusted the grant management to REA (84%).</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regards to the lessons learned during the 2015-2018 period, the evaluation identified that the growing prevalence of actions with policy interest emerges as an area where REA and its parent DGs need to formalise the specific modalities and procedures for their implementation. Examples are the Coordination and Support Actions, including grants to identified beneficiary, which are managed by the Agency but are of particular interest for Commission policy work. Since it is important to ensure that these actions can respond to continuous developments in policy needs, a closer dialogue between REA and Commission services should be maintained.</w:t>
      </w:r>
    </w:p>
    <w:p>
      <w:pPr>
        <w:spacing w:after="0" w:line="240" w:lineRule="auto"/>
        <w:jc w:val="both"/>
        <w:rPr>
          <w:rFonts w:ascii="Times New Roman" w:hAnsi="Times New Roman" w:cs="Times New Roman"/>
          <w:noProof/>
          <w:color w:val="000000" w:themeColor="text1"/>
          <w:sz w:val="24"/>
          <w:szCs w:val="24"/>
          <w:lang w:eastAsia="lt-LT"/>
        </w:rPr>
      </w:pPr>
    </w:p>
    <w:p>
      <w:pPr>
        <w:pStyle w:val="Heading2"/>
        <w:tabs>
          <w:tab w:val="num" w:pos="1200"/>
        </w:tabs>
        <w:ind w:left="1202" w:hanging="720"/>
        <w:rPr>
          <w:noProof/>
        </w:rPr>
      </w:pPr>
      <w:bookmarkStart w:id="17" w:name="_Toc10796312"/>
      <w:r>
        <w:rPr>
          <w:noProof/>
        </w:rPr>
        <w:t>5.2 Efficiency</w:t>
      </w:r>
      <w:bookmarkEnd w:id="17"/>
      <w:r>
        <w:rPr>
          <w:noProof/>
        </w:rPr>
        <w:t xml:space="preserve"> </w:t>
      </w:r>
    </w:p>
    <w:p>
      <w:pPr>
        <w:spacing w:after="0" w:line="240" w:lineRule="auto"/>
        <w:jc w:val="both"/>
        <w:rPr>
          <w:rFonts w:ascii="Times New Roman" w:eastAsia="Calibri" w:hAnsi="Times New Roman" w:cs="Times New Roman"/>
          <w:b/>
          <w:bCs/>
          <w:noProof/>
          <w:sz w:val="24"/>
          <w:szCs w:val="24"/>
        </w:rPr>
      </w:pPr>
      <w:r>
        <w:rPr>
          <w:rFonts w:ascii="Times New Roman" w:hAnsi="Times New Roman"/>
          <w:noProof/>
          <w:sz w:val="24"/>
          <w:szCs w:val="24"/>
        </w:rPr>
        <w:t>This section considers the relationship between the resources used by the Agency and the output. The analysis, among other factors, also includes analysis of administrative and regulatory burden and looks at aspects of simplification.</w:t>
      </w:r>
    </w:p>
    <w:p>
      <w:pPr>
        <w:spacing w:after="0" w:line="240" w:lineRule="auto"/>
        <w:jc w:val="both"/>
        <w:rPr>
          <w:rFonts w:ascii="Times New Roman" w:eastAsia="Calibri" w:hAnsi="Times New Roman" w:cs="Times New Roman"/>
          <w:b/>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During 2015-2017 REA proved to be an efficient and cost-effective structure for the management of the delegated programmes. Its administrative budget (excluding the share of costs of the central administrative and logistical support services) was below 3% of the operational budget based both on commitment and payment appropriations for the period 2015-2017, while generally the cost-effectiveness of REA grew over 2010-2017.</w:t>
      </w:r>
    </w:p>
    <w:p>
      <w:pPr>
        <w:spacing w:after="0" w:line="240" w:lineRule="auto"/>
        <w:rPr>
          <w:rFonts w:ascii="Times New Roman" w:hAnsi="Times New Roman" w:cs="Times New Roman"/>
          <w:noProof/>
          <w:sz w:val="24"/>
          <w:szCs w:val="24"/>
          <w14:numForm w14:val="lining"/>
        </w:rPr>
      </w:pPr>
    </w:p>
    <w:p>
      <w:pPr>
        <w:pStyle w:val="Caption"/>
        <w:keepNext/>
        <w:spacing w:before="0" w:after="0"/>
        <w:rPr>
          <w:noProof/>
        </w:rPr>
      </w:pPr>
      <w:bookmarkStart w:id="18" w:name="_Toc3874483"/>
      <w:r>
        <w:rPr>
          <w:noProof/>
          <w14:numForm w14:val="lining"/>
        </w:rPr>
        <w:t>Ratio between REA’s administrative and operational budget</w:t>
      </w:r>
      <w:bookmarkEnd w:id="18"/>
    </w:p>
    <w:p>
      <w:pPr>
        <w:spacing w:after="0"/>
        <w:rPr>
          <w:rFonts w:ascii="Times New Roman" w:hAnsi="Times New Roman" w:cs="Times New Roman"/>
          <w:noProof/>
          <w:sz w:val="24"/>
          <w:szCs w:val="24"/>
          <w14:numForm w14:val="lining"/>
        </w:rPr>
      </w:pPr>
      <w:r>
        <w:rPr>
          <w:rFonts w:ascii="Times New Roman" w:hAnsi="Times New Roman" w:cs="Times New Roman"/>
          <w:noProof/>
          <w:sz w:val="24"/>
          <w:szCs w:val="24"/>
          <w14:numForm w14:val="lining"/>
        </w:rPr>
        <w:drawing>
          <wp:inline distT="0" distB="0" distL="0" distR="0">
            <wp:extent cx="5741035" cy="1727200"/>
            <wp:effectExtent l="0" t="0" r="12065" b="6350"/>
            <wp:docPr id="462" name="Chart 46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6859C44-59F8-40BC-A875-19012851D6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REA’s actual operational budget during 2014-2018 constituted EUR 9.109 billion, of which EUR 8.508 billion from EU budget and EUR 602 million related to EEA/EFTA</w:t>
      </w:r>
      <w:r>
        <w:rPr>
          <w:rStyle w:val="FootnoteReference"/>
          <w:rFonts w:ascii="Times New Roman" w:eastAsia="Calibri" w:hAnsi="Times New Roman" w:cs="Times New Roman"/>
          <w:noProof/>
          <w:sz w:val="24"/>
          <w:szCs w:val="24"/>
        </w:rPr>
        <w:footnoteReference w:id="24"/>
      </w:r>
      <w:r>
        <w:rPr>
          <w:rFonts w:ascii="Times New Roman" w:eastAsia="Calibri" w:hAnsi="Times New Roman" w:cs="Times New Roman"/>
          <w:noProof/>
          <w:sz w:val="24"/>
          <w:szCs w:val="24"/>
        </w:rPr>
        <w:t xml:space="preserve"> and third countries’ contributions (not considered in REA’s SFS). REA’s administrative budget increased from EUR 39.88 million in 2015 to EUR 43.92 million in 2017 (in commitments, without the central support services).</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detailed analysis of the REA cost-efficiency and results of the Cost-benefit analysis are presented under the point 5.4.</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number of proposals managed by REA fluctuated at around 15 000 from 2015 to 2017. The number of total running projects decreased from 7 020 in 2015 to 6 420 in 2017. During the evaluation period, the actual workload of REA was higher than estimated in the 2013 CBA due to factors beyond the Agency’s control that influenced its workload, such as the average grant size and the number of proposals and grants. The actual number of new grants managed by REA during 2014-2018 was 32% higher than the 2013 CBA forecast (9 646 versus 7 306). However, the increase in the number of grants managed by REA (20%), mostly relates to the smallest grants – MSCA Individual Fellowships, which are characterised by the lowest workload level per grant (number of person days required to manage a typical project life-cycle). The increased number of new projects also added to the workload of monitoring project implementation.</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Due to an increase in the number of operational staff during this period and the closure of many small FP7 projects (MSCA individual fellowships and grants), the number of running projects ‘per operational head’ decreased from 15.42 in 2014 to 11.32 in 2017. However, the ratio of budget ‘per operational head’ increased</w:t>
      </w:r>
      <w:r>
        <w:rPr>
          <w:rFonts w:ascii="Times New Roman" w:eastAsia="Times New Roman" w:hAnsi="Times New Roman" w:cs="Times New Roman"/>
          <w:noProof/>
          <w:sz w:val="24"/>
          <w:szCs w:val="24"/>
        </w:rPr>
        <w:t xml:space="preserve"> from EUR 3.46 million to EUR 3.54 million (in terms of commitments) or from EUR 2.44 million to EUR 2.99 million (in terms of payments) in 2014-2017.</w:t>
      </w:r>
    </w:p>
    <w:p>
      <w:pPr>
        <w:spacing w:after="0" w:line="240" w:lineRule="auto"/>
        <w:jc w:val="both"/>
        <w:rPr>
          <w:rFonts w:ascii="Times New Roman" w:eastAsia="Calibri" w:hAnsi="Times New Roman" w:cs="Times New Roman"/>
          <w:noProof/>
          <w:sz w:val="24"/>
          <w:szCs w:val="24"/>
        </w:rPr>
      </w:pPr>
    </w:p>
    <w:p>
      <w:pPr>
        <w:keepLines/>
        <w:spacing w:after="0" w:line="240" w:lineRule="auto"/>
        <w:jc w:val="both"/>
        <w:rPr>
          <w:rFonts w:ascii="Times New Roman" w:eastAsia="Calibri" w:hAnsi="Times New Roman" w:cs="Times New Roman"/>
          <w:b/>
          <w:bCs/>
          <w:noProof/>
          <w:color w:val="000000" w:themeColor="text1"/>
          <w:sz w:val="24"/>
          <w:szCs w:val="24"/>
        </w:rPr>
      </w:pPr>
      <w:r>
        <w:rPr>
          <w:rFonts w:ascii="Times New Roman" w:eastAsia="Calibri" w:hAnsi="Times New Roman" w:cs="Times New Roman"/>
          <w:b/>
          <w:bCs/>
          <w:noProof/>
          <w:color w:val="000000" w:themeColor="text1"/>
          <w:sz w:val="24"/>
          <w:szCs w:val="24"/>
        </w:rPr>
        <w:t>Budget, staff and workload indicators, REA, 2014-2017, € million or %</w:t>
      </w:r>
    </w:p>
    <w:tbl>
      <w:tblPr>
        <w:tblStyle w:val="VPVILentele212"/>
        <w:tblW w:w="4924" w:type="pct"/>
        <w:tblInd w:w="0" w:type="dxa"/>
        <w:tblLook w:val="06A0" w:firstRow="1" w:lastRow="0" w:firstColumn="1" w:lastColumn="0" w:noHBand="1" w:noVBand="1"/>
      </w:tblPr>
      <w:tblGrid>
        <w:gridCol w:w="4787"/>
        <w:gridCol w:w="1123"/>
        <w:gridCol w:w="1059"/>
        <w:gridCol w:w="1121"/>
        <w:gridCol w:w="1057"/>
      </w:tblGrid>
      <w:tr>
        <w:trPr>
          <w:cnfStyle w:val="100000000000" w:firstRow="1" w:lastRow="0" w:firstColumn="0" w:lastColumn="0" w:oddVBand="0" w:evenVBand="0" w:oddHBand="0" w:evenHBand="0" w:firstRowFirstColumn="0" w:firstRowLastColumn="0" w:lastRowFirstColumn="0" w:lastRowLastColumn="0"/>
          <w:trHeight w:val="143"/>
        </w:trPr>
        <w:tc>
          <w:tcPr>
            <w:tcW w:w="2616" w:type="pct"/>
            <w:shd w:val="clear" w:color="auto" w:fill="263673"/>
            <w:vAlign w:val="bottom"/>
          </w:tcPr>
          <w:p>
            <w:pPr>
              <w:spacing w:line="240" w:lineRule="auto"/>
              <w:jc w:val="both"/>
              <w:rPr>
                <w:rFonts w:ascii="Times New Roman" w:hAnsi="Times New Roman"/>
                <w:noProof/>
                <w:color w:val="FFFFFF" w:themeColor="background1"/>
                <w:sz w:val="24"/>
                <w:szCs w:val="24"/>
              </w:rPr>
            </w:pPr>
            <w:r>
              <w:rPr>
                <w:rFonts w:ascii="Times New Roman" w:hAnsi="Times New Roman"/>
                <w:noProof/>
                <w:color w:val="FFFFFF" w:themeColor="background1"/>
                <w:sz w:val="24"/>
                <w:szCs w:val="24"/>
              </w:rPr>
              <w:t> </w:t>
            </w:r>
          </w:p>
        </w:tc>
        <w:tc>
          <w:tcPr>
            <w:tcW w:w="614" w:type="pct"/>
            <w:shd w:val="clear" w:color="auto" w:fill="263673"/>
            <w:vAlign w:val="bottom"/>
          </w:tcPr>
          <w:p>
            <w:pPr>
              <w:spacing w:line="240" w:lineRule="auto"/>
              <w:jc w:val="both"/>
              <w:rPr>
                <w:rFonts w:ascii="Times New Roman" w:hAnsi="Times New Roman"/>
                <w:noProof/>
                <w:color w:val="FFFFFF" w:themeColor="background1"/>
                <w:sz w:val="24"/>
                <w:szCs w:val="24"/>
              </w:rPr>
            </w:pPr>
            <w:r>
              <w:rPr>
                <w:rFonts w:ascii="Times New Roman" w:hAnsi="Times New Roman"/>
                <w:noProof/>
                <w:color w:val="FFFFFF" w:themeColor="background1"/>
                <w:sz w:val="24"/>
                <w:szCs w:val="24"/>
              </w:rPr>
              <w:t>2014</w:t>
            </w:r>
          </w:p>
        </w:tc>
        <w:tc>
          <w:tcPr>
            <w:tcW w:w="579" w:type="pct"/>
            <w:shd w:val="clear" w:color="auto" w:fill="263673"/>
            <w:vAlign w:val="center"/>
          </w:tcPr>
          <w:p>
            <w:pPr>
              <w:spacing w:line="240" w:lineRule="auto"/>
              <w:jc w:val="both"/>
              <w:rPr>
                <w:rFonts w:ascii="Times New Roman" w:hAnsi="Times New Roman"/>
                <w:noProof/>
                <w:color w:val="FFFFFF" w:themeColor="background1"/>
                <w:sz w:val="24"/>
                <w:szCs w:val="24"/>
              </w:rPr>
            </w:pPr>
            <w:r>
              <w:rPr>
                <w:rFonts w:ascii="Times New Roman" w:hAnsi="Times New Roman"/>
                <w:noProof/>
                <w:color w:val="FFFFFF" w:themeColor="background1"/>
                <w:sz w:val="24"/>
                <w:szCs w:val="24"/>
              </w:rPr>
              <w:t>2015</w:t>
            </w:r>
          </w:p>
        </w:tc>
        <w:tc>
          <w:tcPr>
            <w:tcW w:w="613" w:type="pct"/>
            <w:shd w:val="clear" w:color="auto" w:fill="263673"/>
            <w:vAlign w:val="center"/>
          </w:tcPr>
          <w:p>
            <w:pPr>
              <w:spacing w:line="240" w:lineRule="auto"/>
              <w:jc w:val="both"/>
              <w:rPr>
                <w:rFonts w:ascii="Times New Roman" w:hAnsi="Times New Roman"/>
                <w:noProof/>
                <w:color w:val="FFFFFF" w:themeColor="background1"/>
                <w:sz w:val="24"/>
                <w:szCs w:val="24"/>
              </w:rPr>
            </w:pPr>
            <w:r>
              <w:rPr>
                <w:rFonts w:ascii="Times New Roman" w:hAnsi="Times New Roman"/>
                <w:noProof/>
                <w:color w:val="FFFFFF" w:themeColor="background1"/>
                <w:sz w:val="24"/>
                <w:szCs w:val="24"/>
              </w:rPr>
              <w:t>2016</w:t>
            </w:r>
          </w:p>
        </w:tc>
        <w:tc>
          <w:tcPr>
            <w:tcW w:w="578" w:type="pct"/>
            <w:shd w:val="clear" w:color="auto" w:fill="263673"/>
            <w:vAlign w:val="center"/>
          </w:tcPr>
          <w:p>
            <w:pPr>
              <w:spacing w:line="240" w:lineRule="auto"/>
              <w:jc w:val="both"/>
              <w:rPr>
                <w:rFonts w:ascii="Times New Roman" w:hAnsi="Times New Roman"/>
                <w:noProof/>
                <w:color w:val="FFFFFF" w:themeColor="background1"/>
                <w:sz w:val="24"/>
                <w:szCs w:val="24"/>
              </w:rPr>
            </w:pPr>
            <w:r>
              <w:rPr>
                <w:rFonts w:ascii="Times New Roman" w:hAnsi="Times New Roman"/>
                <w:noProof/>
                <w:color w:val="FFFFFF" w:themeColor="background1"/>
                <w:sz w:val="24"/>
                <w:szCs w:val="24"/>
              </w:rPr>
              <w:t>2017</w:t>
            </w:r>
          </w:p>
        </w:tc>
      </w:tr>
      <w:tr>
        <w:trPr>
          <w:trHeight w:val="215"/>
        </w:trPr>
        <w:tc>
          <w:tcPr>
            <w:tcW w:w="2616" w:type="pct"/>
          </w:tcPr>
          <w:p>
            <w:pPr>
              <w:contextualSpacing/>
              <w:jc w:val="both"/>
              <w:rPr>
                <w:rFonts w:ascii="Times New Roman" w:hAnsi="Times New Roman"/>
                <w:noProof/>
                <w:color w:val="000000"/>
                <w:szCs w:val="24"/>
              </w:rPr>
            </w:pPr>
            <w:r>
              <w:rPr>
                <w:rFonts w:ascii="Times New Roman" w:hAnsi="Times New Roman"/>
                <w:noProof/>
                <w:color w:val="000000"/>
                <w:szCs w:val="24"/>
              </w:rPr>
              <w:t>Operational budget, commitments</w:t>
            </w:r>
          </w:p>
        </w:tc>
        <w:tc>
          <w:tcPr>
            <w:tcW w:w="614" w:type="pct"/>
          </w:tcPr>
          <w:p>
            <w:pPr>
              <w:contextualSpacing/>
              <w:jc w:val="both"/>
              <w:rPr>
                <w:rFonts w:ascii="Times New Roman" w:hAnsi="Times New Roman"/>
                <w:noProof/>
                <w:color w:val="000000"/>
              </w:rPr>
            </w:pPr>
            <w:r>
              <w:rPr>
                <w:rFonts w:ascii="Times New Roman" w:hAnsi="Times New Roman"/>
                <w:noProof/>
                <w:color w:val="000000"/>
              </w:rPr>
              <w:t>1 553.51</w:t>
            </w:r>
          </w:p>
        </w:tc>
        <w:tc>
          <w:tcPr>
            <w:tcW w:w="579" w:type="pct"/>
          </w:tcPr>
          <w:p>
            <w:pPr>
              <w:contextualSpacing/>
              <w:jc w:val="both"/>
              <w:rPr>
                <w:rFonts w:ascii="Times New Roman" w:hAnsi="Times New Roman"/>
                <w:noProof/>
                <w:color w:val="000000"/>
              </w:rPr>
            </w:pPr>
            <w:r>
              <w:rPr>
                <w:rFonts w:ascii="Times New Roman" w:hAnsi="Times New Roman"/>
                <w:noProof/>
                <w:color w:val="000000"/>
              </w:rPr>
              <w:t>1 521.74</w:t>
            </w:r>
          </w:p>
        </w:tc>
        <w:tc>
          <w:tcPr>
            <w:tcW w:w="613" w:type="pct"/>
          </w:tcPr>
          <w:p>
            <w:pPr>
              <w:contextualSpacing/>
              <w:jc w:val="both"/>
              <w:rPr>
                <w:rFonts w:ascii="Times New Roman" w:hAnsi="Times New Roman"/>
                <w:noProof/>
                <w:color w:val="000000"/>
              </w:rPr>
            </w:pPr>
            <w:r>
              <w:rPr>
                <w:rFonts w:ascii="Times New Roman" w:hAnsi="Times New Roman"/>
                <w:noProof/>
                <w:color w:val="000000"/>
              </w:rPr>
              <w:t>1 666.36</w:t>
            </w:r>
          </w:p>
        </w:tc>
        <w:tc>
          <w:tcPr>
            <w:tcW w:w="578" w:type="pct"/>
          </w:tcPr>
          <w:p>
            <w:pPr>
              <w:contextualSpacing/>
              <w:jc w:val="both"/>
              <w:rPr>
                <w:rFonts w:ascii="Times New Roman" w:hAnsi="Times New Roman"/>
                <w:noProof/>
                <w:color w:val="000000"/>
              </w:rPr>
            </w:pPr>
            <w:r>
              <w:rPr>
                <w:rFonts w:ascii="Times New Roman" w:hAnsi="Times New Roman"/>
                <w:noProof/>
                <w:color w:val="000000"/>
              </w:rPr>
              <w:t>2 009.15</w:t>
            </w:r>
          </w:p>
        </w:tc>
      </w:tr>
      <w:tr>
        <w:trPr>
          <w:trHeight w:val="215"/>
        </w:trPr>
        <w:tc>
          <w:tcPr>
            <w:tcW w:w="2616" w:type="pct"/>
          </w:tcPr>
          <w:p>
            <w:pPr>
              <w:contextualSpacing/>
              <w:jc w:val="both"/>
              <w:rPr>
                <w:rFonts w:ascii="Times New Roman" w:hAnsi="Times New Roman"/>
                <w:noProof/>
                <w:color w:val="000000"/>
                <w:szCs w:val="24"/>
              </w:rPr>
            </w:pPr>
            <w:r>
              <w:rPr>
                <w:rFonts w:ascii="Times New Roman" w:hAnsi="Times New Roman"/>
                <w:noProof/>
                <w:color w:val="000000"/>
                <w:szCs w:val="24"/>
              </w:rPr>
              <w:t>Operational budget, payments</w:t>
            </w:r>
          </w:p>
        </w:tc>
        <w:tc>
          <w:tcPr>
            <w:tcW w:w="614" w:type="pct"/>
          </w:tcPr>
          <w:p>
            <w:pPr>
              <w:contextualSpacing/>
              <w:jc w:val="both"/>
              <w:rPr>
                <w:rFonts w:ascii="Times New Roman" w:hAnsi="Times New Roman"/>
                <w:noProof/>
                <w:color w:val="000000"/>
              </w:rPr>
            </w:pPr>
            <w:r>
              <w:rPr>
                <w:rFonts w:ascii="Times New Roman" w:hAnsi="Times New Roman"/>
                <w:noProof/>
                <w:color w:val="000000"/>
              </w:rPr>
              <w:t>1 096.88</w:t>
            </w:r>
          </w:p>
        </w:tc>
        <w:tc>
          <w:tcPr>
            <w:tcW w:w="579" w:type="pct"/>
          </w:tcPr>
          <w:p>
            <w:pPr>
              <w:contextualSpacing/>
              <w:jc w:val="both"/>
              <w:rPr>
                <w:rFonts w:ascii="Times New Roman" w:hAnsi="Times New Roman"/>
                <w:noProof/>
                <w:color w:val="000000"/>
              </w:rPr>
            </w:pPr>
            <w:r>
              <w:rPr>
                <w:rFonts w:ascii="Times New Roman" w:hAnsi="Times New Roman"/>
                <w:noProof/>
                <w:color w:val="000000"/>
              </w:rPr>
              <w:t>1 418.48</w:t>
            </w:r>
          </w:p>
        </w:tc>
        <w:tc>
          <w:tcPr>
            <w:tcW w:w="613" w:type="pct"/>
          </w:tcPr>
          <w:p>
            <w:pPr>
              <w:contextualSpacing/>
              <w:jc w:val="both"/>
              <w:rPr>
                <w:rFonts w:ascii="Times New Roman" w:hAnsi="Times New Roman"/>
                <w:noProof/>
                <w:color w:val="000000"/>
              </w:rPr>
            </w:pPr>
            <w:r>
              <w:rPr>
                <w:rFonts w:ascii="Times New Roman" w:hAnsi="Times New Roman"/>
                <w:noProof/>
                <w:color w:val="000000"/>
              </w:rPr>
              <w:t>1 642.94</w:t>
            </w:r>
          </w:p>
        </w:tc>
        <w:tc>
          <w:tcPr>
            <w:tcW w:w="578" w:type="pct"/>
          </w:tcPr>
          <w:p>
            <w:pPr>
              <w:contextualSpacing/>
              <w:jc w:val="both"/>
              <w:rPr>
                <w:rFonts w:ascii="Times New Roman" w:hAnsi="Times New Roman"/>
                <w:noProof/>
                <w:color w:val="000000"/>
              </w:rPr>
            </w:pPr>
            <w:r>
              <w:rPr>
                <w:rFonts w:ascii="Times New Roman" w:hAnsi="Times New Roman"/>
                <w:noProof/>
                <w:color w:val="000000"/>
              </w:rPr>
              <w:t>1 697.18</w:t>
            </w:r>
          </w:p>
        </w:tc>
      </w:tr>
      <w:tr>
        <w:trPr>
          <w:trHeight w:val="227"/>
        </w:trPr>
        <w:tc>
          <w:tcPr>
            <w:tcW w:w="2616" w:type="pct"/>
          </w:tcPr>
          <w:p>
            <w:pPr>
              <w:contextualSpacing/>
              <w:jc w:val="both"/>
              <w:rPr>
                <w:rFonts w:ascii="Times New Roman" w:hAnsi="Times New Roman"/>
                <w:noProof/>
                <w:color w:val="000000"/>
                <w:szCs w:val="24"/>
              </w:rPr>
            </w:pPr>
            <w:r>
              <w:rPr>
                <w:rFonts w:ascii="Times New Roman" w:hAnsi="Times New Roman"/>
                <w:noProof/>
                <w:color w:val="000000"/>
                <w:szCs w:val="24"/>
              </w:rPr>
              <w:t>Administrative budget, commitments</w:t>
            </w:r>
          </w:p>
        </w:tc>
        <w:tc>
          <w:tcPr>
            <w:tcW w:w="614" w:type="pct"/>
          </w:tcPr>
          <w:p>
            <w:pPr>
              <w:contextualSpacing/>
              <w:jc w:val="both"/>
              <w:rPr>
                <w:rFonts w:ascii="Times New Roman" w:hAnsi="Times New Roman"/>
                <w:noProof/>
                <w:color w:val="000000"/>
              </w:rPr>
            </w:pPr>
            <w:r>
              <w:rPr>
                <w:rFonts w:ascii="Times New Roman" w:hAnsi="Times New Roman"/>
                <w:noProof/>
              </w:rPr>
              <w:t>51.24</w:t>
            </w:r>
          </w:p>
        </w:tc>
        <w:tc>
          <w:tcPr>
            <w:tcW w:w="579" w:type="pct"/>
          </w:tcPr>
          <w:p>
            <w:pPr>
              <w:contextualSpacing/>
              <w:jc w:val="both"/>
              <w:rPr>
                <w:rFonts w:ascii="Times New Roman" w:hAnsi="Times New Roman"/>
                <w:noProof/>
                <w:color w:val="000000"/>
              </w:rPr>
            </w:pPr>
            <w:r>
              <w:rPr>
                <w:rFonts w:ascii="Times New Roman" w:hAnsi="Times New Roman"/>
                <w:noProof/>
                <w:color w:val="000000"/>
              </w:rPr>
              <w:t>54.19</w:t>
            </w:r>
          </w:p>
        </w:tc>
        <w:tc>
          <w:tcPr>
            <w:tcW w:w="613" w:type="pct"/>
          </w:tcPr>
          <w:p>
            <w:pPr>
              <w:contextualSpacing/>
              <w:jc w:val="both"/>
              <w:rPr>
                <w:rFonts w:ascii="Times New Roman" w:hAnsi="Times New Roman"/>
                <w:noProof/>
                <w:color w:val="000000"/>
              </w:rPr>
            </w:pPr>
            <w:r>
              <w:rPr>
                <w:rFonts w:ascii="Times New Roman" w:hAnsi="Times New Roman"/>
                <w:noProof/>
                <w:color w:val="000000"/>
              </w:rPr>
              <w:t>59.74</w:t>
            </w:r>
          </w:p>
        </w:tc>
        <w:tc>
          <w:tcPr>
            <w:tcW w:w="578" w:type="pct"/>
          </w:tcPr>
          <w:p>
            <w:pPr>
              <w:contextualSpacing/>
              <w:jc w:val="both"/>
              <w:rPr>
                <w:rFonts w:ascii="Times New Roman" w:hAnsi="Times New Roman"/>
                <w:noProof/>
                <w:color w:val="000000"/>
              </w:rPr>
            </w:pPr>
            <w:r>
              <w:rPr>
                <w:rFonts w:ascii="Times New Roman" w:hAnsi="Times New Roman"/>
                <w:noProof/>
                <w:color w:val="000000"/>
              </w:rPr>
              <w:t>66.87</w:t>
            </w:r>
          </w:p>
        </w:tc>
      </w:tr>
      <w:tr>
        <w:trPr>
          <w:trHeight w:val="227"/>
        </w:trPr>
        <w:tc>
          <w:tcPr>
            <w:tcW w:w="2616" w:type="pct"/>
          </w:tcPr>
          <w:p>
            <w:pPr>
              <w:contextualSpacing/>
              <w:jc w:val="both"/>
              <w:rPr>
                <w:rFonts w:ascii="Times New Roman" w:hAnsi="Times New Roman"/>
                <w:noProof/>
                <w:color w:val="000000"/>
                <w:szCs w:val="24"/>
              </w:rPr>
            </w:pPr>
            <w:r>
              <w:rPr>
                <w:rFonts w:ascii="Times New Roman" w:hAnsi="Times New Roman"/>
                <w:noProof/>
                <w:color w:val="000000"/>
                <w:szCs w:val="24"/>
              </w:rPr>
              <w:t>Administrative budget, payments</w:t>
            </w:r>
          </w:p>
        </w:tc>
        <w:tc>
          <w:tcPr>
            <w:tcW w:w="614" w:type="pct"/>
          </w:tcPr>
          <w:p>
            <w:pPr>
              <w:contextualSpacing/>
              <w:jc w:val="both"/>
              <w:rPr>
                <w:rFonts w:ascii="Times New Roman" w:hAnsi="Times New Roman"/>
                <w:noProof/>
                <w:color w:val="000000"/>
              </w:rPr>
            </w:pPr>
            <w:r>
              <w:rPr>
                <w:rFonts w:ascii="Times New Roman" w:hAnsi="Times New Roman"/>
                <w:noProof/>
              </w:rPr>
              <w:t>49.68</w:t>
            </w:r>
          </w:p>
        </w:tc>
        <w:tc>
          <w:tcPr>
            <w:tcW w:w="579" w:type="pct"/>
          </w:tcPr>
          <w:p>
            <w:pPr>
              <w:contextualSpacing/>
              <w:jc w:val="both"/>
              <w:rPr>
                <w:rFonts w:ascii="Times New Roman" w:hAnsi="Times New Roman"/>
                <w:noProof/>
                <w:color w:val="000000"/>
              </w:rPr>
            </w:pPr>
            <w:r>
              <w:rPr>
                <w:rFonts w:ascii="Times New Roman" w:hAnsi="Times New Roman"/>
                <w:noProof/>
              </w:rPr>
              <w:t>54.10</w:t>
            </w:r>
          </w:p>
        </w:tc>
        <w:tc>
          <w:tcPr>
            <w:tcW w:w="613" w:type="pct"/>
          </w:tcPr>
          <w:p>
            <w:pPr>
              <w:contextualSpacing/>
              <w:jc w:val="both"/>
              <w:rPr>
                <w:rFonts w:ascii="Times New Roman" w:hAnsi="Times New Roman"/>
                <w:noProof/>
                <w:color w:val="000000"/>
              </w:rPr>
            </w:pPr>
            <w:r>
              <w:rPr>
                <w:rFonts w:ascii="Times New Roman" w:hAnsi="Times New Roman"/>
                <w:noProof/>
              </w:rPr>
              <w:t>59.23</w:t>
            </w:r>
          </w:p>
        </w:tc>
        <w:tc>
          <w:tcPr>
            <w:tcW w:w="578" w:type="pct"/>
          </w:tcPr>
          <w:p>
            <w:pPr>
              <w:contextualSpacing/>
              <w:jc w:val="both"/>
              <w:rPr>
                <w:rFonts w:ascii="Times New Roman" w:hAnsi="Times New Roman"/>
                <w:noProof/>
                <w:color w:val="000000"/>
              </w:rPr>
            </w:pPr>
            <w:r>
              <w:rPr>
                <w:rFonts w:ascii="Times New Roman" w:hAnsi="Times New Roman"/>
                <w:noProof/>
              </w:rPr>
              <w:t>66.12</w:t>
            </w:r>
          </w:p>
        </w:tc>
      </w:tr>
      <w:tr>
        <w:trPr>
          <w:trHeight w:val="227"/>
        </w:trPr>
        <w:tc>
          <w:tcPr>
            <w:tcW w:w="2616" w:type="pct"/>
          </w:tcPr>
          <w:p>
            <w:pPr>
              <w:contextualSpacing/>
              <w:jc w:val="both"/>
              <w:rPr>
                <w:rFonts w:ascii="Times New Roman" w:hAnsi="Times New Roman"/>
                <w:noProof/>
                <w:color w:val="000000"/>
                <w:szCs w:val="24"/>
              </w:rPr>
            </w:pPr>
            <w:r>
              <w:rPr>
                <w:rFonts w:ascii="Times New Roman" w:hAnsi="Times New Roman"/>
                <w:noProof/>
                <w:color w:val="000000"/>
                <w:szCs w:val="24"/>
              </w:rPr>
              <w:t>Administrative budget without the central support services, commitments</w:t>
            </w:r>
          </w:p>
        </w:tc>
        <w:tc>
          <w:tcPr>
            <w:tcW w:w="614" w:type="pct"/>
          </w:tcPr>
          <w:p>
            <w:pPr>
              <w:contextualSpacing/>
              <w:jc w:val="both"/>
              <w:rPr>
                <w:rFonts w:ascii="Times New Roman" w:hAnsi="Times New Roman"/>
                <w:noProof/>
                <w:color w:val="000000"/>
              </w:rPr>
            </w:pPr>
            <w:r>
              <w:rPr>
                <w:rFonts w:ascii="Times New Roman" w:hAnsi="Times New Roman"/>
                <w:noProof/>
                <w:color w:val="000000"/>
              </w:rPr>
              <w:t>33.39</w:t>
            </w:r>
          </w:p>
        </w:tc>
        <w:tc>
          <w:tcPr>
            <w:tcW w:w="579" w:type="pct"/>
          </w:tcPr>
          <w:p>
            <w:pPr>
              <w:contextualSpacing/>
              <w:jc w:val="both"/>
              <w:rPr>
                <w:rFonts w:ascii="Times New Roman" w:hAnsi="Times New Roman"/>
                <w:noProof/>
                <w:color w:val="000000"/>
              </w:rPr>
            </w:pPr>
            <w:r>
              <w:rPr>
                <w:rFonts w:ascii="Times New Roman" w:hAnsi="Times New Roman"/>
                <w:noProof/>
                <w:color w:val="000000"/>
              </w:rPr>
              <w:t>39.88</w:t>
            </w:r>
          </w:p>
        </w:tc>
        <w:tc>
          <w:tcPr>
            <w:tcW w:w="613" w:type="pct"/>
          </w:tcPr>
          <w:p>
            <w:pPr>
              <w:contextualSpacing/>
              <w:jc w:val="both"/>
              <w:rPr>
                <w:rFonts w:ascii="Times New Roman" w:hAnsi="Times New Roman"/>
                <w:noProof/>
                <w:color w:val="000000"/>
              </w:rPr>
            </w:pPr>
            <w:r>
              <w:rPr>
                <w:rFonts w:ascii="Times New Roman" w:hAnsi="Times New Roman"/>
                <w:noProof/>
                <w:color w:val="000000"/>
              </w:rPr>
              <w:t>42.42</w:t>
            </w:r>
          </w:p>
        </w:tc>
        <w:tc>
          <w:tcPr>
            <w:tcW w:w="578" w:type="pct"/>
          </w:tcPr>
          <w:p>
            <w:pPr>
              <w:contextualSpacing/>
              <w:jc w:val="both"/>
              <w:rPr>
                <w:rFonts w:ascii="Times New Roman" w:hAnsi="Times New Roman"/>
                <w:noProof/>
                <w:color w:val="000000"/>
              </w:rPr>
            </w:pPr>
            <w:r>
              <w:rPr>
                <w:rFonts w:ascii="Times New Roman" w:hAnsi="Times New Roman"/>
                <w:noProof/>
                <w:color w:val="000000"/>
              </w:rPr>
              <w:t>43.92</w:t>
            </w:r>
          </w:p>
        </w:tc>
      </w:tr>
      <w:tr>
        <w:trPr>
          <w:trHeight w:val="227"/>
        </w:trPr>
        <w:tc>
          <w:tcPr>
            <w:tcW w:w="2616" w:type="pct"/>
          </w:tcPr>
          <w:p>
            <w:pPr>
              <w:contextualSpacing/>
              <w:jc w:val="both"/>
              <w:rPr>
                <w:rFonts w:ascii="Times New Roman" w:hAnsi="Times New Roman"/>
                <w:noProof/>
                <w:color w:val="000000"/>
                <w:szCs w:val="24"/>
              </w:rPr>
            </w:pPr>
            <w:r>
              <w:rPr>
                <w:rFonts w:ascii="Times New Roman" w:hAnsi="Times New Roman"/>
                <w:noProof/>
                <w:color w:val="000000"/>
                <w:szCs w:val="24"/>
              </w:rPr>
              <w:t>Actual number of staff (at the end of the year)</w:t>
            </w:r>
          </w:p>
        </w:tc>
        <w:tc>
          <w:tcPr>
            <w:tcW w:w="614" w:type="pct"/>
          </w:tcPr>
          <w:p>
            <w:pPr>
              <w:contextualSpacing/>
              <w:jc w:val="both"/>
              <w:rPr>
                <w:rFonts w:ascii="Times New Roman" w:hAnsi="Times New Roman"/>
                <w:noProof/>
                <w:color w:val="000000"/>
              </w:rPr>
            </w:pPr>
            <w:r>
              <w:rPr>
                <w:rFonts w:ascii="Times New Roman" w:hAnsi="Times New Roman"/>
                <w:noProof/>
                <w:color w:val="000000"/>
              </w:rPr>
              <w:t>548</w:t>
            </w:r>
          </w:p>
        </w:tc>
        <w:tc>
          <w:tcPr>
            <w:tcW w:w="579" w:type="pct"/>
          </w:tcPr>
          <w:p>
            <w:pPr>
              <w:contextualSpacing/>
              <w:jc w:val="both"/>
              <w:rPr>
                <w:rFonts w:ascii="Times New Roman" w:hAnsi="Times New Roman"/>
                <w:noProof/>
                <w:color w:val="000000"/>
              </w:rPr>
            </w:pPr>
            <w:r>
              <w:rPr>
                <w:rFonts w:ascii="Times New Roman" w:hAnsi="Times New Roman"/>
                <w:noProof/>
                <w:color w:val="000000"/>
              </w:rPr>
              <w:t>608</w:t>
            </w:r>
          </w:p>
        </w:tc>
        <w:tc>
          <w:tcPr>
            <w:tcW w:w="613" w:type="pct"/>
          </w:tcPr>
          <w:p>
            <w:pPr>
              <w:contextualSpacing/>
              <w:jc w:val="both"/>
              <w:rPr>
                <w:rFonts w:ascii="Times New Roman" w:hAnsi="Times New Roman"/>
                <w:noProof/>
                <w:color w:val="000000"/>
              </w:rPr>
            </w:pPr>
            <w:r>
              <w:rPr>
                <w:rFonts w:ascii="Times New Roman" w:hAnsi="Times New Roman"/>
                <w:noProof/>
                <w:color w:val="000000"/>
              </w:rPr>
              <w:t>628</w:t>
            </w:r>
          </w:p>
        </w:tc>
        <w:tc>
          <w:tcPr>
            <w:tcW w:w="578" w:type="pct"/>
          </w:tcPr>
          <w:p>
            <w:pPr>
              <w:contextualSpacing/>
              <w:jc w:val="both"/>
              <w:rPr>
                <w:rFonts w:ascii="Times New Roman" w:hAnsi="Times New Roman"/>
                <w:noProof/>
                <w:color w:val="000000"/>
              </w:rPr>
            </w:pPr>
            <w:r>
              <w:rPr>
                <w:rFonts w:ascii="Times New Roman" w:hAnsi="Times New Roman"/>
                <w:noProof/>
                <w:color w:val="000000"/>
              </w:rPr>
              <w:t>690</w:t>
            </w:r>
          </w:p>
        </w:tc>
      </w:tr>
      <w:tr>
        <w:trPr>
          <w:trHeight w:val="227"/>
        </w:trPr>
        <w:tc>
          <w:tcPr>
            <w:tcW w:w="2616" w:type="pct"/>
          </w:tcPr>
          <w:p>
            <w:pPr>
              <w:contextualSpacing/>
              <w:jc w:val="both"/>
              <w:rPr>
                <w:rFonts w:ascii="Times New Roman" w:hAnsi="Times New Roman"/>
                <w:noProof/>
                <w:color w:val="000000"/>
                <w:szCs w:val="24"/>
              </w:rPr>
            </w:pPr>
            <w:r>
              <w:rPr>
                <w:rFonts w:ascii="Times New Roman" w:hAnsi="Times New Roman"/>
                <w:noProof/>
                <w:color w:val="000000"/>
                <w:szCs w:val="24"/>
              </w:rPr>
              <w:t>Actual number of operational staff (without the central support services)</w:t>
            </w:r>
          </w:p>
        </w:tc>
        <w:tc>
          <w:tcPr>
            <w:tcW w:w="614" w:type="pct"/>
          </w:tcPr>
          <w:p>
            <w:pPr>
              <w:contextualSpacing/>
              <w:jc w:val="both"/>
              <w:rPr>
                <w:rFonts w:ascii="Times New Roman" w:hAnsi="Times New Roman"/>
                <w:noProof/>
                <w:color w:val="000000"/>
              </w:rPr>
            </w:pPr>
            <w:r>
              <w:rPr>
                <w:rFonts w:ascii="Times New Roman" w:hAnsi="Times New Roman"/>
                <w:noProof/>
                <w:color w:val="000000"/>
              </w:rPr>
              <w:t>449</w:t>
            </w:r>
          </w:p>
        </w:tc>
        <w:tc>
          <w:tcPr>
            <w:tcW w:w="579" w:type="pct"/>
          </w:tcPr>
          <w:p>
            <w:pPr>
              <w:contextualSpacing/>
              <w:jc w:val="both"/>
              <w:rPr>
                <w:rFonts w:ascii="Times New Roman" w:hAnsi="Times New Roman"/>
                <w:noProof/>
                <w:color w:val="000000"/>
              </w:rPr>
            </w:pPr>
            <w:r>
              <w:rPr>
                <w:rFonts w:ascii="Times New Roman" w:hAnsi="Times New Roman"/>
                <w:noProof/>
                <w:color w:val="000000"/>
              </w:rPr>
              <w:t>503</w:t>
            </w:r>
          </w:p>
        </w:tc>
        <w:tc>
          <w:tcPr>
            <w:tcW w:w="613" w:type="pct"/>
          </w:tcPr>
          <w:p>
            <w:pPr>
              <w:contextualSpacing/>
              <w:jc w:val="both"/>
              <w:rPr>
                <w:rFonts w:ascii="Times New Roman" w:hAnsi="Times New Roman"/>
                <w:noProof/>
                <w:color w:val="000000"/>
              </w:rPr>
            </w:pPr>
            <w:r>
              <w:rPr>
                <w:rFonts w:ascii="Times New Roman" w:hAnsi="Times New Roman"/>
                <w:noProof/>
                <w:color w:val="000000"/>
              </w:rPr>
              <w:t>516</w:t>
            </w:r>
          </w:p>
        </w:tc>
        <w:tc>
          <w:tcPr>
            <w:tcW w:w="578" w:type="pct"/>
          </w:tcPr>
          <w:p>
            <w:pPr>
              <w:contextualSpacing/>
              <w:jc w:val="both"/>
              <w:rPr>
                <w:rFonts w:ascii="Times New Roman" w:hAnsi="Times New Roman"/>
                <w:noProof/>
                <w:color w:val="000000"/>
              </w:rPr>
            </w:pPr>
            <w:r>
              <w:rPr>
                <w:rFonts w:ascii="Times New Roman" w:hAnsi="Times New Roman"/>
                <w:noProof/>
                <w:color w:val="000000"/>
              </w:rPr>
              <w:t>567</w:t>
            </w:r>
          </w:p>
        </w:tc>
      </w:tr>
      <w:tr>
        <w:trPr>
          <w:trHeight w:val="227"/>
        </w:trPr>
        <w:tc>
          <w:tcPr>
            <w:tcW w:w="2616" w:type="pct"/>
          </w:tcPr>
          <w:p>
            <w:pPr>
              <w:contextualSpacing/>
              <w:jc w:val="both"/>
              <w:rPr>
                <w:rFonts w:ascii="Times New Roman" w:hAnsi="Times New Roman"/>
                <w:noProof/>
                <w:color w:val="000000"/>
                <w:szCs w:val="24"/>
              </w:rPr>
            </w:pPr>
            <w:r>
              <w:rPr>
                <w:rFonts w:ascii="Times New Roman" w:hAnsi="Times New Roman"/>
                <w:noProof/>
                <w:color w:val="000000"/>
                <w:szCs w:val="24"/>
              </w:rPr>
              <w:t>Programme management cost at REA (excluding the central support services), commitments</w:t>
            </w:r>
          </w:p>
        </w:tc>
        <w:tc>
          <w:tcPr>
            <w:tcW w:w="614" w:type="pct"/>
          </w:tcPr>
          <w:p>
            <w:pPr>
              <w:contextualSpacing/>
              <w:jc w:val="both"/>
              <w:rPr>
                <w:rFonts w:ascii="Times New Roman" w:hAnsi="Times New Roman"/>
                <w:noProof/>
                <w:color w:val="000000"/>
                <w:szCs w:val="24"/>
              </w:rPr>
            </w:pPr>
            <w:r>
              <w:rPr>
                <w:rFonts w:ascii="Times New Roman" w:hAnsi="Times New Roman"/>
                <w:noProof/>
                <w:szCs w:val="24"/>
              </w:rPr>
              <w:t>2.15%</w:t>
            </w:r>
          </w:p>
        </w:tc>
        <w:tc>
          <w:tcPr>
            <w:tcW w:w="579" w:type="pct"/>
          </w:tcPr>
          <w:p>
            <w:pPr>
              <w:contextualSpacing/>
              <w:jc w:val="both"/>
              <w:rPr>
                <w:rFonts w:ascii="Times New Roman" w:hAnsi="Times New Roman"/>
                <w:noProof/>
                <w:color w:val="000000"/>
                <w:szCs w:val="24"/>
              </w:rPr>
            </w:pPr>
            <w:r>
              <w:rPr>
                <w:rFonts w:ascii="Times New Roman" w:hAnsi="Times New Roman"/>
                <w:noProof/>
                <w:szCs w:val="24"/>
              </w:rPr>
              <w:t>2.62%</w:t>
            </w:r>
          </w:p>
        </w:tc>
        <w:tc>
          <w:tcPr>
            <w:tcW w:w="613" w:type="pct"/>
          </w:tcPr>
          <w:p>
            <w:pPr>
              <w:contextualSpacing/>
              <w:jc w:val="both"/>
              <w:rPr>
                <w:rFonts w:ascii="Times New Roman" w:hAnsi="Times New Roman"/>
                <w:noProof/>
                <w:color w:val="000000"/>
                <w:szCs w:val="24"/>
              </w:rPr>
            </w:pPr>
            <w:r>
              <w:rPr>
                <w:rFonts w:ascii="Times New Roman" w:hAnsi="Times New Roman"/>
                <w:noProof/>
                <w:szCs w:val="24"/>
              </w:rPr>
              <w:t>2.55%</w:t>
            </w:r>
          </w:p>
        </w:tc>
        <w:tc>
          <w:tcPr>
            <w:tcW w:w="578" w:type="pct"/>
          </w:tcPr>
          <w:p>
            <w:pPr>
              <w:contextualSpacing/>
              <w:jc w:val="both"/>
              <w:rPr>
                <w:rFonts w:ascii="Times New Roman" w:hAnsi="Times New Roman"/>
                <w:noProof/>
                <w:color w:val="000000"/>
                <w:szCs w:val="24"/>
              </w:rPr>
            </w:pPr>
            <w:r>
              <w:rPr>
                <w:rFonts w:ascii="Times New Roman" w:hAnsi="Times New Roman"/>
                <w:noProof/>
                <w:szCs w:val="24"/>
              </w:rPr>
              <w:t>2.19%</w:t>
            </w:r>
          </w:p>
        </w:tc>
      </w:tr>
      <w:tr>
        <w:trPr>
          <w:trHeight w:val="227"/>
        </w:trPr>
        <w:tc>
          <w:tcPr>
            <w:tcW w:w="2616" w:type="pct"/>
          </w:tcPr>
          <w:p>
            <w:pPr>
              <w:contextualSpacing/>
              <w:jc w:val="both"/>
              <w:rPr>
                <w:rFonts w:ascii="Times New Roman" w:hAnsi="Times New Roman"/>
                <w:noProof/>
                <w:color w:val="000000"/>
                <w:szCs w:val="24"/>
              </w:rPr>
            </w:pPr>
            <w:r>
              <w:rPr>
                <w:rFonts w:ascii="Times New Roman" w:hAnsi="Times New Roman"/>
                <w:noProof/>
                <w:color w:val="000000"/>
                <w:szCs w:val="24"/>
              </w:rPr>
              <w:t>Programme management cost at REA (excluding the central support services), payments</w:t>
            </w:r>
          </w:p>
        </w:tc>
        <w:tc>
          <w:tcPr>
            <w:tcW w:w="614" w:type="pct"/>
          </w:tcPr>
          <w:p>
            <w:pPr>
              <w:contextualSpacing/>
              <w:jc w:val="both"/>
              <w:rPr>
                <w:rFonts w:ascii="Times New Roman" w:hAnsi="Times New Roman"/>
                <w:noProof/>
                <w:color w:val="000000"/>
                <w:szCs w:val="24"/>
              </w:rPr>
            </w:pPr>
            <w:r>
              <w:rPr>
                <w:rFonts w:ascii="Times New Roman" w:hAnsi="Times New Roman"/>
                <w:noProof/>
                <w:color w:val="000000"/>
                <w:szCs w:val="24"/>
              </w:rPr>
              <w:t>3.04%</w:t>
            </w:r>
          </w:p>
        </w:tc>
        <w:tc>
          <w:tcPr>
            <w:tcW w:w="579" w:type="pct"/>
          </w:tcPr>
          <w:p>
            <w:pPr>
              <w:contextualSpacing/>
              <w:jc w:val="both"/>
              <w:rPr>
                <w:rFonts w:ascii="Times New Roman" w:hAnsi="Times New Roman"/>
                <w:noProof/>
                <w:color w:val="000000"/>
                <w:szCs w:val="24"/>
              </w:rPr>
            </w:pPr>
            <w:r>
              <w:rPr>
                <w:rFonts w:ascii="Times New Roman" w:hAnsi="Times New Roman"/>
                <w:noProof/>
                <w:color w:val="000000"/>
                <w:szCs w:val="24"/>
              </w:rPr>
              <w:t>2.81%</w:t>
            </w:r>
          </w:p>
        </w:tc>
        <w:tc>
          <w:tcPr>
            <w:tcW w:w="613" w:type="pct"/>
          </w:tcPr>
          <w:p>
            <w:pPr>
              <w:contextualSpacing/>
              <w:jc w:val="both"/>
              <w:rPr>
                <w:rFonts w:ascii="Times New Roman" w:hAnsi="Times New Roman"/>
                <w:noProof/>
                <w:color w:val="000000"/>
                <w:szCs w:val="24"/>
              </w:rPr>
            </w:pPr>
            <w:r>
              <w:rPr>
                <w:rFonts w:ascii="Times New Roman" w:hAnsi="Times New Roman"/>
                <w:noProof/>
                <w:color w:val="000000"/>
                <w:szCs w:val="24"/>
              </w:rPr>
              <w:t>2.58%</w:t>
            </w:r>
          </w:p>
        </w:tc>
        <w:tc>
          <w:tcPr>
            <w:tcW w:w="578" w:type="pct"/>
          </w:tcPr>
          <w:p>
            <w:pPr>
              <w:contextualSpacing/>
              <w:jc w:val="both"/>
              <w:rPr>
                <w:rFonts w:ascii="Times New Roman" w:hAnsi="Times New Roman"/>
                <w:noProof/>
                <w:color w:val="000000"/>
                <w:szCs w:val="24"/>
              </w:rPr>
            </w:pPr>
            <w:r>
              <w:rPr>
                <w:rFonts w:ascii="Times New Roman" w:hAnsi="Times New Roman"/>
                <w:noProof/>
                <w:color w:val="000000"/>
                <w:szCs w:val="24"/>
              </w:rPr>
              <w:t>2.59%</w:t>
            </w:r>
          </w:p>
        </w:tc>
      </w:tr>
      <w:tr>
        <w:trPr>
          <w:trHeight w:val="227"/>
        </w:trPr>
        <w:tc>
          <w:tcPr>
            <w:tcW w:w="2616" w:type="pct"/>
          </w:tcPr>
          <w:p>
            <w:pPr>
              <w:contextualSpacing/>
              <w:jc w:val="both"/>
              <w:rPr>
                <w:rFonts w:ascii="Times New Roman" w:hAnsi="Times New Roman"/>
                <w:noProof/>
                <w:color w:val="000000"/>
                <w:szCs w:val="24"/>
              </w:rPr>
            </w:pPr>
            <w:r>
              <w:rPr>
                <w:rFonts w:ascii="Times New Roman" w:hAnsi="Times New Roman"/>
                <w:noProof/>
                <w:color w:val="000000"/>
                <w:szCs w:val="24"/>
              </w:rPr>
              <w:t xml:space="preserve">Budget ‘per operational head’, commitments </w:t>
            </w:r>
          </w:p>
        </w:tc>
        <w:tc>
          <w:tcPr>
            <w:tcW w:w="614" w:type="pct"/>
          </w:tcPr>
          <w:p>
            <w:pPr>
              <w:contextualSpacing/>
              <w:jc w:val="both"/>
              <w:rPr>
                <w:rFonts w:ascii="Times New Roman" w:hAnsi="Times New Roman"/>
                <w:noProof/>
                <w:color w:val="000000"/>
              </w:rPr>
            </w:pPr>
            <w:r>
              <w:rPr>
                <w:rFonts w:ascii="Times New Roman" w:hAnsi="Times New Roman"/>
                <w:noProof/>
                <w:color w:val="000000"/>
              </w:rPr>
              <w:t>3.46</w:t>
            </w:r>
          </w:p>
        </w:tc>
        <w:tc>
          <w:tcPr>
            <w:tcW w:w="579" w:type="pct"/>
          </w:tcPr>
          <w:p>
            <w:pPr>
              <w:contextualSpacing/>
              <w:jc w:val="both"/>
              <w:rPr>
                <w:rFonts w:ascii="Times New Roman" w:hAnsi="Times New Roman"/>
                <w:noProof/>
                <w:color w:val="000000"/>
              </w:rPr>
            </w:pPr>
            <w:r>
              <w:rPr>
                <w:rFonts w:ascii="Times New Roman" w:hAnsi="Times New Roman"/>
                <w:noProof/>
                <w:color w:val="000000"/>
              </w:rPr>
              <w:t>3.03</w:t>
            </w:r>
          </w:p>
        </w:tc>
        <w:tc>
          <w:tcPr>
            <w:tcW w:w="613" w:type="pct"/>
          </w:tcPr>
          <w:p>
            <w:pPr>
              <w:contextualSpacing/>
              <w:jc w:val="both"/>
              <w:rPr>
                <w:rFonts w:ascii="Times New Roman" w:hAnsi="Times New Roman"/>
                <w:noProof/>
                <w:color w:val="000000"/>
              </w:rPr>
            </w:pPr>
            <w:r>
              <w:rPr>
                <w:rFonts w:ascii="Times New Roman" w:hAnsi="Times New Roman"/>
                <w:noProof/>
                <w:color w:val="000000"/>
              </w:rPr>
              <w:t>3.23</w:t>
            </w:r>
          </w:p>
        </w:tc>
        <w:tc>
          <w:tcPr>
            <w:tcW w:w="578" w:type="pct"/>
          </w:tcPr>
          <w:p>
            <w:pPr>
              <w:contextualSpacing/>
              <w:jc w:val="both"/>
              <w:rPr>
                <w:rFonts w:ascii="Times New Roman" w:hAnsi="Times New Roman"/>
                <w:noProof/>
                <w:color w:val="000000"/>
              </w:rPr>
            </w:pPr>
            <w:r>
              <w:rPr>
                <w:rFonts w:ascii="Times New Roman" w:hAnsi="Times New Roman"/>
                <w:noProof/>
                <w:color w:val="000000"/>
              </w:rPr>
              <w:t>3.54</w:t>
            </w:r>
          </w:p>
        </w:tc>
      </w:tr>
      <w:tr>
        <w:trPr>
          <w:trHeight w:val="227"/>
        </w:trPr>
        <w:tc>
          <w:tcPr>
            <w:tcW w:w="2616" w:type="pct"/>
          </w:tcPr>
          <w:p>
            <w:pPr>
              <w:contextualSpacing/>
              <w:jc w:val="both"/>
              <w:rPr>
                <w:rFonts w:ascii="Times New Roman" w:hAnsi="Times New Roman"/>
                <w:noProof/>
                <w:color w:val="000000"/>
                <w:szCs w:val="24"/>
              </w:rPr>
            </w:pPr>
            <w:r>
              <w:rPr>
                <w:rFonts w:ascii="Times New Roman" w:hAnsi="Times New Roman"/>
                <w:noProof/>
                <w:color w:val="000000"/>
                <w:szCs w:val="24"/>
              </w:rPr>
              <w:t>Budget ‘per operational head’, payments</w:t>
            </w:r>
          </w:p>
        </w:tc>
        <w:tc>
          <w:tcPr>
            <w:tcW w:w="614" w:type="pct"/>
          </w:tcPr>
          <w:p>
            <w:pPr>
              <w:contextualSpacing/>
              <w:jc w:val="both"/>
              <w:rPr>
                <w:rFonts w:ascii="Times New Roman" w:hAnsi="Times New Roman"/>
                <w:noProof/>
                <w:color w:val="000000"/>
              </w:rPr>
            </w:pPr>
            <w:r>
              <w:rPr>
                <w:rFonts w:ascii="Times New Roman" w:hAnsi="Times New Roman"/>
                <w:noProof/>
                <w:color w:val="000000"/>
              </w:rPr>
              <w:t>2.44</w:t>
            </w:r>
          </w:p>
        </w:tc>
        <w:tc>
          <w:tcPr>
            <w:tcW w:w="579" w:type="pct"/>
          </w:tcPr>
          <w:p>
            <w:pPr>
              <w:contextualSpacing/>
              <w:jc w:val="both"/>
              <w:rPr>
                <w:rFonts w:ascii="Times New Roman" w:hAnsi="Times New Roman"/>
                <w:noProof/>
                <w:color w:val="000000"/>
              </w:rPr>
            </w:pPr>
            <w:r>
              <w:rPr>
                <w:rFonts w:ascii="Times New Roman" w:hAnsi="Times New Roman"/>
                <w:noProof/>
                <w:color w:val="000000"/>
              </w:rPr>
              <w:t>2.82</w:t>
            </w:r>
          </w:p>
        </w:tc>
        <w:tc>
          <w:tcPr>
            <w:tcW w:w="613" w:type="pct"/>
          </w:tcPr>
          <w:p>
            <w:pPr>
              <w:contextualSpacing/>
              <w:jc w:val="both"/>
              <w:rPr>
                <w:rFonts w:ascii="Times New Roman" w:hAnsi="Times New Roman"/>
                <w:noProof/>
                <w:color w:val="000000"/>
              </w:rPr>
            </w:pPr>
            <w:r>
              <w:rPr>
                <w:rFonts w:ascii="Times New Roman" w:hAnsi="Times New Roman"/>
                <w:noProof/>
                <w:color w:val="000000"/>
              </w:rPr>
              <w:t>3.18</w:t>
            </w:r>
          </w:p>
        </w:tc>
        <w:tc>
          <w:tcPr>
            <w:tcW w:w="578" w:type="pct"/>
          </w:tcPr>
          <w:p>
            <w:pPr>
              <w:contextualSpacing/>
              <w:jc w:val="both"/>
              <w:rPr>
                <w:rFonts w:ascii="Times New Roman" w:hAnsi="Times New Roman"/>
                <w:noProof/>
                <w:color w:val="000000"/>
              </w:rPr>
            </w:pPr>
            <w:r>
              <w:rPr>
                <w:rFonts w:ascii="Times New Roman" w:hAnsi="Times New Roman"/>
                <w:noProof/>
                <w:color w:val="000000"/>
              </w:rPr>
              <w:t>2.99</w:t>
            </w:r>
          </w:p>
        </w:tc>
      </w:tr>
      <w:tr>
        <w:trPr>
          <w:trHeight w:val="227"/>
        </w:trPr>
        <w:tc>
          <w:tcPr>
            <w:tcW w:w="2616" w:type="pct"/>
          </w:tcPr>
          <w:p>
            <w:pPr>
              <w:contextualSpacing/>
              <w:jc w:val="both"/>
              <w:rPr>
                <w:rFonts w:ascii="Times New Roman" w:hAnsi="Times New Roman"/>
                <w:noProof/>
                <w:color w:val="000000"/>
                <w:szCs w:val="24"/>
              </w:rPr>
            </w:pPr>
            <w:r>
              <w:rPr>
                <w:rFonts w:ascii="Times New Roman" w:hAnsi="Times New Roman"/>
                <w:noProof/>
                <w:color w:val="000000"/>
                <w:szCs w:val="24"/>
              </w:rPr>
              <w:t>Proposals received</w:t>
            </w:r>
          </w:p>
        </w:tc>
        <w:tc>
          <w:tcPr>
            <w:tcW w:w="614" w:type="pct"/>
          </w:tcPr>
          <w:p>
            <w:pPr>
              <w:contextualSpacing/>
              <w:jc w:val="both"/>
              <w:rPr>
                <w:rFonts w:ascii="Times New Roman" w:hAnsi="Times New Roman"/>
                <w:noProof/>
                <w:color w:val="000000"/>
              </w:rPr>
            </w:pPr>
            <w:r>
              <w:rPr>
                <w:rFonts w:ascii="Times New Roman" w:hAnsi="Times New Roman"/>
                <w:noProof/>
                <w:color w:val="000000"/>
              </w:rPr>
              <w:t>11 473</w:t>
            </w:r>
          </w:p>
        </w:tc>
        <w:tc>
          <w:tcPr>
            <w:tcW w:w="579" w:type="pct"/>
          </w:tcPr>
          <w:p>
            <w:pPr>
              <w:contextualSpacing/>
              <w:jc w:val="both"/>
              <w:rPr>
                <w:rFonts w:ascii="Times New Roman" w:hAnsi="Times New Roman"/>
                <w:noProof/>
                <w:color w:val="000000"/>
              </w:rPr>
            </w:pPr>
            <w:r>
              <w:rPr>
                <w:rFonts w:ascii="Times New Roman" w:hAnsi="Times New Roman"/>
                <w:noProof/>
                <w:color w:val="000000"/>
              </w:rPr>
              <w:t>15 415</w:t>
            </w:r>
          </w:p>
        </w:tc>
        <w:tc>
          <w:tcPr>
            <w:tcW w:w="613" w:type="pct"/>
          </w:tcPr>
          <w:p>
            <w:pPr>
              <w:contextualSpacing/>
              <w:jc w:val="both"/>
              <w:rPr>
                <w:rFonts w:ascii="Times New Roman" w:hAnsi="Times New Roman"/>
                <w:noProof/>
                <w:color w:val="000000"/>
              </w:rPr>
            </w:pPr>
            <w:r>
              <w:rPr>
                <w:rFonts w:ascii="Times New Roman" w:hAnsi="Times New Roman"/>
                <w:noProof/>
                <w:color w:val="000000"/>
              </w:rPr>
              <w:t>13 005</w:t>
            </w:r>
          </w:p>
        </w:tc>
        <w:tc>
          <w:tcPr>
            <w:tcW w:w="578" w:type="pct"/>
          </w:tcPr>
          <w:p>
            <w:pPr>
              <w:contextualSpacing/>
              <w:jc w:val="both"/>
              <w:rPr>
                <w:rFonts w:ascii="Times New Roman" w:hAnsi="Times New Roman"/>
                <w:noProof/>
                <w:color w:val="000000"/>
              </w:rPr>
            </w:pPr>
            <w:r>
              <w:rPr>
                <w:rFonts w:ascii="Times New Roman" w:hAnsi="Times New Roman"/>
                <w:noProof/>
                <w:color w:val="000000"/>
              </w:rPr>
              <w:t>14 927</w:t>
            </w:r>
          </w:p>
        </w:tc>
      </w:tr>
      <w:tr>
        <w:trPr>
          <w:trHeight w:val="227"/>
        </w:trPr>
        <w:tc>
          <w:tcPr>
            <w:tcW w:w="2616" w:type="pct"/>
          </w:tcPr>
          <w:p>
            <w:pPr>
              <w:contextualSpacing/>
              <w:jc w:val="both"/>
              <w:rPr>
                <w:rFonts w:ascii="Times New Roman" w:hAnsi="Times New Roman"/>
                <w:noProof/>
                <w:color w:val="000000"/>
                <w:szCs w:val="24"/>
              </w:rPr>
            </w:pPr>
            <w:r>
              <w:rPr>
                <w:rFonts w:ascii="Times New Roman" w:hAnsi="Times New Roman"/>
                <w:noProof/>
                <w:color w:val="000000"/>
                <w:szCs w:val="24"/>
              </w:rPr>
              <w:t xml:space="preserve">Total running projects </w:t>
            </w:r>
          </w:p>
        </w:tc>
        <w:tc>
          <w:tcPr>
            <w:tcW w:w="614" w:type="pct"/>
          </w:tcPr>
          <w:p>
            <w:pPr>
              <w:contextualSpacing/>
              <w:jc w:val="both"/>
              <w:rPr>
                <w:rFonts w:ascii="Times New Roman" w:hAnsi="Times New Roman"/>
                <w:noProof/>
                <w:color w:val="000000"/>
              </w:rPr>
            </w:pPr>
            <w:r>
              <w:rPr>
                <w:rFonts w:ascii="Times New Roman" w:hAnsi="Times New Roman"/>
                <w:noProof/>
              </w:rPr>
              <w:t>6 925</w:t>
            </w:r>
          </w:p>
        </w:tc>
        <w:tc>
          <w:tcPr>
            <w:tcW w:w="579" w:type="pct"/>
          </w:tcPr>
          <w:p>
            <w:pPr>
              <w:contextualSpacing/>
              <w:jc w:val="both"/>
              <w:rPr>
                <w:rFonts w:ascii="Times New Roman" w:hAnsi="Times New Roman"/>
                <w:noProof/>
                <w:color w:val="000000"/>
              </w:rPr>
            </w:pPr>
            <w:r>
              <w:rPr>
                <w:rFonts w:ascii="Times New Roman" w:hAnsi="Times New Roman"/>
                <w:noProof/>
              </w:rPr>
              <w:t>7 020</w:t>
            </w:r>
          </w:p>
        </w:tc>
        <w:tc>
          <w:tcPr>
            <w:tcW w:w="613" w:type="pct"/>
          </w:tcPr>
          <w:p>
            <w:pPr>
              <w:contextualSpacing/>
              <w:jc w:val="both"/>
              <w:rPr>
                <w:rFonts w:ascii="Times New Roman" w:hAnsi="Times New Roman"/>
                <w:noProof/>
                <w:color w:val="000000"/>
              </w:rPr>
            </w:pPr>
            <w:r>
              <w:rPr>
                <w:rFonts w:ascii="Times New Roman" w:hAnsi="Times New Roman"/>
                <w:noProof/>
              </w:rPr>
              <w:t>6 658</w:t>
            </w:r>
          </w:p>
        </w:tc>
        <w:tc>
          <w:tcPr>
            <w:tcW w:w="578" w:type="pct"/>
          </w:tcPr>
          <w:p>
            <w:pPr>
              <w:contextualSpacing/>
              <w:jc w:val="both"/>
              <w:rPr>
                <w:rFonts w:ascii="Times New Roman" w:hAnsi="Times New Roman"/>
                <w:noProof/>
                <w:color w:val="000000"/>
              </w:rPr>
            </w:pPr>
            <w:r>
              <w:rPr>
                <w:rFonts w:ascii="Times New Roman" w:hAnsi="Times New Roman"/>
                <w:noProof/>
              </w:rPr>
              <w:t>6 420</w:t>
            </w:r>
          </w:p>
        </w:tc>
      </w:tr>
      <w:tr>
        <w:trPr>
          <w:trHeight w:val="227"/>
        </w:trPr>
        <w:tc>
          <w:tcPr>
            <w:tcW w:w="2616" w:type="pct"/>
          </w:tcPr>
          <w:p>
            <w:pPr>
              <w:contextualSpacing/>
              <w:jc w:val="both"/>
              <w:rPr>
                <w:rFonts w:ascii="Times New Roman" w:hAnsi="Times New Roman"/>
                <w:noProof/>
                <w:color w:val="000000"/>
                <w:szCs w:val="24"/>
              </w:rPr>
            </w:pPr>
            <w:r>
              <w:rPr>
                <w:rFonts w:ascii="Times New Roman" w:hAnsi="Times New Roman"/>
                <w:noProof/>
                <w:szCs w:val="24"/>
              </w:rPr>
              <w:t xml:space="preserve">Running projects ‘per operational head’ </w:t>
            </w:r>
          </w:p>
        </w:tc>
        <w:tc>
          <w:tcPr>
            <w:tcW w:w="614" w:type="pct"/>
          </w:tcPr>
          <w:p>
            <w:pPr>
              <w:contextualSpacing/>
              <w:jc w:val="both"/>
              <w:rPr>
                <w:rFonts w:ascii="Times New Roman" w:hAnsi="Times New Roman"/>
                <w:noProof/>
                <w:color w:val="000000"/>
              </w:rPr>
            </w:pPr>
            <w:r>
              <w:rPr>
                <w:rFonts w:ascii="Times New Roman" w:hAnsi="Times New Roman"/>
                <w:noProof/>
                <w:color w:val="000000"/>
              </w:rPr>
              <w:t>15.42</w:t>
            </w:r>
          </w:p>
        </w:tc>
        <w:tc>
          <w:tcPr>
            <w:tcW w:w="579" w:type="pct"/>
          </w:tcPr>
          <w:p>
            <w:pPr>
              <w:contextualSpacing/>
              <w:jc w:val="both"/>
              <w:rPr>
                <w:rFonts w:ascii="Times New Roman" w:hAnsi="Times New Roman"/>
                <w:noProof/>
                <w:color w:val="000000"/>
              </w:rPr>
            </w:pPr>
            <w:r>
              <w:rPr>
                <w:rFonts w:ascii="Times New Roman" w:hAnsi="Times New Roman"/>
                <w:noProof/>
                <w:color w:val="000000"/>
              </w:rPr>
              <w:t>13.96</w:t>
            </w:r>
          </w:p>
        </w:tc>
        <w:tc>
          <w:tcPr>
            <w:tcW w:w="613" w:type="pct"/>
          </w:tcPr>
          <w:p>
            <w:pPr>
              <w:contextualSpacing/>
              <w:jc w:val="both"/>
              <w:rPr>
                <w:rFonts w:ascii="Times New Roman" w:hAnsi="Times New Roman"/>
                <w:noProof/>
                <w:color w:val="000000"/>
              </w:rPr>
            </w:pPr>
            <w:r>
              <w:rPr>
                <w:rFonts w:ascii="Times New Roman" w:hAnsi="Times New Roman"/>
                <w:noProof/>
                <w:color w:val="000000"/>
              </w:rPr>
              <w:t>12.90</w:t>
            </w:r>
          </w:p>
        </w:tc>
        <w:tc>
          <w:tcPr>
            <w:tcW w:w="578" w:type="pct"/>
          </w:tcPr>
          <w:p>
            <w:pPr>
              <w:contextualSpacing/>
              <w:jc w:val="both"/>
              <w:rPr>
                <w:rFonts w:ascii="Times New Roman" w:hAnsi="Times New Roman"/>
                <w:noProof/>
                <w:color w:val="000000"/>
              </w:rPr>
            </w:pPr>
            <w:r>
              <w:rPr>
                <w:rFonts w:ascii="Times New Roman" w:hAnsi="Times New Roman"/>
                <w:noProof/>
                <w:color w:val="000000"/>
              </w:rPr>
              <w:t>11.32</w:t>
            </w:r>
          </w:p>
        </w:tc>
      </w:tr>
    </w:tbl>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REA took a series of actions to cope with the varying levels of workload across its different units. The Agency introduced an annual workload measurement, which helped to re-balance its staffing levels across all of its units and the appropriate ratio of administrative and operational staff. REA was also effective in filling vacancies and maintaining a relatively low vacancy rate (2%) between 2015 and 2018. In accordance with the multi-annual planning provided in the SFS, by the end of 2017</w:t>
      </w:r>
      <w:r>
        <w:rPr>
          <w:rFonts w:ascii="Times New Roman" w:hAnsi="Times New Roman"/>
          <w:noProof/>
          <w:sz w:val="24"/>
        </w:rPr>
        <w:t xml:space="preserve"> </w:t>
      </w:r>
      <w:r>
        <w:rPr>
          <w:rFonts w:ascii="Times New Roman" w:eastAsia="Calibri" w:hAnsi="Times New Roman" w:cs="Times New Roman"/>
          <w:noProof/>
          <w:sz w:val="24"/>
          <w:szCs w:val="24"/>
        </w:rPr>
        <w:t>the number of REA staff</w:t>
      </w:r>
      <w:r>
        <w:rPr>
          <w:rStyle w:val="FootnoteReference"/>
          <w:rFonts w:ascii="Times New Roman" w:eastAsia="Calibri" w:hAnsi="Times New Roman" w:cs="Times New Roman"/>
          <w:noProof/>
          <w:sz w:val="24"/>
          <w:szCs w:val="24"/>
        </w:rPr>
        <w:footnoteReference w:id="25"/>
      </w:r>
      <w:r>
        <w:rPr>
          <w:rFonts w:ascii="Times New Roman" w:eastAsia="Calibri" w:hAnsi="Times New Roman" w:cs="Times New Roman"/>
          <w:noProof/>
          <w:sz w:val="24"/>
          <w:szCs w:val="24"/>
        </w:rPr>
        <w:t xml:space="preserve"> had risen to 690 (from 608 in 2015), of which 123 are dedicated for the support services.</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staff opinion survey carried out in 2016 revealed that REA’s key strengths were related to overall job satisfaction and staff’s satisfaction with the Agency as a modern and attractive workplace. In addition, REA achieved positive results with respect to the willingness of its staff to give extra effort when required, the level of understanding of the Agency’s purpose as well as job clarity.</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At the same time, REA staff perceived less positively their career development and mobility opportunities, work recognition as well as equal opportunities and internal communication. Those results were however still higher than or equal to the levels of agreement for the Commission and other executive agencies.</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eastAsia="MS Mincho" w:hAnsi="Times New Roman" w:cs="Times New Roman"/>
          <w:noProof/>
          <w:spacing w:val="2"/>
          <w:sz w:val="24"/>
          <w:szCs w:val="24"/>
          <w:lang w:eastAsia="lt-LT"/>
          <w14:numForm w14:val="lining"/>
        </w:rPr>
        <w:t xml:space="preserve">The Agency has stepped up its HR management by the adoption of its 2016 HR Action Plan to follow up these staff </w:t>
      </w:r>
      <w:r>
        <w:rPr>
          <w:rFonts w:ascii="Times New Roman" w:hAnsi="Times New Roman"/>
          <w:noProof/>
          <w:sz w:val="24"/>
          <w:szCs w:val="24"/>
        </w:rPr>
        <w:t xml:space="preserve">opinion </w:t>
      </w:r>
      <w:r>
        <w:rPr>
          <w:rFonts w:ascii="Times New Roman" w:eastAsia="MS Mincho" w:hAnsi="Times New Roman" w:cs="Times New Roman"/>
          <w:noProof/>
          <w:spacing w:val="2"/>
          <w:sz w:val="24"/>
          <w:szCs w:val="24"/>
          <w:lang w:eastAsia="lt-LT"/>
          <w14:numForm w14:val="lining"/>
        </w:rPr>
        <w:t>survey results, and through a new comprehensive multi-annual HR strategy. The evolution of key indicators for staff satisfaction – after the evaluated period – is encouraging: In the latest staff opinion survey (4</w:t>
      </w:r>
      <w:r>
        <w:rPr>
          <w:rFonts w:ascii="Times New Roman" w:eastAsia="MS Mincho" w:hAnsi="Times New Roman" w:cs="Times New Roman"/>
          <w:noProof/>
          <w:spacing w:val="2"/>
          <w:sz w:val="24"/>
          <w:szCs w:val="24"/>
          <w:vertAlign w:val="superscript"/>
          <w:lang w:eastAsia="lt-LT"/>
          <w14:numForm w14:val="lining"/>
        </w:rPr>
        <w:t>th</w:t>
      </w:r>
      <w:r>
        <w:rPr>
          <w:rFonts w:ascii="Times New Roman" w:eastAsia="MS Mincho" w:hAnsi="Times New Roman" w:cs="Times New Roman"/>
          <w:noProof/>
          <w:spacing w:val="2"/>
          <w:sz w:val="24"/>
          <w:szCs w:val="24"/>
          <w:lang w:eastAsia="lt-LT"/>
          <w14:numForm w14:val="lining"/>
        </w:rPr>
        <w:t xml:space="preserve"> quarter of 2018), </w:t>
      </w:r>
      <w:r>
        <w:rPr>
          <w:rFonts w:ascii="Times New Roman" w:eastAsia="Calibri" w:hAnsi="Times New Roman" w:cs="Times New Roman"/>
          <w:noProof/>
          <w:sz w:val="24"/>
          <w:szCs w:val="24"/>
        </w:rPr>
        <w:t>REA managed to increase its result for staff feeling that the Agency cares about their well-being to 63%, up from 49% in 2016. Staff engagement rose to 69% (from 67% in 2016).</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Overall, the size and structure of REA, and the level of resources in each department, were appropriate to its mandate and delegated tasks during the evaluation period. The organisational structure of REA was based on separate organisational units for different programmes and actions grouped into Department A ‘Excellent Science’</w:t>
      </w:r>
      <w:r>
        <w:rPr>
          <w:rFonts w:ascii="Times New Roman" w:hAnsi="Times New Roman" w:cs="Times New Roman"/>
          <w:noProof/>
          <w:color w:val="000000" w:themeColor="text1"/>
          <w:sz w:val="24"/>
          <w:szCs w:val="24"/>
          <w:vertAlign w:val="superscript"/>
        </w:rPr>
        <w:footnoteReference w:id="26"/>
      </w:r>
      <w:r>
        <w:rPr>
          <w:rFonts w:ascii="Times New Roman" w:hAnsi="Times New Roman" w:cs="Times New Roman"/>
          <w:noProof/>
          <w:color w:val="000000" w:themeColor="text1"/>
          <w:sz w:val="24"/>
          <w:szCs w:val="24"/>
          <w:lang w:eastAsia="lt-LT"/>
        </w:rPr>
        <w:t xml:space="preserve"> and Department B ‘Industrial Leadership and Societal Challenges’</w:t>
      </w:r>
      <w:r>
        <w:rPr>
          <w:rFonts w:ascii="Times New Roman" w:hAnsi="Times New Roman" w:cs="Times New Roman"/>
          <w:noProof/>
          <w:color w:val="000000" w:themeColor="text1"/>
          <w:sz w:val="24"/>
          <w:szCs w:val="24"/>
          <w:vertAlign w:val="superscript"/>
        </w:rPr>
        <w:footnoteReference w:id="27"/>
      </w:r>
      <w:r>
        <w:rPr>
          <w:rFonts w:ascii="Times New Roman" w:hAnsi="Times New Roman" w:cs="Times New Roman"/>
          <w:noProof/>
          <w:color w:val="000000" w:themeColor="text1"/>
          <w:sz w:val="24"/>
          <w:szCs w:val="24"/>
          <w:lang w:eastAsia="lt-LT"/>
        </w:rPr>
        <w:t xml:space="preserve"> according to the respective pillars of the Horizon 2020. The units, responsible for the Agency’s horizontal tasks (Administration and Finance) and central support services (Participant Validation and Expert Management and Support unit) were organised into the Administration, Finance and Support Services Department. REA’s organisational structure was reviewed and effectively aligned to cope with changes, such as the evolution of the REA mandate.</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During 2015-2018, REA, in cooperation with the Commission, continued the optimisation of its procedures and programme management functions and introduced a number of simplifications. The improvements and simplifications concerned wider use of remote evaluation of proposals, remodelling of the evaluation building</w:t>
      </w:r>
      <w:r>
        <w:rPr>
          <w:rStyle w:val="FootnoteReference"/>
          <w:rFonts w:ascii="Times New Roman" w:hAnsi="Times New Roman" w:cs="Times New Roman"/>
          <w:noProof/>
          <w:color w:val="000000" w:themeColor="text1"/>
          <w:sz w:val="24"/>
          <w:szCs w:val="24"/>
          <w:lang w:eastAsia="lt-LT"/>
        </w:rPr>
        <w:footnoteReference w:id="28"/>
      </w:r>
      <w:r>
        <w:rPr>
          <w:rFonts w:ascii="Times New Roman" w:hAnsi="Times New Roman" w:cs="Times New Roman"/>
          <w:noProof/>
          <w:color w:val="000000" w:themeColor="text1"/>
          <w:sz w:val="24"/>
          <w:szCs w:val="24"/>
          <w:lang w:eastAsia="lt-LT"/>
        </w:rPr>
        <w:t>, improved procedures for allocating proposals to the most suitable experts, measures to automate and improve the detection of possible conflict of interest for experts, electronic workflows and wider use of IT tools, etc. REA’s internal staff networks</w:t>
      </w:r>
      <w:r>
        <w:rPr>
          <w:rStyle w:val="FootnoteReference"/>
          <w:rFonts w:ascii="Times New Roman" w:hAnsi="Times New Roman" w:cs="Times New Roman"/>
          <w:noProof/>
          <w:color w:val="000000" w:themeColor="text1"/>
          <w:sz w:val="24"/>
          <w:szCs w:val="24"/>
          <w:lang w:eastAsia="lt-LT"/>
        </w:rPr>
        <w:footnoteReference w:id="29"/>
      </w:r>
      <w:r>
        <w:rPr>
          <w:rFonts w:ascii="Times New Roman" w:hAnsi="Times New Roman" w:cs="Times New Roman"/>
          <w:noProof/>
          <w:color w:val="000000" w:themeColor="text1"/>
          <w:sz w:val="24"/>
          <w:szCs w:val="24"/>
          <w:lang w:eastAsia="lt-LT"/>
        </w:rPr>
        <w:t xml:space="preserve"> played an important role in the optimisation and simplification process. They assumed a key role in the development of improvements to numerous REA operations such as management of calls (from call publication to grant signature) and grants in Horizon 2020. In addition, they contributed to the development of guidance, the sharing of good practices and to ensuring a harmonised implementation of the Horizon 2020 control system provided by the Common Support Centre. </w:t>
      </w:r>
    </w:p>
    <w:p>
      <w:pPr>
        <w:spacing w:after="0" w:line="240" w:lineRule="auto"/>
        <w:jc w:val="both"/>
        <w:rPr>
          <w:rFonts w:ascii="Times New Roman" w:hAnsi="Times New Roman" w:cs="Times New Roman"/>
          <w:noProof/>
          <w:color w:val="000000" w:themeColor="text1"/>
          <w:sz w:val="24"/>
          <w:szCs w:val="24"/>
          <w:lang w:eastAsia="lt-LT"/>
        </w:rPr>
      </w:pPr>
    </w:p>
    <w:p>
      <w:pPr>
        <w:pStyle w:val="Heading2"/>
        <w:tabs>
          <w:tab w:val="num" w:pos="1200"/>
        </w:tabs>
        <w:ind w:left="1202" w:hanging="720"/>
        <w:rPr>
          <w:noProof/>
        </w:rPr>
      </w:pPr>
      <w:bookmarkStart w:id="19" w:name="_Toc10796313"/>
      <w:r>
        <w:rPr>
          <w:noProof/>
        </w:rPr>
        <w:t>5.3 Coherence</w:t>
      </w:r>
      <w:bookmarkEnd w:id="19"/>
      <w:r>
        <w:rPr>
          <w:noProof/>
        </w:rPr>
        <w:t xml:space="preserve"> </w:t>
      </w:r>
    </w:p>
    <w:p>
      <w:pPr>
        <w:pStyle w:val="PlainText"/>
        <w:jc w:val="both"/>
        <w:rPr>
          <w:rFonts w:ascii="Times New Roman" w:hAnsi="Times New Roman"/>
          <w:noProof/>
          <w:sz w:val="24"/>
          <w:szCs w:val="24"/>
          <w:lang w:val="en-GB"/>
        </w:rPr>
      </w:pPr>
      <w:r>
        <w:rPr>
          <w:rFonts w:ascii="Times New Roman" w:hAnsi="Times New Roman"/>
          <w:noProof/>
          <w:sz w:val="24"/>
          <w:szCs w:val="24"/>
          <w:lang w:val="en-GB"/>
        </w:rPr>
        <w:t>Coherence looks at any overlaps and complementarities within the programme portfolio managed by the Agency or delimitation of responsibilities between the Agency and its parent DGs.</w:t>
      </w:r>
    </w:p>
    <w:p>
      <w:pPr>
        <w:spacing w:after="0" w:line="240" w:lineRule="auto"/>
        <w:jc w:val="both"/>
        <w:rPr>
          <w:rFonts w:ascii="Times New Roman" w:eastAsia="Arial" w:hAnsi="Times New Roman" w:cs="Times New Roman"/>
          <w:b/>
          <w:bCs/>
          <w:noProof/>
          <w:color w:val="000000"/>
          <w:sz w:val="24"/>
          <w:szCs w:val="24"/>
          <w:lang w:eastAsia="en-US" w:bidi="en-US"/>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sz w:val="24"/>
          <w:szCs w:val="24"/>
        </w:rPr>
        <w:t xml:space="preserve">The evaluation did not find any evidence of overlaps, duplications, gaps or inconsistencies within the REA programme portfolio or the support services managed by REA. In the 2015-2018 period, </w:t>
      </w:r>
      <w:r>
        <w:rPr>
          <w:rFonts w:ascii="Times New Roman" w:hAnsi="Times New Roman" w:cs="Times New Roman"/>
          <w:noProof/>
          <w:color w:val="000000" w:themeColor="text1"/>
          <w:sz w:val="24"/>
          <w:szCs w:val="24"/>
          <w:lang w:eastAsia="lt-LT"/>
        </w:rPr>
        <w:t>REA demonstrated flexibility in implementing a diverse thematic programming portfolio and being answerable to six different parent DGs. There is a strong coherence between the FP7 and Horizon 2020 programmes delegated to REA, because of strong continuity in a number of programmes (for example, implementation of MSCA under the Excellent Science pillar in both framework programmes and most activities within FP7 Security and the successor Secure Societies programme in Horizon 2020).</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Another factor of coherence derives from the fact that REA is responsible for implementing several different parts of a specific programme (Horizon 2020 and legacy of FP7) for multiple DGs and across a broad thematic spectrum. Accordingly, REA’s responsibilities are broadly coherent in that they are all part of a single programme, with common rules and procedures. Moreover, the business processes, as designed by the CSC, are harmonised for different sub-programmes, which means that the overall grant management process is coherent, even if the thematic areas of intervention differ (with some specificities within the MSCA).</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The extension of REA’s mandate to provide administrative and logistical support services to all entities involved in Horizon 2020 management and also to a wider range of Commission DGs has strengthened coherence, not least due to the introduction of a common approach across Horizon 2020. Overall, these developments indicate that REA is increasingly becoming a central provider of support services in the Commission.</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The Memorandum of Understanding of 2016 and the additional working arrangements of 2018 reflecting REA’s extended mandate provide for clear and appropriate delimitation of responsibilities and tasks between REA and its parent DGs.</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cs="Times New Roman"/>
          <w:noProof/>
          <w:color w:val="000000" w:themeColor="text1"/>
          <w:sz w:val="24"/>
          <w:szCs w:val="24"/>
          <w:lang w:eastAsia="lt-LT"/>
        </w:rPr>
      </w:pPr>
      <w:r>
        <w:rPr>
          <w:rFonts w:ascii="Times New Roman" w:hAnsi="Times New Roman" w:cs="Times New Roman"/>
          <w:noProof/>
          <w:color w:val="000000" w:themeColor="text1"/>
          <w:sz w:val="24"/>
          <w:szCs w:val="24"/>
          <w:lang w:eastAsia="lt-LT"/>
        </w:rPr>
        <w:t>REA has continued to generate and retain know-how and knowledge, capitalising on the fact that it has been managing some of the programmes for a decade. While programme implementation know-how is embedded within the Agency itself, significant progress has been made in strengthening REA’s input to policymaking, and in addressing some of the weaknesses identified in the 2012-2015 period of operations, through the adoption of strategic and operational measures. For instance, REA organised thematic project cluster meetings and set up the AGILE Rapid Reaction Network</w:t>
      </w:r>
      <w:r>
        <w:rPr>
          <w:rStyle w:val="FootnoteReference"/>
          <w:rFonts w:ascii="Times New Roman" w:hAnsi="Times New Roman" w:cs="Times New Roman"/>
          <w:noProof/>
          <w:color w:val="000000" w:themeColor="text1"/>
          <w:sz w:val="24"/>
          <w:szCs w:val="24"/>
          <w:lang w:eastAsia="lt-LT"/>
        </w:rPr>
        <w:footnoteReference w:id="30"/>
      </w:r>
      <w:r>
        <w:rPr>
          <w:rFonts w:ascii="Times New Roman" w:hAnsi="Times New Roman" w:cs="Times New Roman"/>
          <w:noProof/>
          <w:color w:val="000000" w:themeColor="text1"/>
          <w:sz w:val="24"/>
          <w:szCs w:val="24"/>
          <w:lang w:eastAsia="lt-LT"/>
        </w:rPr>
        <w:t>, participated in coordination meetings and in thematic events organised by the Commission, contributed to the preparation of policy reports, provided important input for the Commission’s communication and dissemination events, etc.</w:t>
      </w:r>
    </w:p>
    <w:p>
      <w:pPr>
        <w:spacing w:after="0" w:line="240" w:lineRule="auto"/>
        <w:jc w:val="both"/>
        <w:rPr>
          <w:rFonts w:ascii="Times New Roman" w:hAnsi="Times New Roman" w:cs="Times New Roman"/>
          <w:noProof/>
          <w:color w:val="000000" w:themeColor="text1"/>
          <w:sz w:val="24"/>
          <w:szCs w:val="24"/>
          <w:lang w:eastAsia="lt-LT"/>
        </w:rPr>
      </w:pPr>
    </w:p>
    <w:p>
      <w:pPr>
        <w:spacing w:after="0" w:line="240" w:lineRule="auto"/>
        <w:jc w:val="both"/>
        <w:rPr>
          <w:rFonts w:ascii="Times New Roman" w:hAnsi="Times New Roman"/>
          <w:noProof/>
          <w:sz w:val="24"/>
        </w:rPr>
      </w:pPr>
      <w:r>
        <w:rPr>
          <w:rFonts w:ascii="Times New Roman" w:hAnsi="Times New Roman" w:cs="Times New Roman"/>
          <w:noProof/>
          <w:color w:val="000000" w:themeColor="text1"/>
          <w:sz w:val="24"/>
          <w:szCs w:val="24"/>
          <w:lang w:eastAsia="lt-LT"/>
        </w:rPr>
        <w:t>However, policy feedback is still a domain where further improvements are considered necessary, with actions required from both the Commission and the REA side to strengthen the efficiency and effectiveness of this function. REA’s parent DGs need to formulate better their policy needs as these differ from one DG to another, due to the nature of ‘top-down’ or ‘bottom-up’ research programmes for which they are responsible</w:t>
      </w:r>
      <w:r>
        <w:rPr>
          <w:rStyle w:val="FootnoteReference"/>
          <w:rFonts w:ascii="Times New Roman" w:hAnsi="Times New Roman" w:cs="Times New Roman"/>
          <w:noProof/>
          <w:color w:val="000000" w:themeColor="text1"/>
          <w:sz w:val="24"/>
          <w:szCs w:val="24"/>
          <w:lang w:eastAsia="lt-LT"/>
        </w:rPr>
        <w:footnoteReference w:id="31"/>
      </w:r>
      <w:r>
        <w:rPr>
          <w:rFonts w:ascii="Times New Roman" w:hAnsi="Times New Roman" w:cs="Times New Roman"/>
          <w:noProof/>
          <w:color w:val="000000" w:themeColor="text1"/>
          <w:sz w:val="24"/>
          <w:szCs w:val="24"/>
          <w:lang w:eastAsia="lt-LT"/>
        </w:rPr>
        <w:t xml:space="preserve">. Parent DGs should also specify in which form, and at which frequency, they would prefer policy inputs to be produced by REA to allow it for a better customised policy feedback. The Catalogue of Policy Options developed by REA in 2018 serves as a basis for establishing specific policy feedback </w:t>
      </w:r>
      <w:r>
        <w:rPr>
          <w:rFonts w:ascii="Times New Roman" w:eastAsia="Times New Roman" w:hAnsi="Times New Roman" w:cs="Times New Roman"/>
          <w:noProof/>
          <w:sz w:val="24"/>
          <w:szCs w:val="24"/>
          <w:lang w:eastAsia="en-US"/>
        </w:rPr>
        <w:t>mechanisms and business processes most relevant to parent DGs. Currently the CIC is leading the efforts of developing procedures at the R&amp;I family level for feedback onto policymaking as part of the strategy for an effective dissemination and exploitation of research results in Horizon 2020</w:t>
      </w:r>
      <w:r>
        <w:rPr>
          <w:rFonts w:ascii="Times New Roman" w:hAnsi="Times New Roman"/>
          <w:noProof/>
          <w:sz w:val="24"/>
        </w:rPr>
        <w:t>.</w:t>
      </w:r>
    </w:p>
    <w:p>
      <w:pPr>
        <w:spacing w:after="0" w:line="240" w:lineRule="auto"/>
        <w:jc w:val="both"/>
        <w:rPr>
          <w:rFonts w:ascii="Times New Roman" w:eastAsia="Times New Roman" w:hAnsi="Times New Roman" w:cs="Times New Roman"/>
          <w:noProof/>
          <w:sz w:val="24"/>
          <w:szCs w:val="24"/>
          <w:lang w:eastAsia="en-US"/>
        </w:rPr>
      </w:pPr>
    </w:p>
    <w:p>
      <w:pPr>
        <w:pStyle w:val="Heading2"/>
        <w:tabs>
          <w:tab w:val="num" w:pos="1200"/>
        </w:tabs>
        <w:ind w:left="1202" w:hanging="720"/>
        <w:rPr>
          <w:noProof/>
        </w:rPr>
      </w:pPr>
      <w:bookmarkStart w:id="20" w:name="_Toc10796314"/>
      <w:r>
        <w:rPr>
          <w:noProof/>
        </w:rPr>
        <w:t>5.4 Retrospective Cost-Benefit Analysis</w:t>
      </w:r>
      <w:bookmarkEnd w:id="20"/>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retrospective Cost–Benefit Analysis for the 2015-2018 period was carried out based on the assumptions laid down in the latest version of the Specific Financial Statements (SFS) and the actual costs of REA. </w:t>
      </w:r>
      <w:r>
        <w:rPr>
          <w:rFonts w:ascii="Times New Roman" w:hAnsi="Times New Roman" w:cs="Times New Roman"/>
          <w:noProof/>
          <w:sz w:val="24"/>
          <w:szCs w:val="24"/>
        </w:rPr>
        <w:t>Since REA’s mandate was substantially changed compared to the 2013 ex ante CBA, any comparison of the ex ante CBA estimates with the SFS estimates and the actual figures must be considered carefully, given the change in the tasks and workload level. REA’s SFS was updated in 2017 following the update of the REA’s mandate, linked primarily to delegation of classified projects from Societal Challenge 7 to REA and the expansion of centralised services for registration and validation of all beneficiaries and service providers (SEDIA). Consequently, the retrospective CBA is based on the latest SFS version of April 2017.</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REA SFS estimated the s</w:t>
      </w:r>
      <w:r>
        <w:rPr>
          <w:rFonts w:ascii="Times New Roman" w:hAnsi="Times New Roman" w:cs="Times New Roman"/>
          <w:noProof/>
          <w:sz w:val="24"/>
          <w:szCs w:val="24"/>
        </w:rPr>
        <w:t xml:space="preserve">avings resulting from the delegation of tasks to REA at around EUR 178 million over the whole period 2014-2024 when compared to the management by the Commission services (in-house scenario), while for the period of 2015-2018 these were estimated at around EUR 80 million. </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The retrospective CBA revealed that the executive agency scenario actual costs in 2015-2018 were much lower than the estimated costs of the in-house scenario and constituted savings of EUR 105 million (or 29% of the estimated costs under the in-house scenario)</w:t>
      </w:r>
      <w:r>
        <w:rPr>
          <w:rStyle w:val="FootnoteReference"/>
          <w:rFonts w:ascii="Times New Roman" w:hAnsi="Times New Roman" w:cs="Times New Roman"/>
          <w:noProof/>
          <w:color w:val="000000" w:themeColor="text1"/>
          <w:sz w:val="24"/>
          <w:szCs w:val="24"/>
        </w:rPr>
        <w:footnoteReference w:id="32"/>
      </w:r>
      <w:r>
        <w:rPr>
          <w:rFonts w:ascii="Times New Roman" w:hAnsi="Times New Roman" w:cs="Times New Roman"/>
          <w:noProof/>
          <w:color w:val="000000" w:themeColor="text1"/>
          <w:sz w:val="24"/>
          <w:szCs w:val="24"/>
        </w:rPr>
        <w:t>.</w:t>
      </w:r>
    </w:p>
    <w:p>
      <w:pPr>
        <w:spacing w:after="0" w:line="240" w:lineRule="auto"/>
        <w:jc w:val="both"/>
        <w:rPr>
          <w:rFonts w:ascii="Times New Roman" w:hAnsi="Times New Roman" w:cs="Times New Roman"/>
          <w:noProof/>
          <w:color w:val="000000" w:themeColor="text1"/>
          <w:sz w:val="24"/>
          <w:szCs w:val="24"/>
        </w:rPr>
      </w:pPr>
    </w:p>
    <w:p>
      <w:pPr>
        <w:pStyle w:val="Caption"/>
        <w:keepNext/>
        <w:spacing w:before="0" w:after="0"/>
        <w:rPr>
          <w:noProof/>
          <w:lang w:eastAsia="lt-LT"/>
        </w:rPr>
      </w:pPr>
      <w:bookmarkStart w:id="21" w:name="_Toc3874488"/>
      <w:r>
        <w:rPr>
          <w:noProof/>
        </w:rPr>
        <w:t>Estimated costs and s</w:t>
      </w:r>
      <w:r>
        <w:rPr>
          <w:noProof/>
          <w:lang w:eastAsia="lt-LT"/>
        </w:rPr>
        <w:t>avings of the executive agency scenario in 2015-2018, EUR</w:t>
      </w:r>
      <w:bookmarkEnd w:id="21"/>
    </w:p>
    <w:p>
      <w:pPr>
        <w:spacing w:after="0" w:line="259" w:lineRule="auto"/>
        <w:rPr>
          <w:rFonts w:ascii="Times New Roman" w:hAnsi="Times New Roman" w:cs="Times New Roman"/>
          <w:noProof/>
          <w:color w:val="000000" w:themeColor="text1"/>
          <w:sz w:val="24"/>
          <w:szCs w:val="24"/>
        </w:rPr>
      </w:pPr>
      <w:r>
        <w:rPr>
          <w:rFonts w:ascii="Times New Roman" w:eastAsia="Calibri" w:hAnsi="Times New Roman" w:cs="Times New Roman"/>
          <w:noProof/>
          <w:sz w:val="24"/>
          <w:szCs w:val="24"/>
        </w:rPr>
        <w:drawing>
          <wp:inline distT="0" distB="0" distL="0" distR="0">
            <wp:extent cx="5731510" cy="2399237"/>
            <wp:effectExtent l="0" t="0" r="2540" b="1270"/>
            <wp:docPr id="30" name="Chart 3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F16AFE0-1FF6-49A2-90B7-EAF5D9E655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As forecasted in the SFS, savings of the executive agency scenario primarily resulted from a higher share of lower-cost contract staff (CAs) employed within the Agency and the lower overall number of staff.</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Significant cost savings occurred in REA’s Title II ‘Infrastructure and operating expenditure’. The costs in Title I ‘Staff-related expenditure’ were higher than estimated in the SFS as the latter did not take into account increases</w:t>
      </w:r>
      <w:r>
        <w:rPr>
          <w:rFonts w:ascii="Times New Roman" w:hAnsi="Times New Roman"/>
          <w:noProof/>
          <w:color w:val="000000" w:themeColor="text1"/>
          <w:sz w:val="24"/>
        </w:rPr>
        <w:t xml:space="preserve"> to staff costs due to salary indexation, promotions and increasing staff seniority.</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Finally, it should be noted that the assumptions laid down in the SFS forecasted a workload level significantly lower than the actual one, across different programmes. Although many parameters influencing the workload (operational budget of delegated Horizon 2020 programmes and actions, average grant size and corresponding number of grants) were beyond the control of the Agency, proper organisation and management helped allocate human resources across REA in the most appropriate way and avoid shortcomings.</w:t>
      </w:r>
    </w:p>
    <w:p>
      <w:pPr>
        <w:spacing w:after="0" w:line="240" w:lineRule="auto"/>
        <w:rPr>
          <w:rFonts w:ascii="Times New Roman" w:hAnsi="Times New Roman" w:cs="Times New Roman"/>
          <w:noProof/>
          <w:sz w:val="24"/>
          <w:szCs w:val="24"/>
        </w:rPr>
      </w:pPr>
    </w:p>
    <w:p>
      <w:pPr>
        <w:pStyle w:val="Heading1"/>
        <w:numPr>
          <w:ilvl w:val="0"/>
          <w:numId w:val="21"/>
        </w:numPr>
        <w:spacing w:before="360"/>
        <w:ind w:left="482" w:hanging="482"/>
        <w:rPr>
          <w:noProof/>
        </w:rPr>
      </w:pPr>
      <w:bookmarkStart w:id="22" w:name="_Toc486524623"/>
      <w:bookmarkStart w:id="23" w:name="_Toc10796315"/>
      <w:r>
        <w:rPr>
          <w:noProof/>
        </w:rPr>
        <w:t>Conclusions</w:t>
      </w:r>
      <w:bookmarkEnd w:id="22"/>
      <w:bookmarkEnd w:id="23"/>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results of the evaluation of REA operations during 2015-2018 period confirm that the delegation of programme implementation to REA remained considerably more cost effective than the in-house scenario. During this period REA continued to implement the delegated programmes in an effective, efficient and coherent manner, generating important cost-savings to the EU budget and high value for money. The ex-post cost benefit analysis found that the actual savings of the executive agency scenario were EUR 105 million during the period 2015-2018 compared with the in-house scenario and higher than the EUR 80 million estimated in the SFS of 2013.</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During this period REA was effective in achieving its objectives, and its beneficiaries were highly satisfied with the performance of the Agency. REA consistently achieved its key performance indicators. Beneficiaries’ satisfaction with the REA performance increased to 86% compared with the previous evaluation (82% in 2015). The ratio of budget ‘per operational head’ increased from EUR 3.46 million to EUR 3.54 million (in terms of commitments) or from EUR 2.44 million to EUR 2.99 million (in terms of payments) in 2014-2017. The Agency’s administrative budget was below 3% of the operational budget based both on commitment and payment appropriations between 2015 and 2017 (excluding the costs of the administrative and logistical support services). REA delivered high quality and effective administrative and logistical support services to its clients and other stakeholders, </w:t>
      </w:r>
      <w:r>
        <w:rPr>
          <w:rFonts w:ascii="Times New Roman" w:hAnsi="Times New Roman" w:cs="Times New Roman"/>
          <w:noProof/>
          <w:color w:val="000000" w:themeColor="text1"/>
          <w:sz w:val="24"/>
          <w:szCs w:val="24"/>
          <w:lang w:eastAsia="lt-LT"/>
        </w:rPr>
        <w:t>achieving and exceeding the KPIs set.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coordination and communication mechanisms that are in place facilitate information flows between REA and the Commission services, in particular with</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regard to the content of projects supported and their results. No evidence of overlaps, duplication, gaps and inconsistencies within the programme portfolio and support services managed by REA were identified; on the contrary, the </w:t>
      </w:r>
      <w:r>
        <w:rPr>
          <w:rFonts w:ascii="Times New Roman" w:hAnsi="Times New Roman" w:cs="Times New Roman"/>
          <w:noProof/>
          <w:color w:val="000000" w:themeColor="text1"/>
          <w:sz w:val="24"/>
          <w:szCs w:val="24"/>
          <w:lang w:eastAsia="lt-LT"/>
        </w:rPr>
        <w:t>extension of REA’s remit to include the provision of common administrative and logistical support services for the research and innovation family has strengthened coherence, particularly through the introduction of a common approach across Horizon 2020.</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current evaluation identifies only three areas where further improvements are necessary from both the Commission and the REA side and which aim to further streamline or define the working arrangements between REA and the Commission. These relate to: </w:t>
      </w:r>
    </w:p>
    <w:p>
      <w:pPr>
        <w:pStyle w:val="ListParagraph"/>
        <w:numPr>
          <w:ilvl w:val="0"/>
          <w:numId w:val="43"/>
        </w:numPr>
        <w:spacing w:after="0"/>
        <w:rPr>
          <w:noProof/>
        </w:rPr>
      </w:pPr>
      <w:r>
        <w:rPr>
          <w:noProof/>
        </w:rPr>
        <w:t xml:space="preserve">Increasing awareness on business processes related to the selection of independent experts for evaluations, validation of expert lists, as well as the participation of Commission staff in project monitoring activities; </w:t>
      </w:r>
    </w:p>
    <w:p>
      <w:pPr>
        <w:pStyle w:val="ListParagraph"/>
        <w:numPr>
          <w:ilvl w:val="0"/>
          <w:numId w:val="43"/>
        </w:numPr>
        <w:spacing w:after="0"/>
        <w:rPr>
          <w:noProof/>
        </w:rPr>
      </w:pPr>
      <w:r>
        <w:rPr>
          <w:noProof/>
        </w:rPr>
        <w:t>formalising modalities and procedures for the implementation of actions with policy interest;</w:t>
      </w:r>
    </w:p>
    <w:p>
      <w:pPr>
        <w:pStyle w:val="ListParagraph"/>
        <w:numPr>
          <w:ilvl w:val="0"/>
          <w:numId w:val="43"/>
        </w:numPr>
        <w:spacing w:after="0"/>
        <w:rPr>
          <w:noProof/>
        </w:rPr>
      </w:pPr>
      <w:r>
        <w:rPr>
          <w:noProof/>
        </w:rPr>
        <w:t>establishing a set of specific policy feedback mechanisms &amp; business processes most relevant to parent DGs.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parent DGs and the Agency are preparing an action plan to address the shortcomings identified in this evaluation. This action plan aims to further improve the Agency’s performance, as well as the interaction and collaboration between Commission services and REA and to contribute to an efficient implementation of the delegated programmes.</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pPr>
        <w:pStyle w:val="Heading1"/>
        <w:jc w:val="center"/>
        <w:rPr>
          <w:noProof/>
        </w:rPr>
      </w:pPr>
      <w:bookmarkStart w:id="24" w:name="_Toc10796316"/>
      <w:r>
        <w:rPr>
          <w:noProof/>
        </w:rPr>
        <w:t>ANNEX: EVALUATION QUESTIONS</w:t>
      </w:r>
      <w:bookmarkEnd w:id="24"/>
    </w:p>
    <w:p>
      <w:pPr>
        <w:autoSpaceDE w:val="0"/>
        <w:autoSpaceDN w:val="0"/>
        <w:adjustRightInd w:val="0"/>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Effectiveness</w:t>
      </w:r>
    </w:p>
    <w:p>
      <w:pPr>
        <w:autoSpaceDE w:val="0"/>
        <w:autoSpaceDN w:val="0"/>
        <w:adjustRightInd w:val="0"/>
        <w:spacing w:after="0" w:line="240" w:lineRule="auto"/>
        <w:jc w:val="both"/>
        <w:rPr>
          <w:rFonts w:ascii="Times New Roman" w:hAnsi="Times New Roman" w:cs="Times New Roman"/>
          <w:b/>
          <w:bCs/>
          <w:noProof/>
          <w:sz w:val="24"/>
          <w:szCs w:val="24"/>
        </w:rPr>
      </w:pP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REA been operating according to the legal framework establishing it?</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REA achieved its objectives with special focus to (a) the implementation of the delegated programmes Horizon 2020 and FP7, (b) the implementation of the support services and (c) the implementation of the internal control principles</w:t>
      </w:r>
      <w:r>
        <w:rPr>
          <w:rFonts w:ascii="Times New Roman" w:eastAsia="Times New Roman" w:hAnsi="Times New Roman" w:cs="Times New Roman"/>
          <w:noProof/>
          <w:sz w:val="24"/>
          <w:szCs w:val="24"/>
          <w:vertAlign w:val="superscript"/>
          <w:lang w:eastAsia="en-US"/>
        </w:rPr>
        <w:footnoteReference w:id="33"/>
      </w:r>
      <w:r>
        <w:rPr>
          <w:rFonts w:ascii="Times New Roman" w:eastAsia="Times New Roman" w:hAnsi="Times New Roman" w:cs="Times New Roman"/>
          <w:noProof/>
          <w:sz w:val="24"/>
          <w:szCs w:val="24"/>
          <w:lang w:eastAsia="en-US"/>
        </w:rPr>
        <w:t>, notably sound financial and human resource management? What, if anything, could be done to render REA more effective in achieving these objectives?</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and how has REA contributed to an improved management and visibility of the delegated programmes and better services and satisfaction to the stakeholders and addressees</w:t>
      </w:r>
      <w:r>
        <w:rPr>
          <w:rFonts w:ascii="Times New Roman" w:eastAsia="Times New Roman" w:hAnsi="Times New Roman" w:cs="Times New Roman"/>
          <w:noProof/>
          <w:sz w:val="24"/>
          <w:szCs w:val="24"/>
          <w:vertAlign w:val="superscript"/>
          <w:lang w:eastAsia="en-US"/>
        </w:rPr>
        <w:footnoteReference w:id="34"/>
      </w:r>
      <w:r>
        <w:rPr>
          <w:rFonts w:ascii="Times New Roman" w:eastAsia="Times New Roman" w:hAnsi="Times New Roman" w:cs="Times New Roman"/>
          <w:noProof/>
          <w:sz w:val="24"/>
          <w:szCs w:val="24"/>
          <w:lang w:eastAsia="en-US"/>
        </w:rPr>
        <w:t xml:space="preserve"> in terms of the elements assessed in the 2013 CBA and as compared to the alternative options mentioned in that CBA?</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does REA’s communication function support the mission of the Agency and does REA ensure an effective feedback loop with the policy making DGs?</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REA contributed to improved management of the programmes in terms of:</w:t>
      </w:r>
    </w:p>
    <w:p>
      <w:pPr>
        <w:widowControl w:val="0"/>
        <w:numPr>
          <w:ilvl w:val="0"/>
          <w:numId w:val="23"/>
        </w:numPr>
        <w:spacing w:after="0" w:line="240" w:lineRule="auto"/>
        <w:ind w:hanging="357"/>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Proximity to addressees (e.g. role played by the Agency as focal point for applicants and beneficiaries of the programmes; instruments and mechanisms put in place for communicating with the applicants beneficiaries and experts);</w:t>
      </w:r>
    </w:p>
    <w:p>
      <w:pPr>
        <w:widowControl w:val="0"/>
        <w:numPr>
          <w:ilvl w:val="0"/>
          <w:numId w:val="23"/>
        </w:numPr>
        <w:spacing w:after="0" w:line="240" w:lineRule="auto"/>
        <w:ind w:hanging="357"/>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Effective implementation of the programmes, taking into account the interests of the addressees and those of the EU: </w:t>
      </w:r>
    </w:p>
    <w:p>
      <w:pPr>
        <w:widowControl w:val="0"/>
        <w:numPr>
          <w:ilvl w:val="0"/>
          <w:numId w:val="24"/>
        </w:numPr>
        <w:spacing w:after="0" w:line="240" w:lineRule="auto"/>
        <w:ind w:hanging="357"/>
        <w:contextualSpacing/>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rate of execution of commitment appropriations;</w:t>
      </w:r>
    </w:p>
    <w:p>
      <w:pPr>
        <w:widowControl w:val="0"/>
        <w:numPr>
          <w:ilvl w:val="0"/>
          <w:numId w:val="24"/>
        </w:numPr>
        <w:spacing w:after="0" w:line="240" w:lineRule="auto"/>
        <w:ind w:hanging="357"/>
        <w:contextualSpacing/>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rate of execution of payment appropriations;</w:t>
      </w:r>
    </w:p>
    <w:p>
      <w:pPr>
        <w:widowControl w:val="0"/>
        <w:numPr>
          <w:ilvl w:val="0"/>
          <w:numId w:val="24"/>
        </w:numPr>
        <w:spacing w:after="0" w:line="240" w:lineRule="auto"/>
        <w:ind w:hanging="357"/>
        <w:contextualSpacing/>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time to grant;</w:t>
      </w:r>
    </w:p>
    <w:p>
      <w:pPr>
        <w:widowControl w:val="0"/>
        <w:numPr>
          <w:ilvl w:val="0"/>
          <w:numId w:val="24"/>
        </w:numPr>
        <w:spacing w:after="0" w:line="240" w:lineRule="auto"/>
        <w:ind w:hanging="357"/>
        <w:contextualSpacing/>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net time to pay;</w:t>
      </w:r>
    </w:p>
    <w:p>
      <w:pPr>
        <w:widowControl w:val="0"/>
        <w:numPr>
          <w:ilvl w:val="0"/>
          <w:numId w:val="24"/>
        </w:numPr>
        <w:spacing w:after="0" w:line="240" w:lineRule="auto"/>
        <w:ind w:hanging="357"/>
        <w:contextualSpacing/>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residual multi-annual error rate identified at ex-post control.</w:t>
      </w:r>
    </w:p>
    <w:p>
      <w:pPr>
        <w:widowControl w:val="0"/>
        <w:numPr>
          <w:ilvl w:val="0"/>
          <w:numId w:val="23"/>
        </w:numPr>
        <w:spacing w:after="0" w:line="240" w:lineRule="auto"/>
        <w:ind w:hanging="357"/>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Visibility of the EU as promoter of the programmes entrusted to the Agency (e.g. compliance with the Commission’s guidelines on information and visibility of programmes</w:t>
      </w:r>
      <w:r>
        <w:rPr>
          <w:rFonts w:ascii="Times New Roman" w:eastAsia="Times New Roman" w:hAnsi="Times New Roman" w:cs="Times New Roman"/>
          <w:noProof/>
          <w:sz w:val="24"/>
          <w:szCs w:val="24"/>
          <w:vertAlign w:val="superscript"/>
          <w:lang w:eastAsia="en-US"/>
        </w:rPr>
        <w:footnoteReference w:id="35"/>
      </w:r>
      <w:r>
        <w:rPr>
          <w:rFonts w:ascii="Times New Roman" w:eastAsia="Times New Roman" w:hAnsi="Times New Roman" w:cs="Times New Roman"/>
          <w:noProof/>
          <w:sz w:val="24"/>
          <w:szCs w:val="24"/>
          <w:lang w:eastAsia="en-US"/>
        </w:rPr>
        <w:t>, instruments put in place to ensure the visibility of the EU as promoter of the programmes).</w:t>
      </w:r>
      <w:bookmarkStart w:id="25" w:name="bookmark54"/>
      <w:bookmarkStart w:id="26" w:name="_Toc495332607"/>
    </w:p>
    <w:p>
      <w:pPr>
        <w:widowControl w:val="0"/>
        <w:spacing w:before="240" w:after="240" w:line="240" w:lineRule="auto"/>
        <w:contextualSpacing/>
        <w:jc w:val="both"/>
        <w:rPr>
          <w:rFonts w:ascii="Times New Roman" w:eastAsia="Times New Roman" w:hAnsi="Times New Roman" w:cs="Times New Roman"/>
          <w:noProof/>
          <w:sz w:val="24"/>
          <w:szCs w:val="24"/>
          <w:lang w:eastAsia="en-US"/>
        </w:rPr>
      </w:pPr>
    </w:p>
    <w:p>
      <w:pPr>
        <w:widowControl w:val="0"/>
        <w:spacing w:after="0" w:line="240" w:lineRule="auto"/>
        <w:contextualSpacing/>
        <w:jc w:val="both"/>
        <w:rPr>
          <w:rFonts w:ascii="Times New Roman" w:hAnsi="Times New Roman"/>
          <w:b/>
          <w:noProof/>
          <w:color w:val="000000"/>
          <w:sz w:val="24"/>
        </w:rPr>
      </w:pPr>
      <w:r>
        <w:rPr>
          <w:rFonts w:ascii="Times New Roman" w:eastAsia="Arial" w:hAnsi="Times New Roman" w:cs="Times New Roman"/>
          <w:b/>
          <w:bCs/>
          <w:noProof/>
          <w:color w:val="000000"/>
          <w:sz w:val="24"/>
          <w:szCs w:val="24"/>
          <w:lang w:eastAsia="en-US" w:bidi="en-US"/>
        </w:rPr>
        <w:t>Efficiency</w:t>
      </w:r>
      <w:bookmarkEnd w:id="25"/>
      <w:bookmarkEnd w:id="26"/>
      <w:r>
        <w:rPr>
          <w:rFonts w:ascii="Times New Roman" w:eastAsia="Arial" w:hAnsi="Times New Roman" w:cs="Times New Roman"/>
          <w:b/>
          <w:bCs/>
          <w:noProof/>
          <w:color w:val="000000"/>
          <w:sz w:val="24"/>
          <w:szCs w:val="24"/>
          <w:lang w:eastAsia="en-US" w:bidi="en-US"/>
        </w:rPr>
        <w:t>?</w:t>
      </w:r>
    </w:p>
    <w:p>
      <w:pPr>
        <w:widowControl w:val="0"/>
        <w:spacing w:after="0" w:line="240" w:lineRule="auto"/>
        <w:contextualSpacing/>
        <w:jc w:val="both"/>
        <w:rPr>
          <w:rFonts w:ascii="Times New Roman" w:eastAsia="Arial" w:hAnsi="Times New Roman" w:cs="Times New Roman"/>
          <w:b/>
          <w:bCs/>
          <w:noProof/>
          <w:color w:val="000000" w:themeColor="text1"/>
          <w:sz w:val="24"/>
          <w:szCs w:val="24"/>
          <w:lang w:eastAsia="en-US" w:bidi="en-US"/>
        </w:rPr>
      </w:pP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have the actual costs (including cost of coordination and monitoring) of REA corresponded to the estimates of the 2013 CBA? If not, what are the reasons behind?</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have the actual benefits corresponded to the estimates of the 2013 CBA? If not, what are the reasons behind?</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the management and execution of the programmes by REA been cost-effective as compared to the alternative options</w:t>
      </w:r>
      <w:r>
        <w:rPr>
          <w:rFonts w:ascii="Times New Roman" w:eastAsia="Arial" w:hAnsi="Times New Roman" w:cs="Times New Roman"/>
          <w:noProof/>
          <w:color w:val="000000"/>
          <w:sz w:val="24"/>
          <w:szCs w:val="24"/>
          <w:vertAlign w:val="superscript"/>
          <w:lang w:eastAsia="en-US" w:bidi="en-US"/>
        </w:rPr>
        <w:footnoteReference w:id="36"/>
      </w:r>
      <w:r>
        <w:rPr>
          <w:rFonts w:ascii="Times New Roman" w:eastAsia="Times New Roman" w:hAnsi="Times New Roman" w:cs="Times New Roman"/>
          <w:noProof/>
          <w:sz w:val="24"/>
          <w:szCs w:val="24"/>
          <w:lang w:eastAsia="en-US"/>
        </w:rPr>
        <w:t>?</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To what extent has REA contributed to improved management of the programmes in terms of: </w:t>
      </w:r>
    </w:p>
    <w:p>
      <w:pPr>
        <w:widowControl w:val="0"/>
        <w:numPr>
          <w:ilvl w:val="0"/>
          <w:numId w:val="29"/>
        </w:numPr>
        <w:spacing w:after="0" w:line="240" w:lineRule="auto"/>
        <w:ind w:hanging="357"/>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Simplification of the procedures and flexibility in the implementation of delegated tasks (e.g. capacity to adapt to periods of high workload)?</w:t>
      </w:r>
    </w:p>
    <w:p>
      <w:pPr>
        <w:widowControl w:val="0"/>
        <w:numPr>
          <w:ilvl w:val="0"/>
          <w:numId w:val="29"/>
        </w:numPr>
        <w:spacing w:after="0" w:line="240" w:lineRule="auto"/>
        <w:ind w:hanging="357"/>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Which further scope for simplification exists?</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Which aspects/means/actors or processes render REA more or less efficient? What could be improved? What is the quality of the services/advice provided by REA to stakeholders and addressees?</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the establishment of REA resulted in savings to the EU budget as compared to the alternative options (e.g. difference in costs between the Commission option and the Agency option)?</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have REA’s internal organisation and procedures been conducive to its efficiency?</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is REA’s internal organisation capable and flexible to rapidly respond to resource needs due to uncertainties related to volumes of work?</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To what extent does REA’s human resources management contribute to the achievement of the Agency’s objectives? </w:t>
      </w:r>
    </w:p>
    <w:p>
      <w:pPr>
        <w:widowControl w:val="0"/>
        <w:numPr>
          <w:ilvl w:val="0"/>
          <w:numId w:val="29"/>
        </w:numPr>
        <w:spacing w:after="0" w:line="240" w:lineRule="auto"/>
        <w:ind w:hanging="357"/>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Is the size and structure of the organisation appropriate?</w:t>
      </w:r>
    </w:p>
    <w:p>
      <w:pPr>
        <w:widowControl w:val="0"/>
        <w:numPr>
          <w:ilvl w:val="0"/>
          <w:numId w:val="29"/>
        </w:numPr>
        <w:spacing w:after="0" w:line="240" w:lineRule="auto"/>
        <w:ind w:hanging="357"/>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Is the balance between operational staff and administrative support staff appropriate?</w:t>
      </w:r>
    </w:p>
    <w:p>
      <w:pPr>
        <w:widowControl w:val="0"/>
        <w:numPr>
          <w:ilvl w:val="0"/>
          <w:numId w:val="29"/>
        </w:numPr>
        <w:spacing w:after="0" w:line="240" w:lineRule="auto"/>
        <w:ind w:hanging="357"/>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 xml:space="preserve">Are the staff turnover and vacancy rate well managed? </w:t>
      </w:r>
    </w:p>
    <w:p>
      <w:pPr>
        <w:widowControl w:val="0"/>
        <w:numPr>
          <w:ilvl w:val="0"/>
          <w:numId w:val="29"/>
        </w:numPr>
        <w:spacing w:after="0" w:line="240" w:lineRule="auto"/>
        <w:ind w:hanging="357"/>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How are provisions on overtime and teleworking implemented in the Agency?</w:t>
      </w:r>
    </w:p>
    <w:p>
      <w:pPr>
        <w:widowControl w:val="0"/>
        <w:numPr>
          <w:ilvl w:val="0"/>
          <w:numId w:val="29"/>
        </w:numPr>
        <w:spacing w:after="0" w:line="240" w:lineRule="auto"/>
        <w:ind w:hanging="357"/>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How does the Agency follow up on the findings of the latest staff survey (2016)?</w:t>
      </w:r>
      <w:bookmarkStart w:id="27" w:name="_Toc495332608"/>
      <w:bookmarkStart w:id="28" w:name="bookmark55"/>
    </w:p>
    <w:p>
      <w:pPr>
        <w:widowControl w:val="0"/>
        <w:spacing w:after="0" w:line="240" w:lineRule="auto"/>
        <w:contextualSpacing/>
        <w:jc w:val="both"/>
        <w:rPr>
          <w:rFonts w:ascii="Times New Roman" w:eastAsia="Times New Roman" w:hAnsi="Times New Roman" w:cs="Times New Roman"/>
          <w:noProof/>
          <w:sz w:val="24"/>
          <w:szCs w:val="24"/>
          <w:lang w:eastAsia="en-US"/>
        </w:rPr>
      </w:pPr>
    </w:p>
    <w:p>
      <w:pPr>
        <w:widowControl w:val="0"/>
        <w:spacing w:after="0" w:line="240" w:lineRule="auto"/>
        <w:contextualSpacing/>
        <w:jc w:val="both"/>
        <w:rPr>
          <w:rFonts w:ascii="Times New Roman" w:eastAsia="Arial" w:hAnsi="Times New Roman" w:cs="Times New Roman"/>
          <w:b/>
          <w:bCs/>
          <w:noProof/>
          <w:color w:val="000000"/>
          <w:sz w:val="24"/>
          <w:szCs w:val="24"/>
          <w:lang w:eastAsia="en-US" w:bidi="en-US"/>
        </w:rPr>
      </w:pPr>
      <w:r>
        <w:rPr>
          <w:rFonts w:ascii="Times New Roman" w:eastAsia="Arial" w:hAnsi="Times New Roman" w:cs="Times New Roman"/>
          <w:b/>
          <w:bCs/>
          <w:noProof/>
          <w:color w:val="000000"/>
          <w:sz w:val="24"/>
          <w:szCs w:val="24"/>
          <w:lang w:eastAsia="en-US" w:bidi="en-US"/>
        </w:rPr>
        <w:t>Coherence</w:t>
      </w:r>
      <w:bookmarkEnd w:id="27"/>
      <w:bookmarkEnd w:id="28"/>
    </w:p>
    <w:p>
      <w:pPr>
        <w:widowControl w:val="0"/>
        <w:spacing w:after="0" w:line="240" w:lineRule="auto"/>
        <w:contextualSpacing/>
        <w:jc w:val="both"/>
        <w:rPr>
          <w:rFonts w:ascii="Times New Roman" w:eastAsia="Times New Roman" w:hAnsi="Times New Roman" w:cs="Times New Roman"/>
          <w:noProof/>
          <w:sz w:val="24"/>
          <w:szCs w:val="24"/>
          <w:lang w:eastAsia="en-US"/>
        </w:rPr>
      </w:pP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have there been overlaps/ gaps/ inconsistencies/ complementarities within the programme portfolio and support services managed by REA and how are these addressed?</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Is there a clear and appropriate delimitation of responsibilities and tasks between REA and the Parent DGs? Are there overlaps or gaps? Are the different responsibilities adequately communicated to the beneficiaries?</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REA enabled the Commission to better focus on its policy related tasks?</w:t>
      </w:r>
    </w:p>
    <w:p>
      <w:pPr>
        <w:widowControl w:val="0"/>
        <w:numPr>
          <w:ilvl w:val="0"/>
          <w:numId w:val="26"/>
        </w:numPr>
        <w:spacing w:after="0" w:line="240" w:lineRule="auto"/>
        <w:ind w:hanging="357"/>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Are there any governance (financial and policy) issues in relation to the implementation of the tasks that are delegated to the executive agencies/ issues as regards the Commission’s services being able to steer EU policy or budget implementation?</w:t>
      </w:r>
    </w:p>
    <w:p>
      <w:pPr>
        <w:widowControl w:val="0"/>
        <w:numPr>
          <w:ilvl w:val="0"/>
          <w:numId w:val="26"/>
        </w:numPr>
        <w:spacing w:after="0" w:line="240" w:lineRule="auto"/>
        <w:ind w:hanging="357"/>
        <w:jc w:val="both"/>
        <w:rPr>
          <w:rFonts w:ascii="Times New Roman" w:eastAsia="Arial" w:hAnsi="Times New Roman" w:cs="Times New Roman"/>
          <w:noProof/>
          <w:color w:val="000000"/>
          <w:sz w:val="24"/>
          <w:szCs w:val="24"/>
          <w:lang w:eastAsia="en-US" w:bidi="en-US"/>
        </w:rPr>
      </w:pPr>
      <w:r>
        <w:rPr>
          <w:rFonts w:ascii="Times New Roman" w:eastAsia="Arial" w:hAnsi="Times New Roman" w:cs="Times New Roman"/>
          <w:noProof/>
          <w:color w:val="000000"/>
          <w:sz w:val="24"/>
          <w:szCs w:val="24"/>
          <w:lang w:eastAsia="en-US" w:bidi="en-US"/>
        </w:rPr>
        <w:t>Are appropriate mechanisms and instruments in place, and at which level, to ensure an adequate coordination and information flow between REA and the Commission services, notably on the content of the projects supported and their results?</w:t>
      </w:r>
    </w:p>
    <w:p>
      <w:pPr>
        <w:widowControl w:val="0"/>
        <w:numPr>
          <w:ilvl w:val="0"/>
          <w:numId w:val="26"/>
        </w:numPr>
        <w:spacing w:after="0" w:line="240" w:lineRule="auto"/>
        <w:ind w:hanging="357"/>
        <w:jc w:val="both"/>
        <w:rPr>
          <w:rFonts w:ascii="Times New Roman" w:eastAsia="Arial" w:hAnsi="Times New Roman" w:cs="Times New Roman"/>
          <w:noProof/>
          <w:color w:val="000000"/>
          <w:sz w:val="24"/>
          <w:szCs w:val="24"/>
          <w:lang w:eastAsia="en-US" w:bidi="en-US"/>
        </w:rPr>
      </w:pPr>
      <w:r>
        <w:rPr>
          <w:rFonts w:ascii="Times New Roman" w:eastAsia="Arial" w:hAnsi="Times New Roman" w:cs="Times New Roman"/>
          <w:noProof/>
          <w:color w:val="000000"/>
          <w:sz w:val="24"/>
          <w:szCs w:val="24"/>
          <w:lang w:eastAsia="en-US" w:bidi="en-US"/>
        </w:rPr>
        <w:t>Does REA provide useful information on the implementation of the delegated programmes and their progress (in terms of management and content) in support of the policy process (e.g. information required for the annual Management Plan of the Parent DGs)?</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have the activities of REA resulted in unintended effects (both desirable and undesirable)?</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has the Commission, in the presence of REA, been able to maintain an adequate level of know-how in relation to the programmes entrusted to the Agency? How has this been achieved? What are the feedback channels, means and methods used for this purpose? What are areas for improvement, if any?</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Have the monitoring, reporting and supervision arrangements in place enabled the Commission to benefit, in the short and medium term, from the know-how created within REA?</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How effective is the flow of information and communication between REA and the Commission services (in particular Parent DGs)?</w:t>
      </w:r>
    </w:p>
    <w:p>
      <w:pPr>
        <w:widowControl w:val="0"/>
        <w:numPr>
          <w:ilvl w:val="0"/>
          <w:numId w:val="44"/>
        </w:numPr>
        <w:spacing w:after="0" w:line="240" w:lineRule="auto"/>
        <w:contextualSpacing/>
        <w:jc w:val="both"/>
        <w:rPr>
          <w:rFonts w:ascii="Times New Roman" w:eastAsia="Times New Roman" w:hAnsi="Times New Roman" w:cs="Times New Roman"/>
          <w:noProof/>
          <w:sz w:val="24"/>
          <w:szCs w:val="24"/>
          <w:lang w:eastAsia="en-US"/>
        </w:rPr>
      </w:pPr>
      <w:r>
        <w:rPr>
          <w:rFonts w:ascii="Times New Roman" w:eastAsia="Times New Roman" w:hAnsi="Times New Roman" w:cs="Times New Roman"/>
          <w:noProof/>
          <w:sz w:val="24"/>
          <w:szCs w:val="24"/>
          <w:lang w:eastAsia="en-US"/>
        </w:rPr>
        <w:t>To what extent would the closing down of REA result in losing significant know-how in relation to the management of the programmes entrusted to REA?</w:t>
      </w:r>
    </w:p>
    <w:p>
      <w:pPr>
        <w:spacing w:after="0" w:line="240" w:lineRule="auto"/>
        <w:rPr>
          <w:noProof/>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200"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BA"/>
    <w:family w:val="auto"/>
    <w:notTrueType/>
    <w:pitch w:val="default"/>
    <w:sig w:usb0="00000001" w:usb1="00000000" w:usb2="00000000" w:usb3="00000000" w:csb0="0000008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80549178"/>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color w:val="0000FF"/>
          <w:lang w:val="en-US"/>
        </w:rPr>
      </w:pPr>
      <w:r>
        <w:rPr>
          <w:vertAlign w:val="superscript"/>
        </w:rPr>
        <w:footnoteRef/>
      </w:r>
      <w:r>
        <w:rPr>
          <w:vertAlign w:val="superscript"/>
        </w:rPr>
        <w:t xml:space="preserve"> </w:t>
      </w:r>
      <w:r>
        <w:t xml:space="preserve">Council Regulation (EC) No 58/2003 of 19 December 2002 laying down the statute for executive agencies to be entrusted with certain tasks in the management of Community programmes, Official Journal L 011, 16 January 2003 pp.1-8  </w:t>
      </w:r>
      <w:hyperlink r:id="rId1" w:tooltip="Gives access to this document through its ELI URI." w:history="1">
        <w:r>
          <w:rPr>
            <w:rStyle w:val="Hyperlink"/>
            <w:shd w:val="clear" w:color="auto" w:fill="FFFFFF"/>
          </w:rPr>
          <w:t>http://data.europa.eu/eli/reg/2003/58/oj</w:t>
        </w:r>
      </w:hyperlink>
    </w:p>
  </w:footnote>
  <w:footnote w:id="2">
    <w:p>
      <w:pPr>
        <w:pStyle w:val="FootnoteText"/>
        <w:spacing w:after="0"/>
        <w:ind w:left="0" w:firstLine="0"/>
        <w:rPr>
          <w:lang w:val="en-US"/>
        </w:rPr>
      </w:pPr>
      <w:r>
        <w:rPr>
          <w:rStyle w:val="Hyperlink"/>
          <w:color w:val="auto"/>
          <w:u w:val="none"/>
          <w:shd w:val="clear" w:color="auto" w:fill="FFFFFF"/>
          <w:vertAlign w:val="superscript"/>
        </w:rPr>
        <w:footnoteRef/>
      </w:r>
      <w:r>
        <w:rPr>
          <w:rStyle w:val="Hyperlink"/>
          <w:u w:val="none"/>
          <w:shd w:val="clear" w:color="auto" w:fill="FFFFFF"/>
        </w:rPr>
        <w:t xml:space="preserve"> </w:t>
      </w:r>
      <w:r>
        <w:rPr>
          <w:rStyle w:val="Hyperlink"/>
          <w:shd w:val="clear" w:color="auto" w:fill="FFFFFF"/>
        </w:rPr>
        <w:t xml:space="preserve">Commission Implementing Decision 2013/778/EU of 13 December 2013 establishing the Research Executive Agency and repealing Decision 2008/46/EC, </w:t>
      </w:r>
      <w:hyperlink r:id="rId2" w:tooltip="Gives access to this document through its ELI URI." w:history="1">
        <w:r>
          <w:rPr>
            <w:rStyle w:val="Hyperlink"/>
            <w:shd w:val="clear" w:color="auto" w:fill="FFFFFF"/>
          </w:rPr>
          <w:t>http://data.europa.eu/eli/dec_impl/2013/778/oj</w:t>
        </w:r>
      </w:hyperlink>
    </w:p>
  </w:footnote>
  <w:footnote w:id="3">
    <w:p>
      <w:pPr>
        <w:pStyle w:val="FootnoteText"/>
        <w:spacing w:after="0"/>
        <w:ind w:left="0" w:firstLine="0"/>
        <w:rPr>
          <w:lang w:val="en-US"/>
        </w:rPr>
      </w:pPr>
      <w:r>
        <w:rPr>
          <w:vertAlign w:val="superscript"/>
        </w:rPr>
        <w:footnoteRef/>
      </w:r>
      <w:r>
        <w:rPr>
          <w:vertAlign w:val="superscript"/>
        </w:rPr>
        <w:t xml:space="preserve"> </w:t>
      </w:r>
      <w:r>
        <w:t xml:space="preserve">Commission Decision C(2013)9418 of 20.12.2013 on delegating powers to the Research Executive Agency with a view to performance of tasks linked to the implementation of Union programmes in the field of research and innovation comprising, in particular, implementation of appropriations entered in the general budget of the Union, </w:t>
      </w:r>
      <w:hyperlink r:id="rId3" w:history="1">
        <w:r>
          <w:rPr>
            <w:rStyle w:val="Hyperlink"/>
          </w:rPr>
          <w:t>http://ec.europa.eu/transparency/regdoc/rep/3/2013/EN/3-2013-9418-EN-F1-1.PDF</w:t>
        </w:r>
      </w:hyperlink>
    </w:p>
  </w:footnote>
  <w:footnote w:id="4">
    <w:p>
      <w:pPr>
        <w:pStyle w:val="FootnoteText"/>
        <w:spacing w:after="0"/>
        <w:ind w:left="0" w:firstLine="0"/>
      </w:pPr>
      <w:r>
        <w:rPr>
          <w:rStyle w:val="FootnoteReference"/>
        </w:rPr>
        <w:footnoteRef/>
      </w:r>
      <w:r>
        <w:rPr>
          <w:rStyle w:val="Hyperlink"/>
          <w:u w:val="none"/>
        </w:rPr>
        <w:t xml:space="preserve"> </w:t>
      </w:r>
      <w:hyperlink r:id="rId4" w:history="1">
        <w:r>
          <w:rPr>
            <w:rStyle w:val="Hyperlink"/>
          </w:rPr>
          <w:t>Commission’s Better Regulation Communication COM (2015) 215 final</w:t>
        </w:r>
      </w:hyperlink>
      <w:r>
        <w:rPr>
          <w:rStyle w:val="Hyperlink"/>
        </w:rPr>
        <w:t xml:space="preserve"> and its accompanying </w:t>
      </w:r>
      <w:hyperlink r:id="rId5" w:history="1">
        <w:r>
          <w:rPr>
            <w:rStyle w:val="Hyperlink"/>
          </w:rPr>
          <w:t>SWD (2015) 111 final</w:t>
        </w:r>
      </w:hyperlink>
      <w:r>
        <w:rPr>
          <w:rStyle w:val="Hyperlink"/>
        </w:rPr>
        <w:t xml:space="preserve"> and </w:t>
      </w:r>
      <w:hyperlink r:id="rId6" w:history="1">
        <w:r>
          <w:rPr>
            <w:rStyle w:val="Hyperlink"/>
          </w:rPr>
          <w:t>SWD (2015) 110 final</w:t>
        </w:r>
      </w:hyperlink>
      <w:r>
        <w:rPr>
          <w:rStyle w:val="Hyperlink"/>
        </w:rPr>
        <w:t>.</w:t>
      </w:r>
    </w:p>
  </w:footnote>
  <w:footnote w:id="5">
    <w:p>
      <w:pPr>
        <w:pStyle w:val="FootnoteText"/>
        <w:spacing w:after="0"/>
        <w:ind w:left="0" w:firstLine="0"/>
      </w:pPr>
      <w:r>
        <w:rPr>
          <w:rStyle w:val="FootnoteReference"/>
        </w:rPr>
        <w:footnoteRef/>
      </w:r>
      <w:r>
        <w:t xml:space="preserve"> The assessment of ‘EU added value’, why the EU should act, is not perceived to be a relevant criterion, as REA executes tasks, which the European Commission has transferred to it. The EU added value of the programmes that REA manages is assessed as part of the programme evaluation.</w:t>
      </w:r>
      <w:r>
        <w:rPr>
          <w:color w:val="000000"/>
        </w:rPr>
        <w:t xml:space="preserve"> </w:t>
      </w:r>
      <w:r>
        <w:t>The previous needs which REA were meant to address and whether they still are pertinent today (relevance) are presented in the context of the evaluation.</w:t>
      </w:r>
    </w:p>
  </w:footnote>
  <w:footnote w:id="6">
    <w:p>
      <w:pPr>
        <w:pStyle w:val="FootnoteText"/>
        <w:spacing w:after="0"/>
        <w:ind w:left="0" w:firstLine="0"/>
      </w:pPr>
      <w:r>
        <w:rPr>
          <w:rStyle w:val="FootnoteReference"/>
        </w:rPr>
        <w:footnoteRef/>
      </w:r>
      <w:r>
        <w:t xml:space="preserve"> Cost-Benefit analysis for the delegation of certain tasks regarding the implementation of Union Programmes 2014-2020 to the executive agencies - Final report for the Commission of 19 August 2013.</w:t>
      </w:r>
    </w:p>
  </w:footnote>
  <w:footnote w:id="7">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eastAsia="Times New Roman" w:hAnsi="Times New Roman" w:cs="Times New Roman"/>
          <w:sz w:val="20"/>
          <w:szCs w:val="20"/>
        </w:rPr>
        <w:footnoteRef/>
      </w:r>
      <w:r>
        <w:rPr>
          <w:rStyle w:val="FootnoteReference"/>
          <w:rFonts w:ascii="Times New Roman" w:eastAsia="Times New Roman" w:hAnsi="Times New Roman" w:cs="Times New Roman"/>
          <w:sz w:val="20"/>
          <w:szCs w:val="20"/>
        </w:rPr>
        <w:t xml:space="preserve"> </w:t>
      </w:r>
      <w:r>
        <w:rPr>
          <w:rFonts w:ascii="Times New Roman" w:hAnsi="Times New Roman" w:cs="Times New Roman"/>
          <w:sz w:val="20"/>
          <w:szCs w:val="20"/>
        </w:rPr>
        <w:t xml:space="preserve">Identification of the tasks justifying outsourcing, a Cost-Benefit Analysis which includes the costs of coordination and checks, the impact on human resources, possible savings within the general budgetary framework of the European Union, efficiency and flexibility in the implementation of outsourced tasks, simplification of the procedures used, proximity of outsourced activities to final beneficiaries, visibility of the EU as promoter of the EU programme concerned and the need to maintain an adequate level of know-how inside the Commission. </w:t>
      </w:r>
    </w:p>
  </w:footnote>
  <w:footnote w:id="8">
    <w:p>
      <w:pPr>
        <w:autoSpaceDE w:val="0"/>
        <w:autoSpaceDN w:val="0"/>
        <w:adjustRightInd w:val="0"/>
        <w:spacing w:after="0" w:line="240" w:lineRule="auto"/>
        <w:jc w:val="both"/>
        <w:rPr>
          <w:sz w:val="20"/>
          <w:szCs w:val="20"/>
        </w:rPr>
      </w:pPr>
      <w:r>
        <w:rPr>
          <w:rStyle w:val="FootnoteReference"/>
          <w:rFonts w:ascii="Times New Roman" w:eastAsia="Times New Roman" w:hAnsi="Times New Roman" w:cs="Times New Roman"/>
          <w:sz w:val="20"/>
          <w:szCs w:val="20"/>
        </w:rPr>
        <w:footnoteRef/>
      </w:r>
      <w:r>
        <w:rPr>
          <w:rFonts w:ascii="Times New Roman" w:hAnsi="Times New Roman" w:cs="Times New Roman"/>
          <w:sz w:val="20"/>
          <w:szCs w:val="20"/>
        </w:rPr>
        <w:t xml:space="preserve"> Appendix II of the Guidelines for the establishment and operation of executive agencies financed from the Union budget (C (2014) 9109 from 2 December 2014; pp. 64-72).</w:t>
      </w:r>
    </w:p>
  </w:footnote>
  <w:footnote w:id="9">
    <w:p>
      <w:pPr>
        <w:pStyle w:val="FootnoteText"/>
        <w:spacing w:after="0"/>
        <w:ind w:left="0" w:firstLine="0"/>
      </w:pPr>
      <w:r>
        <w:rPr>
          <w:rStyle w:val="FootnoteReference"/>
        </w:rPr>
        <w:footnoteRef/>
      </w:r>
      <w:r>
        <w:t xml:space="preserve"> Validation services to Joint Undertakings are also provided by REA not under SEDIA but within the framework of Horizon 2020 support services.</w:t>
      </w:r>
    </w:p>
  </w:footnote>
  <w:footnote w:id="10">
    <w:p>
      <w:pPr>
        <w:pStyle w:val="FootnoteText"/>
      </w:pPr>
      <w:r>
        <w:rPr>
          <w:rStyle w:val="FootnoteReference"/>
        </w:rPr>
        <w:footnoteRef/>
      </w:r>
      <w:r>
        <w:t xml:space="preserve"> As of 1 January 2020 </w:t>
      </w:r>
      <w:hyperlink r:id="rId7" w:history="1">
        <w:r>
          <w:rPr>
            <w:rStyle w:val="Hyperlink"/>
            <w:color w:val="auto"/>
            <w:u w:val="none"/>
          </w:rPr>
          <w:t>Directorate-General for Defence, Industry and Space (DEFIS)</w:t>
        </w:r>
      </w:hyperlink>
      <w:r>
        <w:t xml:space="preserve"> replaced DG GROW.</w:t>
      </w:r>
    </w:p>
  </w:footnote>
  <w:footnote w:id="11">
    <w:p>
      <w:pPr>
        <w:pStyle w:val="FootnoteText"/>
        <w:spacing w:after="0"/>
        <w:ind w:left="0" w:firstLine="0"/>
      </w:pPr>
      <w:r>
        <w:rPr>
          <w:rStyle w:val="FootnoteReference"/>
        </w:rPr>
        <w:footnoteRef/>
      </w:r>
      <w:r>
        <w:t xml:space="preserve"> REA’s SFS was updated in 2017 following the update of the REA’s mandate, linked primarily to delegation of classified projects from Societal Challenge 7 to REA and the expansion of centralised services for registration and validation of all beneficiaries and service providers (SEDIA). Consequently, the retrospective CBA is based on this latest SFS version of April 2017.</w:t>
      </w:r>
    </w:p>
  </w:footnote>
  <w:footnote w:id="12">
    <w:p>
      <w:pPr>
        <w:pStyle w:val="FootnoteText"/>
        <w:spacing w:after="0"/>
        <w:ind w:left="0" w:firstLine="0"/>
      </w:pPr>
      <w:r>
        <w:rPr>
          <w:rStyle w:val="FootnoteReference"/>
        </w:rPr>
        <w:footnoteRef/>
      </w:r>
      <w:r>
        <w:rPr>
          <w:rStyle w:val="FootnoteReference"/>
        </w:rPr>
        <w:t xml:space="preserve"> </w:t>
      </w:r>
      <w:r>
        <w:t>The estimated efficiency gains over the period 2014-2024, covering full completion of the projects according to the SFS of 2013, were of EUR 158 million.</w:t>
      </w:r>
    </w:p>
  </w:footnote>
  <w:footnote w:id="13">
    <w:p>
      <w:pPr>
        <w:pStyle w:val="Body"/>
        <w:spacing w:after="0"/>
        <w:jc w:val="both"/>
        <w:rPr>
          <w:rFonts w:ascii="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hAnsi="Times New Roman" w:cs="Times New Roman"/>
          <w:sz w:val="20"/>
          <w:szCs w:val="20"/>
        </w:rPr>
        <w:t xml:space="preserve"> </w:t>
      </w:r>
      <w:r>
        <w:rPr>
          <w:rStyle w:val="FootnoteReference"/>
          <w:rFonts w:ascii="Times New Roman" w:eastAsia="Times New Roman" w:hAnsi="Times New Roman" w:cs="Times New Roman"/>
          <w:color w:val="auto"/>
          <w:sz w:val="20"/>
          <w:szCs w:val="20"/>
          <w:bdr w:val="none" w:sz="0" w:space="0" w:color="auto"/>
          <w:vertAlign w:val="baseline"/>
          <w:lang w:val="en-GB"/>
        </w:rPr>
        <w:t>Memorandum of Understanding between the Research Executive Agency and DG Research and Innovation, DG Education and Culture, DG Communication Networks, Content and Technology, DG Agriculture and Rural Development, DG Internal Market, Industry, Entrepreneurship and SMEs, DG Migration and Home Affairs of 5 February 2016.</w:t>
      </w:r>
    </w:p>
  </w:footnote>
  <w:footnote w:id="14">
    <w:p>
      <w:pPr>
        <w:pStyle w:val="FootnoteText"/>
        <w:spacing w:after="0"/>
        <w:ind w:left="0" w:firstLine="0"/>
        <w:rPr>
          <w:rStyle w:val="FootnoteReference"/>
        </w:rPr>
      </w:pPr>
      <w:r>
        <w:rPr>
          <w:rStyle w:val="FootnoteReference"/>
        </w:rPr>
        <w:footnoteRef/>
      </w:r>
      <w:r>
        <w:rPr>
          <w:rStyle w:val="FootnoteReference"/>
        </w:rPr>
        <w:t xml:space="preserve">  </w:t>
      </w:r>
      <w:r>
        <w:rPr>
          <w:rStyle w:val="FootnoteReference"/>
          <w:vertAlign w:val="baseline"/>
        </w:rPr>
        <w:t>Total number of staff, financed from EU Budget and contributions from EFTA/EEA and/or third countries.</w:t>
      </w:r>
    </w:p>
  </w:footnote>
  <w:footnote w:id="15">
    <w:p>
      <w:pPr>
        <w:pStyle w:val="FootnoteText"/>
        <w:spacing w:after="0"/>
        <w:ind w:left="0" w:firstLine="0"/>
        <w:rPr>
          <w:rStyle w:val="FootnoteReference"/>
          <w:vertAlign w:val="baseline"/>
        </w:rPr>
      </w:pPr>
      <w:r>
        <w:rPr>
          <w:rStyle w:val="FootnoteReference"/>
        </w:rPr>
        <w:footnoteRef/>
      </w:r>
      <w:r>
        <w:rPr>
          <w:rStyle w:val="FootnoteReference"/>
        </w:rPr>
        <w:t xml:space="preserve"> </w:t>
      </w:r>
      <w:r>
        <w:rPr>
          <w:rStyle w:val="FootnoteReference"/>
          <w:vertAlign w:val="baseline"/>
        </w:rPr>
        <w:t>Study supporting the evaluation of the Research Executive Agency (2015-2018), final report prepared by PPMI, CSES and IDEA Consult, February 2019.</w:t>
      </w:r>
    </w:p>
  </w:footnote>
  <w:footnote w:id="16">
    <w:p>
      <w:pPr>
        <w:pStyle w:val="FootnoteText"/>
        <w:spacing w:after="0"/>
        <w:ind w:left="0" w:firstLine="0"/>
      </w:pPr>
      <w:r>
        <w:rPr>
          <w:rStyle w:val="FootnoteReference"/>
        </w:rPr>
        <w:footnoteRef/>
      </w:r>
      <w:r>
        <w:t xml:space="preserve"> Memorandum of Understanding between the Research Executive Agency and DG Research and Innovation, DG Education and Culture, DG Communication Networks, Content and Technology, DG Agriculture and Rural Development, DG Internal Market, Industry, Entrepreneurship and SMEs, DG Migration and Home Affairs of 5 February 2016.</w:t>
      </w:r>
    </w:p>
  </w:footnote>
  <w:footnote w:id="17">
    <w:p>
      <w:pPr>
        <w:pStyle w:val="FootnoteText"/>
        <w:spacing w:after="0"/>
        <w:ind w:left="0" w:firstLine="0"/>
      </w:pPr>
      <w:r>
        <w:rPr>
          <w:rStyle w:val="FootnoteReference"/>
        </w:rPr>
        <w:footnoteRef/>
      </w:r>
      <w:r>
        <w:t xml:space="preserve"> Relatively low response rates from beneficiaries and unsuccessful applicants are typical for this type of evaluations.</w:t>
      </w:r>
    </w:p>
  </w:footnote>
  <w:footnote w:id="18">
    <w:p>
      <w:pPr>
        <w:pStyle w:val="FootnoteText"/>
        <w:spacing w:after="0"/>
        <w:ind w:left="0" w:firstLine="0"/>
      </w:pPr>
      <w:r>
        <w:rPr>
          <w:rStyle w:val="FootnoteReference"/>
        </w:rPr>
        <w:footnoteRef/>
      </w:r>
      <w:r>
        <w:t xml:space="preserve"> Guiding REA’s operational work related to programme implementation, expert management and the provision of the validation support services to EU bodies managing grant and procurement procedures.</w:t>
      </w:r>
    </w:p>
  </w:footnote>
  <w:footnote w:id="19">
    <w:p>
      <w:pPr>
        <w:pStyle w:val="FootnoteText"/>
        <w:spacing w:after="0"/>
        <w:ind w:left="0" w:firstLine="0"/>
      </w:pPr>
      <w:r>
        <w:rPr>
          <w:rStyle w:val="FootnoteReference"/>
        </w:rPr>
        <w:footnoteRef/>
      </w:r>
      <w:r>
        <w:t xml:space="preserve"> ‘Secure societies – protecting freedom and security of Europe and its citizens.’</w:t>
      </w:r>
    </w:p>
  </w:footnote>
  <w:footnote w:id="20">
    <w:p>
      <w:pPr>
        <w:pStyle w:val="FootnoteText"/>
        <w:spacing w:after="0"/>
        <w:ind w:left="0" w:firstLine="0"/>
      </w:pPr>
      <w:r>
        <w:rPr>
          <w:rStyle w:val="FootnoteReference"/>
        </w:rPr>
        <w:footnoteRef/>
      </w:r>
      <w:r>
        <w:t xml:space="preserve"> Due to the small proportion of the financial impact on the overall financial portfolio of the Agency, these reservations were lifted by the Agency as of its 2019 Annual Activity Report.</w:t>
      </w:r>
    </w:p>
  </w:footnote>
  <w:footnote w:id="21">
    <w:p>
      <w:pPr>
        <w:pStyle w:val="FootnoteText"/>
        <w:spacing w:after="0"/>
        <w:ind w:left="0" w:firstLine="0"/>
      </w:pPr>
      <w:r>
        <w:rPr>
          <w:rStyle w:val="FootnoteReference"/>
        </w:rPr>
        <w:footnoteRef/>
      </w:r>
      <w:r>
        <w:t xml:space="preserve"> Based on historical figures for FP7, first results of MSCA audits and following new simplified rules under Horizon 2020. The last known results included in the 2019 Annual Activity Report, and based on a substantial sample of audited participations, confirmed this assumption.</w:t>
      </w:r>
    </w:p>
  </w:footnote>
  <w:footnote w:id="22">
    <w:p>
      <w:pPr>
        <w:pStyle w:val="FootnoteText"/>
        <w:spacing w:after="0"/>
        <w:ind w:left="0" w:firstLine="0"/>
      </w:pPr>
      <w:r>
        <w:rPr>
          <w:rStyle w:val="FootnoteReference"/>
        </w:rPr>
        <w:footnoteRef/>
      </w:r>
      <w:r>
        <w:t xml:space="preserve"> The Agency operates the Research Enquiry Service addressing questions raised by the public on Horizon 2020 and other research matters.</w:t>
      </w:r>
    </w:p>
  </w:footnote>
  <w:footnote w:id="23">
    <w:p>
      <w:pPr>
        <w:pStyle w:val="FootnoteText"/>
        <w:spacing w:after="0"/>
        <w:ind w:left="0" w:firstLine="0"/>
      </w:pPr>
      <w:r>
        <w:rPr>
          <w:rStyle w:val="FootnoteReference"/>
        </w:rPr>
        <w:footnoteRef/>
      </w:r>
      <w:r>
        <w:t xml:space="preserve"> The priority setting for validations is automatically set by the Participant Database Management (PDM) system.</w:t>
      </w:r>
    </w:p>
  </w:footnote>
  <w:footnote w:id="24">
    <w:p>
      <w:pPr>
        <w:pStyle w:val="FootnoteText"/>
        <w:spacing w:after="0"/>
        <w:ind w:left="0" w:firstLine="0"/>
      </w:pPr>
      <w:r>
        <w:rPr>
          <w:rStyle w:val="FootnoteReference"/>
        </w:rPr>
        <w:footnoteRef/>
      </w:r>
      <w:r>
        <w:t xml:space="preserve"> EEA stands for ‘The European Economic Area’; EFTA stands for ‘The European Free Trade Association’.</w:t>
      </w:r>
    </w:p>
  </w:footnote>
  <w:footnote w:id="25">
    <w:p>
      <w:pPr>
        <w:pStyle w:val="FootnoteText"/>
        <w:spacing w:after="0"/>
        <w:ind w:left="0" w:firstLine="0"/>
      </w:pPr>
      <w:r>
        <w:rPr>
          <w:vertAlign w:val="superscript"/>
        </w:rPr>
        <w:footnoteRef/>
      </w:r>
      <w:r>
        <w:rPr>
          <w:vertAlign w:val="superscript"/>
        </w:rPr>
        <w:t xml:space="preserve"> </w:t>
      </w:r>
      <w:r>
        <w:t>Total number of staff, financed from EU Budget and contributions from EFTA/EEA and/or third countries.</w:t>
      </w:r>
    </w:p>
  </w:footnote>
  <w:footnote w:id="26">
    <w:p>
      <w:pPr>
        <w:pStyle w:val="FootnoteText"/>
        <w:spacing w:after="0"/>
        <w:ind w:left="0" w:firstLine="0"/>
      </w:pPr>
      <w:r>
        <w:rPr>
          <w:vertAlign w:val="superscript"/>
        </w:rPr>
        <w:footnoteRef/>
      </w:r>
      <w:r>
        <w:t xml:space="preserve"> Department A was responsible for the implementation of Marie Skłodowska-Curie and FET-Open programmes.</w:t>
      </w:r>
    </w:p>
  </w:footnote>
  <w:footnote w:id="27">
    <w:p>
      <w:pPr>
        <w:pStyle w:val="FootnoteText"/>
        <w:spacing w:after="0"/>
        <w:ind w:left="0" w:firstLine="0"/>
      </w:pPr>
      <w:r>
        <w:rPr>
          <w:vertAlign w:val="superscript"/>
        </w:rPr>
        <w:footnoteRef/>
      </w:r>
      <w:r>
        <w:t xml:space="preserve"> Department B was responsible for the implementation of Space Research, Sustainable Resources for Food Security and Growth, Inclusive, Innovative and Reflective Societies, Safeguarding Secure Society, Spreading Excellence, Widening participation, Science with and for Society programmes.</w:t>
      </w:r>
    </w:p>
  </w:footnote>
  <w:footnote w:id="28">
    <w:p>
      <w:pPr>
        <w:pStyle w:val="FootnoteText"/>
        <w:spacing w:after="0"/>
        <w:ind w:left="0" w:firstLine="0"/>
      </w:pPr>
      <w:r>
        <w:rPr>
          <w:rStyle w:val="FootnoteReference"/>
        </w:rPr>
        <w:footnoteRef/>
      </w:r>
      <w:r>
        <w:t xml:space="preserve"> Including by equipping a large number of new audio and/or videoconference rooms.</w:t>
      </w:r>
    </w:p>
  </w:footnote>
  <w:footnote w:id="29">
    <w:p>
      <w:pPr>
        <w:pStyle w:val="FootnoteText"/>
        <w:spacing w:after="0"/>
        <w:ind w:left="0" w:firstLine="0"/>
      </w:pPr>
      <w:r>
        <w:rPr>
          <w:vertAlign w:val="superscript"/>
        </w:rPr>
        <w:footnoteRef/>
      </w:r>
      <w:r>
        <w:t xml:space="preserve"> The Networks of call coordinators (NCC), Legal Officers (NLO), Project Officers (NPO), Financial Officers (NFO) and Ethics Correspondents (NEC).</w:t>
      </w:r>
    </w:p>
  </w:footnote>
  <w:footnote w:id="30">
    <w:p>
      <w:pPr>
        <w:pStyle w:val="FootnoteText"/>
        <w:spacing w:after="0"/>
        <w:ind w:left="0" w:firstLine="0"/>
      </w:pPr>
      <w:r>
        <w:rPr>
          <w:rStyle w:val="FootnoteReference"/>
        </w:rPr>
        <w:footnoteRef/>
      </w:r>
      <w:r>
        <w:t xml:space="preserve"> The AGILE network was designed to provide a flexible tool through which REA could provide knowledge and information quickly in the form of a factsheet overview to its parent DGs (e.g. when aiming to offer qualitative answers to pressing policy questions from the parent/political DGs in a timely and efficient manner).</w:t>
      </w:r>
    </w:p>
  </w:footnote>
  <w:footnote w:id="31">
    <w:p>
      <w:pPr>
        <w:pStyle w:val="FootnoteText"/>
        <w:spacing w:after="0"/>
        <w:ind w:left="0" w:firstLine="0"/>
      </w:pPr>
      <w:r>
        <w:rPr>
          <w:rStyle w:val="FootnoteReference"/>
        </w:rPr>
        <w:footnoteRef/>
      </w:r>
      <w:r>
        <w:t xml:space="preserve"> In the case of top-down research programmes, where policymakers develop the Annual Work Plan, the link to policy feedback activities is more direct compared with bottom-up research programmes, such as the MSCA, where other types of feedback are required.</w:t>
      </w:r>
    </w:p>
  </w:footnote>
  <w:footnote w:id="32">
    <w:p>
      <w:pPr>
        <w:pStyle w:val="FootnoteText"/>
        <w:spacing w:after="0"/>
        <w:ind w:left="0" w:firstLine="0"/>
      </w:pPr>
      <w:r>
        <w:rPr>
          <w:rStyle w:val="FootnoteReference"/>
        </w:rPr>
        <w:footnoteRef/>
      </w:r>
      <w:r>
        <w:t xml:space="preserve"> These costs do not take into account the additional contribution to the REA’s administrative budget of EUR 11.5 million over 2015-2018 coming from EFTA/EEA and third country contributions to manage the additional operational budget of EUR 602 million coming from these countries.</w:t>
      </w:r>
    </w:p>
  </w:footnote>
  <w:footnote w:id="33">
    <w:p>
      <w:pPr>
        <w:pStyle w:val="FootnoteText"/>
        <w:spacing w:after="0"/>
        <w:ind w:left="0" w:firstLine="0"/>
      </w:pPr>
      <w:r>
        <w:rPr>
          <w:rStyle w:val="FootnoteReference"/>
        </w:rPr>
        <w:footnoteRef/>
      </w:r>
      <w:r>
        <w:t xml:space="preserve"> Replacing, as of 1 January 2018, the Internal Control Standards – see C(2017)2373 final.</w:t>
      </w:r>
    </w:p>
  </w:footnote>
  <w:footnote w:id="34">
    <w:p>
      <w:pPr>
        <w:pStyle w:val="FootnoteText"/>
        <w:spacing w:after="0"/>
        <w:ind w:left="0" w:firstLine="0"/>
      </w:pPr>
      <w:r>
        <w:rPr>
          <w:rStyle w:val="FootnoteReference"/>
        </w:rPr>
        <w:footnoteRef/>
      </w:r>
      <w:r>
        <w:t xml:space="preserve"> Including applicants, beneficiaries, experts.</w:t>
      </w:r>
    </w:p>
  </w:footnote>
  <w:footnote w:id="35">
    <w:p>
      <w:pPr>
        <w:pStyle w:val="FootnoteText"/>
        <w:spacing w:after="0"/>
        <w:ind w:left="0" w:firstLine="0"/>
      </w:pPr>
      <w:r>
        <w:rPr>
          <w:rStyle w:val="FootnoteReference"/>
        </w:rPr>
        <w:footnoteRef/>
      </w:r>
      <w:r>
        <w:t xml:space="preserve"> </w:t>
      </w:r>
      <w:hyperlink r:id="rId8" w:history="1">
        <w:r>
          <w:rPr>
            <w:rStyle w:val="Hyperlink"/>
          </w:rPr>
          <w:t>https://ec.europa.eu/info/resources-partners/european-commission-visual-identity_en</w:t>
        </w:r>
      </w:hyperlink>
      <w:r>
        <w:t xml:space="preserve"> </w:t>
      </w:r>
    </w:p>
  </w:footnote>
  <w:footnote w:id="36">
    <w:p>
      <w:pPr>
        <w:pStyle w:val="Footnote0"/>
        <w:shd w:val="clear" w:color="auto" w:fill="auto"/>
        <w:spacing w:line="240" w:lineRule="auto"/>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Examples of alternatives to the Executive Agency: (i) management of the programme(s) by the Commission, (ii) mixed Agency - Commission management, (iii) partial management by the Commission while outsourcing some activities to the extent legally possible.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6DF"/>
    <w:multiLevelType w:val="hybridMultilevel"/>
    <w:tmpl w:val="478647C8"/>
    <w:lvl w:ilvl="0" w:tplc="49B045C8">
      <w:numFmt w:val="bullet"/>
      <w:lvlText w:val="−"/>
      <w:lvlJc w:val="center"/>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43A42CB"/>
    <w:multiLevelType w:val="hybridMultilevel"/>
    <w:tmpl w:val="59044658"/>
    <w:lvl w:ilvl="0" w:tplc="49B045C8">
      <w:numFmt w:val="bullet"/>
      <w:lvlText w:val="−"/>
      <w:lvlJc w:val="center"/>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DE5D1D"/>
    <w:multiLevelType w:val="hybridMultilevel"/>
    <w:tmpl w:val="B2F6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1681E"/>
    <w:multiLevelType w:val="hybridMultilevel"/>
    <w:tmpl w:val="053C403E"/>
    <w:lvl w:ilvl="0" w:tplc="F732EE5C">
      <w:start w:val="1"/>
      <w:numFmt w:val="bullet"/>
      <w:lvlText w:val=""/>
      <w:lvlJc w:val="left"/>
      <w:pPr>
        <w:ind w:left="630" w:hanging="27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B14D4A6">
      <w:start w:val="1"/>
      <w:numFmt w:val="bullet"/>
      <w:lvlText w:val="o"/>
      <w:lvlJc w:val="left"/>
      <w:pPr>
        <w:ind w:left="13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0E43878">
      <w:start w:val="1"/>
      <w:numFmt w:val="bullet"/>
      <w:lvlText w:val="▪"/>
      <w:lvlJc w:val="left"/>
      <w:pPr>
        <w:ind w:left="20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C7A391E">
      <w:start w:val="1"/>
      <w:numFmt w:val="bullet"/>
      <w:lvlText w:val="•"/>
      <w:lvlJc w:val="left"/>
      <w:pPr>
        <w:ind w:left="27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2843412">
      <w:start w:val="1"/>
      <w:numFmt w:val="bullet"/>
      <w:lvlText w:val="o"/>
      <w:lvlJc w:val="left"/>
      <w:pPr>
        <w:ind w:left="351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51A0642">
      <w:start w:val="1"/>
      <w:numFmt w:val="bullet"/>
      <w:lvlText w:val="▪"/>
      <w:lvlJc w:val="left"/>
      <w:pPr>
        <w:ind w:left="42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2EA66EA">
      <w:start w:val="1"/>
      <w:numFmt w:val="bullet"/>
      <w:lvlText w:val="•"/>
      <w:lvlJc w:val="left"/>
      <w:pPr>
        <w:ind w:left="49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7022C38">
      <w:start w:val="1"/>
      <w:numFmt w:val="bullet"/>
      <w:lvlText w:val="o"/>
      <w:lvlJc w:val="left"/>
      <w:pPr>
        <w:ind w:left="56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C604932">
      <w:start w:val="1"/>
      <w:numFmt w:val="bullet"/>
      <w:lvlText w:val="▪"/>
      <w:lvlJc w:val="left"/>
      <w:pPr>
        <w:ind w:left="63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02A3BE7"/>
    <w:multiLevelType w:val="hybridMultilevel"/>
    <w:tmpl w:val="AB9E6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6157BC"/>
    <w:multiLevelType w:val="hybridMultilevel"/>
    <w:tmpl w:val="FCE0B00C"/>
    <w:styleLink w:val="Style4import"/>
    <w:lvl w:ilvl="0" w:tplc="5420B392">
      <w:start w:val="1"/>
      <w:numFmt w:val="bullet"/>
      <w:lvlText w:val="­"/>
      <w:lvlJc w:val="left"/>
      <w:pPr>
        <w:ind w:left="6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444E2AE">
      <w:start w:val="1"/>
      <w:numFmt w:val="bullet"/>
      <w:lvlText w:val="o"/>
      <w:lvlJc w:val="left"/>
      <w:pPr>
        <w:ind w:left="13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ACCCF38">
      <w:start w:val="1"/>
      <w:numFmt w:val="bullet"/>
      <w:lvlText w:val="▪"/>
      <w:lvlJc w:val="left"/>
      <w:pPr>
        <w:ind w:left="20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022A7D0">
      <w:start w:val="1"/>
      <w:numFmt w:val="bullet"/>
      <w:lvlText w:val="•"/>
      <w:lvlJc w:val="left"/>
      <w:pPr>
        <w:ind w:left="27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3F421B8">
      <w:start w:val="1"/>
      <w:numFmt w:val="bullet"/>
      <w:lvlText w:val="o"/>
      <w:lvlJc w:val="left"/>
      <w:pPr>
        <w:ind w:left="351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4C2A9FA">
      <w:start w:val="1"/>
      <w:numFmt w:val="bullet"/>
      <w:lvlText w:val="▪"/>
      <w:lvlJc w:val="left"/>
      <w:pPr>
        <w:ind w:left="423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A1E6566">
      <w:start w:val="1"/>
      <w:numFmt w:val="bullet"/>
      <w:lvlText w:val="•"/>
      <w:lvlJc w:val="left"/>
      <w:pPr>
        <w:ind w:left="495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48CBE58">
      <w:start w:val="1"/>
      <w:numFmt w:val="bullet"/>
      <w:lvlText w:val="o"/>
      <w:lvlJc w:val="left"/>
      <w:pPr>
        <w:ind w:left="567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92E60CA">
      <w:start w:val="1"/>
      <w:numFmt w:val="bullet"/>
      <w:lvlText w:val="▪"/>
      <w:lvlJc w:val="left"/>
      <w:pPr>
        <w:ind w:left="6390" w:hanging="27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75379F1"/>
    <w:multiLevelType w:val="hybridMultilevel"/>
    <w:tmpl w:val="EC66C2BA"/>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F1183F"/>
    <w:multiLevelType w:val="hybridMultilevel"/>
    <w:tmpl w:val="CDB4EEB8"/>
    <w:lvl w:ilvl="0" w:tplc="F732EE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34306"/>
    <w:multiLevelType w:val="multilevel"/>
    <w:tmpl w:val="87C8A048"/>
    <w:lvl w:ilvl="0">
      <w:start w:val="1"/>
      <w:numFmt w:val="decimal"/>
      <w:lvlText w:val="%1."/>
      <w:lvlJc w:val="left"/>
      <w:pPr>
        <w:tabs>
          <w:tab w:val="num" w:pos="480"/>
        </w:tabs>
        <w:ind w:left="480" w:hanging="480"/>
      </w:pPr>
      <w:rPr>
        <w:b w:val="0"/>
      </w:r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3A93376"/>
    <w:multiLevelType w:val="hybridMultilevel"/>
    <w:tmpl w:val="E34E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A94059"/>
    <w:multiLevelType w:val="hybridMultilevel"/>
    <w:tmpl w:val="9DE4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03304D"/>
    <w:multiLevelType w:val="hybridMultilevel"/>
    <w:tmpl w:val="4D701E2E"/>
    <w:lvl w:ilvl="0" w:tplc="F732EE5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87147"/>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842EF0"/>
    <w:multiLevelType w:val="hybridMultilevel"/>
    <w:tmpl w:val="28AA7ABA"/>
    <w:lvl w:ilvl="0" w:tplc="CF9AC85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BEF395C"/>
    <w:multiLevelType w:val="hybridMultilevel"/>
    <w:tmpl w:val="63D6A216"/>
    <w:lvl w:ilvl="0" w:tplc="F732EE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DA684D"/>
    <w:multiLevelType w:val="hybridMultilevel"/>
    <w:tmpl w:val="2F0646AC"/>
    <w:lvl w:ilvl="0" w:tplc="49B045C8">
      <w:numFmt w:val="bullet"/>
      <w:lvlText w:val="−"/>
      <w:lvlJc w:val="center"/>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0573FE4"/>
    <w:multiLevelType w:val="hybridMultilevel"/>
    <w:tmpl w:val="C750D0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22824D62">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FF3604"/>
    <w:multiLevelType w:val="hybridMultilevel"/>
    <w:tmpl w:val="EF40FA6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53874F2"/>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407F4E"/>
    <w:multiLevelType w:val="hybridMultilevel"/>
    <w:tmpl w:val="4B74FB66"/>
    <w:lvl w:ilvl="0" w:tplc="875438F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nsid w:val="377F4D55"/>
    <w:multiLevelType w:val="hybridMultilevel"/>
    <w:tmpl w:val="FCE0B00C"/>
    <w:numStyleLink w:val="Style4import"/>
  </w:abstractNum>
  <w:abstractNum w:abstractNumId="22">
    <w:nsid w:val="408042B9"/>
    <w:multiLevelType w:val="hybridMultilevel"/>
    <w:tmpl w:val="D0CE23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8C6520"/>
    <w:multiLevelType w:val="hybridMultilevel"/>
    <w:tmpl w:val="178C9F06"/>
    <w:lvl w:ilvl="0" w:tplc="2D1CFD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FF24D0"/>
    <w:multiLevelType w:val="hybridMultilevel"/>
    <w:tmpl w:val="15F478EE"/>
    <w:lvl w:ilvl="0" w:tplc="F732EE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E73D30"/>
    <w:multiLevelType w:val="hybridMultilevel"/>
    <w:tmpl w:val="20640E68"/>
    <w:lvl w:ilvl="0" w:tplc="08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440E67"/>
    <w:multiLevelType w:val="hybridMultilevel"/>
    <w:tmpl w:val="750E1918"/>
    <w:lvl w:ilvl="0" w:tplc="F732EE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A53537"/>
    <w:multiLevelType w:val="hybridMultilevel"/>
    <w:tmpl w:val="5FD02092"/>
    <w:lvl w:ilvl="0" w:tplc="CF6A8F7A">
      <w:start w:val="1"/>
      <w:numFmt w:val="bullet"/>
      <w:lvlText w:val="o"/>
      <w:lvlJc w:val="left"/>
      <w:pPr>
        <w:tabs>
          <w:tab w:val="num" w:pos="720"/>
        </w:tabs>
        <w:ind w:left="720" w:hanging="360"/>
      </w:pPr>
      <w:rPr>
        <w:rFonts w:ascii="Courier New" w:hAnsi="Courier New" w:hint="default"/>
      </w:rPr>
    </w:lvl>
    <w:lvl w:ilvl="1" w:tplc="AE4E6AD4">
      <w:start w:val="110"/>
      <w:numFmt w:val="bullet"/>
      <w:lvlText w:val="o"/>
      <w:lvlJc w:val="left"/>
      <w:pPr>
        <w:tabs>
          <w:tab w:val="num" w:pos="1440"/>
        </w:tabs>
        <w:ind w:left="1440" w:hanging="360"/>
      </w:pPr>
      <w:rPr>
        <w:rFonts w:ascii="Courier New" w:hAnsi="Courier New" w:hint="default"/>
      </w:rPr>
    </w:lvl>
    <w:lvl w:ilvl="2" w:tplc="E04C4604" w:tentative="1">
      <w:start w:val="1"/>
      <w:numFmt w:val="bullet"/>
      <w:lvlText w:val="o"/>
      <w:lvlJc w:val="left"/>
      <w:pPr>
        <w:tabs>
          <w:tab w:val="num" w:pos="2160"/>
        </w:tabs>
        <w:ind w:left="2160" w:hanging="360"/>
      </w:pPr>
      <w:rPr>
        <w:rFonts w:ascii="Courier New" w:hAnsi="Courier New" w:hint="default"/>
      </w:rPr>
    </w:lvl>
    <w:lvl w:ilvl="3" w:tplc="9E464AB6" w:tentative="1">
      <w:start w:val="1"/>
      <w:numFmt w:val="bullet"/>
      <w:lvlText w:val="o"/>
      <w:lvlJc w:val="left"/>
      <w:pPr>
        <w:tabs>
          <w:tab w:val="num" w:pos="2880"/>
        </w:tabs>
        <w:ind w:left="2880" w:hanging="360"/>
      </w:pPr>
      <w:rPr>
        <w:rFonts w:ascii="Courier New" w:hAnsi="Courier New" w:hint="default"/>
      </w:rPr>
    </w:lvl>
    <w:lvl w:ilvl="4" w:tplc="B914E186" w:tentative="1">
      <w:start w:val="1"/>
      <w:numFmt w:val="bullet"/>
      <w:lvlText w:val="o"/>
      <w:lvlJc w:val="left"/>
      <w:pPr>
        <w:tabs>
          <w:tab w:val="num" w:pos="3600"/>
        </w:tabs>
        <w:ind w:left="3600" w:hanging="360"/>
      </w:pPr>
      <w:rPr>
        <w:rFonts w:ascii="Courier New" w:hAnsi="Courier New" w:hint="default"/>
      </w:rPr>
    </w:lvl>
    <w:lvl w:ilvl="5" w:tplc="96388414" w:tentative="1">
      <w:start w:val="1"/>
      <w:numFmt w:val="bullet"/>
      <w:lvlText w:val="o"/>
      <w:lvlJc w:val="left"/>
      <w:pPr>
        <w:tabs>
          <w:tab w:val="num" w:pos="4320"/>
        </w:tabs>
        <w:ind w:left="4320" w:hanging="360"/>
      </w:pPr>
      <w:rPr>
        <w:rFonts w:ascii="Courier New" w:hAnsi="Courier New" w:hint="default"/>
      </w:rPr>
    </w:lvl>
    <w:lvl w:ilvl="6" w:tplc="6A36FF04" w:tentative="1">
      <w:start w:val="1"/>
      <w:numFmt w:val="bullet"/>
      <w:lvlText w:val="o"/>
      <w:lvlJc w:val="left"/>
      <w:pPr>
        <w:tabs>
          <w:tab w:val="num" w:pos="5040"/>
        </w:tabs>
        <w:ind w:left="5040" w:hanging="360"/>
      </w:pPr>
      <w:rPr>
        <w:rFonts w:ascii="Courier New" w:hAnsi="Courier New" w:hint="default"/>
      </w:rPr>
    </w:lvl>
    <w:lvl w:ilvl="7" w:tplc="054A3B9E" w:tentative="1">
      <w:start w:val="1"/>
      <w:numFmt w:val="bullet"/>
      <w:lvlText w:val="o"/>
      <w:lvlJc w:val="left"/>
      <w:pPr>
        <w:tabs>
          <w:tab w:val="num" w:pos="5760"/>
        </w:tabs>
        <w:ind w:left="5760" w:hanging="360"/>
      </w:pPr>
      <w:rPr>
        <w:rFonts w:ascii="Courier New" w:hAnsi="Courier New" w:hint="default"/>
      </w:rPr>
    </w:lvl>
    <w:lvl w:ilvl="8" w:tplc="ACCED488" w:tentative="1">
      <w:start w:val="1"/>
      <w:numFmt w:val="bullet"/>
      <w:lvlText w:val="o"/>
      <w:lvlJc w:val="left"/>
      <w:pPr>
        <w:tabs>
          <w:tab w:val="num" w:pos="6480"/>
        </w:tabs>
        <w:ind w:left="6480" w:hanging="360"/>
      </w:pPr>
      <w:rPr>
        <w:rFonts w:ascii="Courier New" w:hAnsi="Courier New" w:hint="default"/>
      </w:rPr>
    </w:lvl>
  </w:abstractNum>
  <w:abstractNum w:abstractNumId="28">
    <w:nsid w:val="5440678C"/>
    <w:multiLevelType w:val="hybridMultilevel"/>
    <w:tmpl w:val="504E2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5E1FEC"/>
    <w:multiLevelType w:val="hybridMultilevel"/>
    <w:tmpl w:val="B63A6DCA"/>
    <w:lvl w:ilvl="0" w:tplc="F732EE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4857BD"/>
    <w:multiLevelType w:val="hybridMultilevel"/>
    <w:tmpl w:val="A62ED682"/>
    <w:lvl w:ilvl="0" w:tplc="ED5C6734">
      <w:numFmt w:val="bullet"/>
      <w:lvlText w:val="•"/>
      <w:lvlJc w:val="left"/>
      <w:pPr>
        <w:ind w:left="108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0127E4"/>
    <w:multiLevelType w:val="hybridMultilevel"/>
    <w:tmpl w:val="244E3B3E"/>
    <w:lvl w:ilvl="0" w:tplc="F732EE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B7718B"/>
    <w:multiLevelType w:val="hybridMultilevel"/>
    <w:tmpl w:val="60CA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BA0332"/>
    <w:multiLevelType w:val="hybridMultilevel"/>
    <w:tmpl w:val="AD6E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9001AD"/>
    <w:multiLevelType w:val="hybridMultilevel"/>
    <w:tmpl w:val="D7F4554C"/>
    <w:lvl w:ilvl="0" w:tplc="C388E4E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6B04387"/>
    <w:multiLevelType w:val="hybridMultilevel"/>
    <w:tmpl w:val="67F0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1A5976"/>
    <w:multiLevelType w:val="hybridMultilevel"/>
    <w:tmpl w:val="B7D267E6"/>
    <w:lvl w:ilvl="0" w:tplc="1986909A">
      <w:start w:val="1"/>
      <w:numFmt w:val="bullet"/>
      <w:pStyle w:val="AARBulletlist"/>
      <w:lvlText w:val=""/>
      <w:lvlJc w:val="left"/>
      <w:pPr>
        <w:ind w:left="720" w:hanging="360"/>
      </w:pPr>
      <w:rPr>
        <w:rFonts w:ascii="Symbol" w:hAnsi="Symbol" w:hint="default"/>
        <w:strike w:val="0"/>
        <w:dstrike w:val="0"/>
        <w:color w:val="365F91" w:themeColor="accent1"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7B6BC6"/>
    <w:multiLevelType w:val="hybridMultilevel"/>
    <w:tmpl w:val="C590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566BDB"/>
    <w:multiLevelType w:val="hybridMultilevel"/>
    <w:tmpl w:val="D1D46CEC"/>
    <w:lvl w:ilvl="0" w:tplc="ED5C6734">
      <w:numFmt w:val="bullet"/>
      <w:lvlText w:val="•"/>
      <w:lvlJc w:val="left"/>
      <w:pPr>
        <w:ind w:left="108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242A16"/>
    <w:multiLevelType w:val="hybridMultilevel"/>
    <w:tmpl w:val="A4E69CE4"/>
    <w:lvl w:ilvl="0" w:tplc="F732EE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C151BF"/>
    <w:multiLevelType w:val="hybridMultilevel"/>
    <w:tmpl w:val="A1A4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AF3DDE"/>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C65145E"/>
    <w:multiLevelType w:val="multilevel"/>
    <w:tmpl w:val="1BD87106"/>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43">
    <w:nsid w:val="7F3B478B"/>
    <w:multiLevelType w:val="hybridMultilevel"/>
    <w:tmpl w:val="E0FA7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9"/>
  </w:num>
  <w:num w:numId="4">
    <w:abstractNumId w:val="29"/>
  </w:num>
  <w:num w:numId="5">
    <w:abstractNumId w:val="38"/>
  </w:num>
  <w:num w:numId="6">
    <w:abstractNumId w:val="30"/>
  </w:num>
  <w:num w:numId="7">
    <w:abstractNumId w:val="35"/>
  </w:num>
  <w:num w:numId="8">
    <w:abstractNumId w:val="2"/>
  </w:num>
  <w:num w:numId="9">
    <w:abstractNumId w:val="33"/>
  </w:num>
  <w:num w:numId="10">
    <w:abstractNumId w:val="13"/>
  </w:num>
  <w:num w:numId="11">
    <w:abstractNumId w:val="7"/>
  </w:num>
  <w:num w:numId="12">
    <w:abstractNumId w:val="31"/>
  </w:num>
  <w:num w:numId="13">
    <w:abstractNumId w:val="24"/>
  </w:num>
  <w:num w:numId="14">
    <w:abstractNumId w:val="11"/>
  </w:num>
  <w:num w:numId="15">
    <w:abstractNumId w:val="22"/>
  </w:num>
  <w:num w:numId="16">
    <w:abstractNumId w:val="16"/>
  </w:num>
  <w:num w:numId="17">
    <w:abstractNumId w:val="40"/>
  </w:num>
  <w:num w:numId="18">
    <w:abstractNumId w:val="28"/>
  </w:num>
  <w:num w:numId="19">
    <w:abstractNumId w:val="12"/>
  </w:num>
  <w:num w:numId="20">
    <w:abstractNumId w:val="18"/>
  </w:num>
  <w:num w:numId="21">
    <w:abstractNumId w:val="41"/>
  </w:num>
  <w:num w:numId="22">
    <w:abstractNumId w:val="10"/>
  </w:num>
  <w:num w:numId="23">
    <w:abstractNumId w:val="15"/>
  </w:num>
  <w:num w:numId="24">
    <w:abstractNumId w:val="17"/>
  </w:num>
  <w:num w:numId="25">
    <w:abstractNumId w:val="42"/>
  </w:num>
  <w:num w:numId="26">
    <w:abstractNumId w:val="0"/>
  </w:num>
  <w:num w:numId="27">
    <w:abstractNumId w:val="9"/>
  </w:num>
  <w:num w:numId="28">
    <w:abstractNumId w:val="43"/>
  </w:num>
  <w:num w:numId="29">
    <w:abstractNumId w:val="1"/>
  </w:num>
  <w:num w:numId="30">
    <w:abstractNumId w:val="32"/>
  </w:num>
  <w:num w:numId="31">
    <w:abstractNumId w:val="37"/>
  </w:num>
  <w:num w:numId="32">
    <w:abstractNumId w:val="27"/>
  </w:num>
  <w:num w:numId="33">
    <w:abstractNumId w:val="34"/>
  </w:num>
  <w:num w:numId="34">
    <w:abstractNumId w:val="23"/>
  </w:num>
  <w:num w:numId="35">
    <w:abstractNumId w:val="25"/>
  </w:num>
  <w:num w:numId="36">
    <w:abstractNumId w:val="6"/>
  </w:num>
  <w:num w:numId="37">
    <w:abstractNumId w:val="4"/>
  </w:num>
  <w:num w:numId="38">
    <w:abstractNumId w:val="5"/>
  </w:num>
  <w:num w:numId="39">
    <w:abstractNumId w:val="21"/>
  </w:num>
  <w:num w:numId="40">
    <w:abstractNumId w:val="36"/>
  </w:num>
  <w:num w:numId="41">
    <w:abstractNumId w:val="3"/>
  </w:num>
  <w:num w:numId="42">
    <w:abstractNumId w:val="39"/>
  </w:num>
  <w:num w:numId="43">
    <w:abstractNumId w:val="2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81786A3-7383-40C1-B29B-5B44B1C833B9"/>
    <w:docVar w:name="LW_COVERPAGE_TYPE" w:val="1"/>
    <w:docVar w:name="LW_CROSSREFERENCE" w:val="{COM(2020) 184 final} - {SWD(2020) 73 final} - {SWD(2020) 74 final} - {SWD(2020) 75 final} - {SWD(2020) 76 final} - {SWD(2020) 78 final}"/>
    <w:docVar w:name="LW_DocType" w:val="NORMAL"/>
    <w:docVar w:name="LW_EMISSION" w:val="29.4.2020"/>
    <w:docVar w:name="LW_EMISSION_ISODATE" w:val="2020-04-2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valuation of the Consumers, Health, Agriculture and Food Executive Agency, the Executive Agency for Small and Medium-Size Enterprises, the Innovation and Networks Executive Agency, the Education, Audiovisual and Culture Executive Agency, the Research Executive Agency and the European Research Council Executive Agency"/>
    <w:docVar w:name="LW_PART_NBR" w:val="1"/>
    <w:docVar w:name="LW_PART_NBR_TOTAL" w:val="1"/>
    <w:docVar w:name="LW_REF.INST.NEW" w:val="SWD"/>
    <w:docVar w:name="LW_REF.INST.NEW_ADOPTED" w:val="final"/>
    <w:docVar w:name="LW_REF.INST.NEW_TEXT" w:val="(2020) 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tion of the Research Executive Agency (REA)"/>
    <w:docVar w:name="LW_TYPE.DOC.CP" w:val="COMMISSION STAFF WORKING DOCUMENT"/>
    <w:docVar w:name="LW_TYPEACTEPRINCIPAL.CP" w:val="Report from the Commission to the European Parliament, the Council and the Court of Auditor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uiPriority="35"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1440"/>
      </w:tabs>
      <w:spacing w:after="240" w:line="240" w:lineRule="auto"/>
      <w:ind w:left="1440" w:hanging="1440"/>
      <w:jc w:val="both"/>
      <w:outlineLvl w:val="2"/>
    </w:pPr>
    <w:rPr>
      <w:rFonts w:ascii="Times New Roman" w:eastAsia="Times New Roman" w:hAnsi="Times New Roman" w:cs="Times New Roman"/>
      <w:i/>
      <w:sz w:val="24"/>
      <w:szCs w:val="20"/>
      <w:lang w:eastAsia="en-US"/>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rPr>
  </w:style>
  <w:style w:type="character" w:customStyle="1" w:styleId="Heading2Char">
    <w:name w:val="Heading 2 Char"/>
    <w:basedOn w:val="DefaultParagraphFont"/>
    <w:link w:val="Heading2"/>
    <w:rPr>
      <w:b/>
      <w:sz w:val="24"/>
    </w:rPr>
  </w:style>
  <w:style w:type="character" w:customStyle="1" w:styleId="Heading3Char">
    <w:name w:val="Heading 3 Char"/>
    <w:basedOn w:val="DefaultParagraphFont"/>
    <w:link w:val="Heading3"/>
    <w:rPr>
      <w:i/>
      <w:sz w:val="24"/>
      <w:lang w:eastAsia="en-US"/>
    </w:rPr>
  </w:style>
  <w:style w:type="character" w:customStyle="1" w:styleId="Heading4Char">
    <w:name w:val="Heading 4 Char"/>
    <w:basedOn w:val="DefaultParagraphFont"/>
    <w:link w:val="Heading4"/>
    <w:rPr>
      <w:rFonts w:asciiTheme="majorHAnsi" w:eastAsiaTheme="majorEastAsia" w:hAnsiTheme="majorHAnsi" w:cstheme="majorBidi"/>
      <w:i/>
      <w:iCs/>
      <w:color w:val="365F91" w:themeColor="accent1" w:themeShade="BF"/>
      <w:sz w:val="22"/>
      <w:szCs w:val="22"/>
    </w:rPr>
  </w:style>
  <w:style w:type="paragraph" w:styleId="ListParagraph">
    <w:name w:val="List Paragraph"/>
    <w:aliases w:val="OM numbered bullets,1st level - Bullet List Paragraph,Lettre d'introduction,Normal bullet 2,Bullet list,Listenabsatz1,Table of contents numbered,F5 List Paragraph,Paragraph,Bullet EY,List Paragraph11,Normal bullet 21,Bullet,Ha,List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style>
  <w:style w:type="character" w:styleId="Hyperlink">
    <w:name w:val="Hyperlink"/>
    <w:uiPriority w:val="99"/>
    <w:rPr>
      <w:color w:val="0000FF"/>
      <w:u w:val="single"/>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lang w:val="pt-PT"/>
    </w:rPr>
  </w:style>
  <w:style w:type="character" w:customStyle="1" w:styleId="PlainTextChar">
    <w:name w:val="Plain Text Char"/>
    <w:basedOn w:val="DefaultParagraphFont"/>
    <w:link w:val="PlainText"/>
    <w:uiPriority w:val="99"/>
    <w:rPr>
      <w:rFonts w:ascii="Calibri" w:hAnsi="Calibri"/>
      <w:sz w:val="22"/>
      <w:szCs w:val="21"/>
      <w:lang w:val="pt-PT"/>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efault">
    <w:name w:val="Default"/>
    <w:pPr>
      <w:autoSpaceDE w:val="0"/>
      <w:autoSpaceDN w:val="0"/>
      <w:adjustRightInd w:val="0"/>
    </w:pPr>
    <w:rPr>
      <w:rFonts w:eastAsiaTheme="minorEastAsia"/>
      <w:color w:val="000000"/>
      <w:sz w:val="24"/>
      <w:szCs w:val="24"/>
    </w:rPr>
  </w:style>
  <w:style w:type="character" w:customStyle="1" w:styleId="ListParagraphChar">
    <w:name w:val="List Paragraph Char"/>
    <w:aliases w:val="OM numbered bullets Char,1st level - Bullet List Paragraph Char,Lettre d'introduction Char,Normal bullet 2 Char,Bullet list Char,Listenabsatz1 Char,Table of contents numbered Char,F5 List Paragraph Char,Paragraph Char,Bullet EY Char"/>
    <w:link w:val="ListParagraph"/>
    <w:uiPriority w:val="34"/>
    <w:qFormat/>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heme="minorHAnsi" w:eastAsiaTheme="minorEastAsia" w:hAnsiTheme="minorHAnsi" w:cstheme="minorBidi"/>
      <w:sz w:val="22"/>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heme="minorHAnsi" w:hAnsi="Times New Roman" w:cs="Times New Roman"/>
      <w:b/>
      <w:sz w:val="24"/>
      <w:lang w:eastAsia="en-US"/>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cs="Times New Roman"/>
      <w:b/>
      <w:sz w:val="24"/>
      <w:lang w:eastAsia="en-US"/>
    </w:rPr>
  </w:style>
  <w:style w:type="paragraph" w:customStyle="1" w:styleId="Accompagnant">
    <w:name w:val="Accompagnant"/>
    <w:basedOn w:val="Normal"/>
    <w:next w:val="Normal"/>
    <w:pPr>
      <w:spacing w:after="240" w:line="240" w:lineRule="auto"/>
      <w:jc w:val="center"/>
    </w:pPr>
    <w:rPr>
      <w:rFonts w:ascii="Times New Roman" w:eastAsiaTheme="minorHAnsi" w:hAnsi="Times New Roman" w:cs="Times New Roman"/>
      <w:b/>
      <w:i/>
      <w:sz w:val="24"/>
      <w:lang w:eastAsia="en-US"/>
    </w:rPr>
  </w:style>
  <w:style w:type="paragraph" w:customStyle="1" w:styleId="Typeacteprincipal">
    <w:name w:val="Type acte principal"/>
    <w:basedOn w:val="Normal"/>
    <w:next w:val="Normal"/>
    <w:pPr>
      <w:spacing w:after="240" w:line="240" w:lineRule="auto"/>
      <w:jc w:val="center"/>
    </w:pPr>
    <w:rPr>
      <w:rFonts w:ascii="Times New Roman" w:eastAsiaTheme="minorHAnsi" w:hAnsi="Times New Roman" w:cs="Times New Roman"/>
      <w:b/>
      <w:sz w:val="24"/>
      <w:lang w:eastAsia="en-US"/>
    </w:rPr>
  </w:style>
  <w:style w:type="paragraph" w:customStyle="1" w:styleId="Objetacteprincipal">
    <w:name w:val="Objet acte principal"/>
    <w:basedOn w:val="Normal"/>
    <w:next w:val="Normal"/>
    <w:pPr>
      <w:spacing w:after="360" w:line="240" w:lineRule="auto"/>
      <w:jc w:val="center"/>
    </w:pPr>
    <w:rPr>
      <w:rFonts w:ascii="Times New Roman" w:eastAsiaTheme="minorHAnsi" w:hAnsi="Times New Roman" w:cs="Times New Roman"/>
      <w:b/>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EastAsia"/>
      <w:b w:val="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eastAsiaTheme="minorEastAsia"/>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EastAsia"/>
      <w:b w:val="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eastAsiaTheme="minorEastAsia"/>
      <w:b/>
      <w:sz w:val="32"/>
      <w:szCs w:val="22"/>
      <w:lang w:eastAsia="en-US"/>
    </w:rPr>
  </w:style>
  <w:style w:type="character" w:styleId="FootnoteReference">
    <w:name w:val="footnote reference"/>
    <w:aliases w:val="Footnote symbol,Footnote Reference Superscript,BVI fnr,SUPERS,Footnote reference number,Footnote number,note TESI,EN Footnote Reference,Times 10 Point,Exposant 3 Point,-E Fußnotenzeichen,Fußnotenzeichen2,fr,Voetnootverwijzing, BVI fnr"/>
    <w:qFormat/>
    <w:rPr>
      <w:vertAlign w:val="superscript"/>
    </w:rPr>
  </w:style>
  <w:style w:type="table" w:customStyle="1" w:styleId="VPVILentele212">
    <w:name w:val="VPVI Lentele 212"/>
    <w:basedOn w:val="TableNormal"/>
    <w:uiPriority w:val="99"/>
    <w:rPr>
      <w:rFonts w:ascii="Cambria" w:eastAsia="MS Mincho" w:hAnsi="Cambria"/>
      <w:sz w:val="24"/>
      <w:szCs w:val="22"/>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76" w:lineRule="auto"/>
        <w:contextualSpacing/>
        <w:jc w:val="center"/>
      </w:pPr>
      <w:rPr>
        <w:rFonts w:ascii="Verdana" w:hAnsi="Verdana"/>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Verdana" w:hAnsi="Verdana"/>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Verdana" w:hAnsi="Verdana"/>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Verdana" w:hAnsi="Verdana"/>
        <w:b w:val="0"/>
        <w:sz w:val="20"/>
      </w:rPr>
      <w:tblPr/>
      <w:tcPr>
        <w:vAlign w:val="top"/>
      </w:tcPr>
    </w:tblStylePr>
    <w:tblStylePr w:type="seCell">
      <w:rPr>
        <w:rFonts w:ascii="Verdana" w:hAnsi="Verdana"/>
        <w:sz w:val="18"/>
      </w:rPr>
    </w:tblStylePr>
    <w:tblStylePr w:type="swCell">
      <w:rPr>
        <w:rFonts w:ascii="Verdana" w:hAnsi="Verdana"/>
        <w:sz w:val="18"/>
      </w:rPr>
    </w:tblStylePr>
  </w:style>
  <w:style w:type="character" w:customStyle="1" w:styleId="Footnote">
    <w:name w:val="Footnote_"/>
    <w:link w:val="Footnote0"/>
    <w:rPr>
      <w:rFonts w:ascii="Arial" w:eastAsia="Arial" w:hAnsi="Arial" w:cs="Arial"/>
      <w:sz w:val="13"/>
      <w:szCs w:val="13"/>
      <w:shd w:val="clear" w:color="auto" w:fill="FFFFFF"/>
    </w:rPr>
  </w:style>
  <w:style w:type="paragraph" w:customStyle="1" w:styleId="Footnote0">
    <w:name w:val="Footnote"/>
    <w:basedOn w:val="Normal"/>
    <w:link w:val="Footnote"/>
    <w:pPr>
      <w:widowControl w:val="0"/>
      <w:shd w:val="clear" w:color="auto" w:fill="FFFFFF"/>
      <w:spacing w:after="0" w:line="192" w:lineRule="exact"/>
      <w:jc w:val="both"/>
    </w:pPr>
    <w:rPr>
      <w:rFonts w:ascii="Arial" w:eastAsia="Arial" w:hAnsi="Arial" w:cs="Arial"/>
      <w:sz w:val="13"/>
      <w:szCs w:val="13"/>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Pr>
      <w:sz w:val="24"/>
      <w:szCs w:val="24"/>
      <w:lang w:eastAsia="en-US"/>
    </w:rPr>
  </w:style>
  <w:style w:type="paragraph" w:styleId="Caption">
    <w:name w:val="caption"/>
    <w:aliases w:val="Table caption,paveikslas,Paveikslo pavadinimas,Char Char Char,Caption1 Char Char Char Char Char Char Char Char,Caption1 Char Char Char Char Char Char Char Char Tegn Tegn Tegn Tegn Tegn,Tabelkop,label,Beschriftung Char1,la, Char Char Char"/>
    <w:basedOn w:val="Normal"/>
    <w:next w:val="Normal"/>
    <w:link w:val="CaptionChar"/>
    <w:uiPriority w:val="35"/>
    <w:qFormat/>
    <w:pPr>
      <w:spacing w:before="120" w:after="120" w:line="240" w:lineRule="auto"/>
      <w:jc w:val="both"/>
    </w:pPr>
    <w:rPr>
      <w:rFonts w:ascii="Times New Roman" w:eastAsia="Times New Roman" w:hAnsi="Times New Roman" w:cs="Times New Roman"/>
      <w:b/>
      <w:sz w:val="24"/>
      <w:szCs w:val="24"/>
      <w:lang w:eastAsia="en-US"/>
    </w:rPr>
  </w:style>
  <w:style w:type="character" w:customStyle="1" w:styleId="CaptionChar">
    <w:name w:val="Caption Char"/>
    <w:aliases w:val="Table caption Char,paveikslas Char,Paveikslo pavadinimas Char,Char Char Char Char,Caption1 Char Char Char Char Char Char Char Char Char,Caption1 Char Char Char Char Char Char Char Char Tegn Tegn Tegn Tegn Tegn Char,Tabelkop Char,label Char"/>
    <w:link w:val="Caption"/>
    <w:uiPriority w:val="35"/>
    <w:rPr>
      <w:b/>
      <w:sz w:val="24"/>
      <w:szCs w:val="24"/>
      <w:lang w:eastAsia="en-US"/>
    </w:rPr>
  </w:style>
  <w:style w:type="table" w:customStyle="1" w:styleId="VPVILentele21">
    <w:name w:val="VPVI Lentele 21"/>
    <w:basedOn w:val="TableNormal"/>
    <w:uiPriority w:val="99"/>
    <w:rPr>
      <w:rFonts w:ascii="Cambria" w:eastAsia="MS Mincho" w:hAnsi="Cambria"/>
      <w:sz w:val="24"/>
      <w:szCs w:val="22"/>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76" w:lineRule="auto"/>
        <w:contextualSpacing/>
        <w:jc w:val="center"/>
      </w:pPr>
      <w:rPr>
        <w:rFonts w:ascii="Verdana" w:hAnsi="Verdana"/>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Verdana" w:hAnsi="Verdana"/>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Verdana" w:hAnsi="Verdana"/>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Verdana" w:hAnsi="Verdana"/>
        <w:b w:val="0"/>
        <w:sz w:val="20"/>
      </w:rPr>
      <w:tblPr/>
      <w:tcPr>
        <w:vAlign w:val="top"/>
      </w:tcPr>
    </w:tblStylePr>
    <w:tblStylePr w:type="seCell">
      <w:rPr>
        <w:rFonts w:ascii="Verdana" w:hAnsi="Verdana"/>
        <w:sz w:val="18"/>
      </w:rPr>
    </w:tblStylePr>
    <w:tblStylePr w:type="swCell">
      <w:rPr>
        <w:rFonts w:ascii="Verdana" w:hAnsi="Verdana"/>
        <w:sz w:val="18"/>
      </w:rPr>
    </w:tblStylePr>
  </w:style>
  <w:style w:type="paragraph" w:styleId="Revision">
    <w:name w:val="Revision"/>
    <w:hidden/>
    <w:uiPriority w:val="99"/>
    <w:semiHidden/>
    <w:rPr>
      <w:rFonts w:asciiTheme="minorHAnsi" w:eastAsiaTheme="minorEastAsia" w:hAnsiTheme="minorHAnsi" w:cstheme="minorBidi"/>
      <w:sz w:val="22"/>
      <w:szCs w:val="22"/>
    </w:rPr>
  </w:style>
  <w:style w:type="paragraph" w:customStyle="1" w:styleId="Body">
    <w:name w:val="Body"/>
    <w:pPr>
      <w:pBdr>
        <w:top w:val="nil"/>
        <w:left w:val="nil"/>
        <w:bottom w:val="nil"/>
        <w:right w:val="nil"/>
        <w:between w:val="nil"/>
        <w:bar w:val="nil"/>
      </w:pBdr>
      <w:spacing w:after="240"/>
    </w:pPr>
    <w:rPr>
      <w:rFonts w:ascii="Verdana" w:eastAsia="Arial Unicode MS" w:hAnsi="Verdana" w:cs="Arial Unicode MS"/>
      <w:color w:val="000000"/>
      <w:sz w:val="18"/>
      <w:szCs w:val="18"/>
      <w:u w:color="000000"/>
      <w:bdr w:val="nil"/>
      <w:lang w:val="en-US"/>
    </w:rPr>
  </w:style>
  <w:style w:type="numbering" w:customStyle="1" w:styleId="Style4import">
    <w:name w:val="Style 4 importé"/>
    <w:pPr>
      <w:numPr>
        <w:numId w:val="38"/>
      </w:numPr>
    </w:pPr>
  </w:style>
  <w:style w:type="paragraph" w:styleId="TOCHeading">
    <w:name w:val="TOC Heading"/>
    <w:basedOn w:val="Heading1"/>
    <w:next w:val="Normal"/>
    <w:uiPriority w:val="39"/>
    <w:unhideWhenUsed/>
    <w:qFormat/>
    <w:pPr>
      <w:keepLines/>
      <w:spacing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AARText">
    <w:name w:val="AAR Text"/>
    <w:basedOn w:val="Normal"/>
    <w:link w:val="AARTextChar"/>
    <w:qFormat/>
    <w:pPr>
      <w:widowControl w:val="0"/>
      <w:autoSpaceDE w:val="0"/>
      <w:autoSpaceDN w:val="0"/>
      <w:adjustRightInd w:val="0"/>
      <w:spacing w:after="120" w:line="240" w:lineRule="auto"/>
      <w:jc w:val="both"/>
    </w:pPr>
    <w:rPr>
      <w:rFonts w:ascii="Verdana" w:eastAsia="Times New Roman" w:hAnsi="Verdana" w:cs="Times New Roman"/>
      <w:sz w:val="20"/>
      <w:szCs w:val="24"/>
    </w:rPr>
  </w:style>
  <w:style w:type="character" w:customStyle="1" w:styleId="AARTextChar">
    <w:name w:val="AAR Text Char"/>
    <w:link w:val="AARText"/>
    <w:rPr>
      <w:rFonts w:ascii="Verdana" w:hAnsi="Verdana"/>
      <w:szCs w:val="24"/>
    </w:rPr>
  </w:style>
  <w:style w:type="paragraph" w:customStyle="1" w:styleId="AARBulletlist">
    <w:name w:val="AAR Bulletlist"/>
    <w:basedOn w:val="AARText"/>
    <w:link w:val="AARBulletlistChar"/>
    <w:qFormat/>
    <w:pPr>
      <w:numPr>
        <w:numId w:val="40"/>
      </w:numPr>
    </w:pPr>
  </w:style>
  <w:style w:type="character" w:customStyle="1" w:styleId="AARBulletlistChar">
    <w:name w:val="AAR Bulletlist Char"/>
    <w:basedOn w:val="AARTextChar"/>
    <w:link w:val="AARBulletlist"/>
    <w:rPr>
      <w:rFonts w:ascii="Verdana" w:hAnsi="Verdana"/>
      <w:szCs w:val="24"/>
    </w:rPr>
  </w:style>
  <w:style w:type="character" w:customStyle="1" w:styleId="external-link">
    <w:name w:val="external-link"/>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uiPriority="35"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1440"/>
      </w:tabs>
      <w:spacing w:after="240" w:line="240" w:lineRule="auto"/>
      <w:ind w:left="1440" w:hanging="1440"/>
      <w:jc w:val="both"/>
      <w:outlineLvl w:val="2"/>
    </w:pPr>
    <w:rPr>
      <w:rFonts w:ascii="Times New Roman" w:eastAsia="Times New Roman" w:hAnsi="Times New Roman" w:cs="Times New Roman"/>
      <w:i/>
      <w:sz w:val="24"/>
      <w:szCs w:val="20"/>
      <w:lang w:eastAsia="en-US"/>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mallCaps/>
      <w:sz w:val="24"/>
    </w:rPr>
  </w:style>
  <w:style w:type="character" w:customStyle="1" w:styleId="Heading2Char">
    <w:name w:val="Heading 2 Char"/>
    <w:basedOn w:val="DefaultParagraphFont"/>
    <w:link w:val="Heading2"/>
    <w:rPr>
      <w:b/>
      <w:sz w:val="24"/>
    </w:rPr>
  </w:style>
  <w:style w:type="character" w:customStyle="1" w:styleId="Heading3Char">
    <w:name w:val="Heading 3 Char"/>
    <w:basedOn w:val="DefaultParagraphFont"/>
    <w:link w:val="Heading3"/>
    <w:rPr>
      <w:i/>
      <w:sz w:val="24"/>
      <w:lang w:eastAsia="en-US"/>
    </w:rPr>
  </w:style>
  <w:style w:type="character" w:customStyle="1" w:styleId="Heading4Char">
    <w:name w:val="Heading 4 Char"/>
    <w:basedOn w:val="DefaultParagraphFont"/>
    <w:link w:val="Heading4"/>
    <w:rPr>
      <w:rFonts w:asciiTheme="majorHAnsi" w:eastAsiaTheme="majorEastAsia" w:hAnsiTheme="majorHAnsi" w:cstheme="majorBidi"/>
      <w:i/>
      <w:iCs/>
      <w:color w:val="365F91" w:themeColor="accent1" w:themeShade="BF"/>
      <w:sz w:val="22"/>
      <w:szCs w:val="22"/>
    </w:rPr>
  </w:style>
  <w:style w:type="paragraph" w:styleId="ListParagraph">
    <w:name w:val="List Paragraph"/>
    <w:aliases w:val="OM numbered bullets,1st level - Bullet List Paragraph,Lettre d'introduction,Normal bullet 2,Bullet list,Listenabsatz1,Table of contents numbered,F5 List Paragraph,Paragraph,Bullet EY,List Paragraph11,Normal bullet 21,Bullet,Ha,List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style>
  <w:style w:type="character" w:styleId="Hyperlink">
    <w:name w:val="Hyperlink"/>
    <w:uiPriority w:val="99"/>
    <w:rPr>
      <w:color w:val="0000FF"/>
      <w:u w:val="single"/>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lang w:val="pt-PT"/>
    </w:rPr>
  </w:style>
  <w:style w:type="character" w:customStyle="1" w:styleId="PlainTextChar">
    <w:name w:val="Plain Text Char"/>
    <w:basedOn w:val="DefaultParagraphFont"/>
    <w:link w:val="PlainText"/>
    <w:uiPriority w:val="99"/>
    <w:rPr>
      <w:rFonts w:ascii="Calibri" w:hAnsi="Calibri"/>
      <w:sz w:val="22"/>
      <w:szCs w:val="21"/>
      <w:lang w:val="pt-PT"/>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efault">
    <w:name w:val="Default"/>
    <w:pPr>
      <w:autoSpaceDE w:val="0"/>
      <w:autoSpaceDN w:val="0"/>
      <w:adjustRightInd w:val="0"/>
    </w:pPr>
    <w:rPr>
      <w:rFonts w:eastAsiaTheme="minorEastAsia"/>
      <w:color w:val="000000"/>
      <w:sz w:val="24"/>
      <w:szCs w:val="24"/>
    </w:rPr>
  </w:style>
  <w:style w:type="character" w:customStyle="1" w:styleId="ListParagraphChar">
    <w:name w:val="List Paragraph Char"/>
    <w:aliases w:val="OM numbered bullets Char,1st level - Bullet List Paragraph Char,Lettre d'introduction Char,Normal bullet 2 Char,Bullet list Char,Listenabsatz1 Char,Table of contents numbered Char,F5 List Paragraph Char,Paragraph Char,Bullet EY Char"/>
    <w:link w:val="ListParagraph"/>
    <w:uiPriority w:val="34"/>
    <w:qFormat/>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heme="minorHAnsi" w:eastAsiaTheme="minorEastAsia" w:hAnsiTheme="minorHAnsi" w:cstheme="minorBidi"/>
      <w:sz w:val="22"/>
      <w:szCs w:val="22"/>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heme="minorHAnsi" w:hAnsi="Times New Roman" w:cs="Times New Roman"/>
      <w:b/>
      <w:sz w:val="24"/>
      <w:lang w:eastAsia="en-US"/>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cs="Times New Roman"/>
      <w:b/>
      <w:sz w:val="24"/>
      <w:lang w:eastAsia="en-US"/>
    </w:rPr>
  </w:style>
  <w:style w:type="paragraph" w:customStyle="1" w:styleId="Accompagnant">
    <w:name w:val="Accompagnant"/>
    <w:basedOn w:val="Normal"/>
    <w:next w:val="Normal"/>
    <w:pPr>
      <w:spacing w:after="240" w:line="240" w:lineRule="auto"/>
      <w:jc w:val="center"/>
    </w:pPr>
    <w:rPr>
      <w:rFonts w:ascii="Times New Roman" w:eastAsiaTheme="minorHAnsi" w:hAnsi="Times New Roman" w:cs="Times New Roman"/>
      <w:b/>
      <w:i/>
      <w:sz w:val="24"/>
      <w:lang w:eastAsia="en-US"/>
    </w:rPr>
  </w:style>
  <w:style w:type="paragraph" w:customStyle="1" w:styleId="Typeacteprincipal">
    <w:name w:val="Type acte principal"/>
    <w:basedOn w:val="Normal"/>
    <w:next w:val="Normal"/>
    <w:pPr>
      <w:spacing w:after="240" w:line="240" w:lineRule="auto"/>
      <w:jc w:val="center"/>
    </w:pPr>
    <w:rPr>
      <w:rFonts w:ascii="Times New Roman" w:eastAsiaTheme="minorHAnsi" w:hAnsi="Times New Roman" w:cs="Times New Roman"/>
      <w:b/>
      <w:sz w:val="24"/>
      <w:lang w:eastAsia="en-US"/>
    </w:rPr>
  </w:style>
  <w:style w:type="paragraph" w:customStyle="1" w:styleId="Objetacteprincipal">
    <w:name w:val="Objet acte principal"/>
    <w:basedOn w:val="Normal"/>
    <w:next w:val="Normal"/>
    <w:pPr>
      <w:spacing w:after="360" w:line="240" w:lineRule="auto"/>
      <w:jc w:val="center"/>
    </w:pPr>
    <w:rPr>
      <w:rFonts w:ascii="Times New Roman" w:eastAsiaTheme="minorHAnsi" w:hAnsi="Times New Roman" w:cs="Times New Roman"/>
      <w:b/>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EastAsia"/>
      <w:b w:val="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eastAsiaTheme="minorEastAsia"/>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eastAsiaTheme="minorEastAsia"/>
      <w:b w:val="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eastAsiaTheme="minorEastAsia"/>
      <w:b/>
      <w:sz w:val="32"/>
      <w:szCs w:val="22"/>
      <w:lang w:eastAsia="en-US"/>
    </w:rPr>
  </w:style>
  <w:style w:type="character" w:styleId="FootnoteReference">
    <w:name w:val="footnote reference"/>
    <w:aliases w:val="Footnote symbol,Footnote Reference Superscript,BVI fnr,SUPERS,Footnote reference number,Footnote number,note TESI,EN Footnote Reference,Times 10 Point,Exposant 3 Point,-E Fußnotenzeichen,Fußnotenzeichen2,fr,Voetnootverwijzing, BVI fnr"/>
    <w:qFormat/>
    <w:rPr>
      <w:vertAlign w:val="superscript"/>
    </w:rPr>
  </w:style>
  <w:style w:type="table" w:customStyle="1" w:styleId="VPVILentele212">
    <w:name w:val="VPVI Lentele 212"/>
    <w:basedOn w:val="TableNormal"/>
    <w:uiPriority w:val="99"/>
    <w:rPr>
      <w:rFonts w:ascii="Cambria" w:eastAsia="MS Mincho" w:hAnsi="Cambria"/>
      <w:sz w:val="24"/>
      <w:szCs w:val="22"/>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76" w:lineRule="auto"/>
        <w:contextualSpacing/>
        <w:jc w:val="center"/>
      </w:pPr>
      <w:rPr>
        <w:rFonts w:ascii="Verdana" w:hAnsi="Verdana"/>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Verdana" w:hAnsi="Verdana"/>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Verdana" w:hAnsi="Verdana"/>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Verdana" w:hAnsi="Verdana"/>
        <w:b w:val="0"/>
        <w:sz w:val="20"/>
      </w:rPr>
      <w:tblPr/>
      <w:tcPr>
        <w:vAlign w:val="top"/>
      </w:tcPr>
    </w:tblStylePr>
    <w:tblStylePr w:type="seCell">
      <w:rPr>
        <w:rFonts w:ascii="Verdana" w:hAnsi="Verdana"/>
        <w:sz w:val="18"/>
      </w:rPr>
    </w:tblStylePr>
    <w:tblStylePr w:type="swCell">
      <w:rPr>
        <w:rFonts w:ascii="Verdana" w:hAnsi="Verdana"/>
        <w:sz w:val="18"/>
      </w:rPr>
    </w:tblStylePr>
  </w:style>
  <w:style w:type="character" w:customStyle="1" w:styleId="Footnote">
    <w:name w:val="Footnote_"/>
    <w:link w:val="Footnote0"/>
    <w:rPr>
      <w:rFonts w:ascii="Arial" w:eastAsia="Arial" w:hAnsi="Arial" w:cs="Arial"/>
      <w:sz w:val="13"/>
      <w:szCs w:val="13"/>
      <w:shd w:val="clear" w:color="auto" w:fill="FFFFFF"/>
    </w:rPr>
  </w:style>
  <w:style w:type="paragraph" w:customStyle="1" w:styleId="Footnote0">
    <w:name w:val="Footnote"/>
    <w:basedOn w:val="Normal"/>
    <w:link w:val="Footnote"/>
    <w:pPr>
      <w:widowControl w:val="0"/>
      <w:shd w:val="clear" w:color="auto" w:fill="FFFFFF"/>
      <w:spacing w:after="0" w:line="192" w:lineRule="exact"/>
      <w:jc w:val="both"/>
    </w:pPr>
    <w:rPr>
      <w:rFonts w:ascii="Arial" w:eastAsia="Arial" w:hAnsi="Arial" w:cs="Arial"/>
      <w:sz w:val="13"/>
      <w:szCs w:val="13"/>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Pr>
      <w:sz w:val="24"/>
      <w:szCs w:val="24"/>
      <w:lang w:eastAsia="en-US"/>
    </w:rPr>
  </w:style>
  <w:style w:type="paragraph" w:styleId="Caption">
    <w:name w:val="caption"/>
    <w:aliases w:val="Table caption,paveikslas,Paveikslo pavadinimas,Char Char Char,Caption1 Char Char Char Char Char Char Char Char,Caption1 Char Char Char Char Char Char Char Char Tegn Tegn Tegn Tegn Tegn,Tabelkop,label,Beschriftung Char1,la, Char Char Char"/>
    <w:basedOn w:val="Normal"/>
    <w:next w:val="Normal"/>
    <w:link w:val="CaptionChar"/>
    <w:uiPriority w:val="35"/>
    <w:qFormat/>
    <w:pPr>
      <w:spacing w:before="120" w:after="120" w:line="240" w:lineRule="auto"/>
      <w:jc w:val="both"/>
    </w:pPr>
    <w:rPr>
      <w:rFonts w:ascii="Times New Roman" w:eastAsia="Times New Roman" w:hAnsi="Times New Roman" w:cs="Times New Roman"/>
      <w:b/>
      <w:sz w:val="24"/>
      <w:szCs w:val="24"/>
      <w:lang w:eastAsia="en-US"/>
    </w:rPr>
  </w:style>
  <w:style w:type="character" w:customStyle="1" w:styleId="CaptionChar">
    <w:name w:val="Caption Char"/>
    <w:aliases w:val="Table caption Char,paveikslas Char,Paveikslo pavadinimas Char,Char Char Char Char,Caption1 Char Char Char Char Char Char Char Char Char,Caption1 Char Char Char Char Char Char Char Char Tegn Tegn Tegn Tegn Tegn Char,Tabelkop Char,label Char"/>
    <w:link w:val="Caption"/>
    <w:uiPriority w:val="35"/>
    <w:rPr>
      <w:b/>
      <w:sz w:val="24"/>
      <w:szCs w:val="24"/>
      <w:lang w:eastAsia="en-US"/>
    </w:rPr>
  </w:style>
  <w:style w:type="table" w:customStyle="1" w:styleId="VPVILentele21">
    <w:name w:val="VPVI Lentele 21"/>
    <w:basedOn w:val="TableNormal"/>
    <w:uiPriority w:val="99"/>
    <w:rPr>
      <w:rFonts w:ascii="Cambria" w:eastAsia="MS Mincho" w:hAnsi="Cambria"/>
      <w:sz w:val="24"/>
      <w:szCs w:val="22"/>
      <w:lang w:val="lt-LT" w:eastAsia="lt-LT"/>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76" w:lineRule="auto"/>
        <w:contextualSpacing/>
        <w:jc w:val="center"/>
      </w:pPr>
      <w:rPr>
        <w:rFonts w:ascii="Verdana" w:hAnsi="Verdana"/>
        <w:b/>
        <w:sz w:val="20"/>
      </w:rPr>
      <w:tblPr/>
      <w:tcPr>
        <w:shd w:val="clear" w:color="auto" w:fill="00505E"/>
        <w:vAlign w:val="top"/>
      </w:tcPr>
    </w:tblStylePr>
    <w:tblStylePr w:type="lastRow">
      <w:pPr>
        <w:wordWrap/>
        <w:spacing w:beforeLines="0" w:beforeAutospacing="0" w:afterLines="0" w:afterAutospacing="0"/>
        <w:ind w:leftChars="0" w:left="0" w:rightChars="0" w:right="0"/>
      </w:pPr>
      <w:rPr>
        <w:rFonts w:ascii="Verdana" w:hAnsi="Verdana"/>
        <w:b w:val="0"/>
        <w:sz w:val="18"/>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76" w:lineRule="auto"/>
        <w:contextualSpacing/>
        <w:jc w:val="left"/>
      </w:pPr>
      <w:rPr>
        <w:rFonts w:ascii="Verdana" w:hAnsi="Verdana"/>
        <w:b w:val="0"/>
        <w:sz w:val="20"/>
      </w:rPr>
      <w:tblPr/>
      <w:tcPr>
        <w:shd w:val="clear" w:color="auto" w:fill="FFFFFF"/>
        <w:vAlign w:val="top"/>
      </w:tcPr>
    </w:tblStylePr>
    <w:tblStylePr w:type="band2Horz">
      <w:pPr>
        <w:wordWrap/>
        <w:spacing w:beforeLines="0" w:beforeAutospacing="0" w:afterLines="0" w:afterAutospacing="0" w:line="276" w:lineRule="auto"/>
        <w:contextualSpacing/>
        <w:jc w:val="left"/>
      </w:pPr>
      <w:rPr>
        <w:rFonts w:ascii="Verdana" w:hAnsi="Verdana"/>
        <w:b w:val="0"/>
        <w:sz w:val="20"/>
      </w:rPr>
      <w:tblPr/>
      <w:tcPr>
        <w:vAlign w:val="top"/>
      </w:tcPr>
    </w:tblStylePr>
    <w:tblStylePr w:type="seCell">
      <w:rPr>
        <w:rFonts w:ascii="Verdana" w:hAnsi="Verdana"/>
        <w:sz w:val="18"/>
      </w:rPr>
    </w:tblStylePr>
    <w:tblStylePr w:type="swCell">
      <w:rPr>
        <w:rFonts w:ascii="Verdana" w:hAnsi="Verdana"/>
        <w:sz w:val="18"/>
      </w:rPr>
    </w:tblStylePr>
  </w:style>
  <w:style w:type="paragraph" w:styleId="Revision">
    <w:name w:val="Revision"/>
    <w:hidden/>
    <w:uiPriority w:val="99"/>
    <w:semiHidden/>
    <w:rPr>
      <w:rFonts w:asciiTheme="minorHAnsi" w:eastAsiaTheme="minorEastAsia" w:hAnsiTheme="minorHAnsi" w:cstheme="minorBidi"/>
      <w:sz w:val="22"/>
      <w:szCs w:val="22"/>
    </w:rPr>
  </w:style>
  <w:style w:type="paragraph" w:customStyle="1" w:styleId="Body">
    <w:name w:val="Body"/>
    <w:pPr>
      <w:pBdr>
        <w:top w:val="nil"/>
        <w:left w:val="nil"/>
        <w:bottom w:val="nil"/>
        <w:right w:val="nil"/>
        <w:between w:val="nil"/>
        <w:bar w:val="nil"/>
      </w:pBdr>
      <w:spacing w:after="240"/>
    </w:pPr>
    <w:rPr>
      <w:rFonts w:ascii="Verdana" w:eastAsia="Arial Unicode MS" w:hAnsi="Verdana" w:cs="Arial Unicode MS"/>
      <w:color w:val="000000"/>
      <w:sz w:val="18"/>
      <w:szCs w:val="18"/>
      <w:u w:color="000000"/>
      <w:bdr w:val="nil"/>
      <w:lang w:val="en-US"/>
    </w:rPr>
  </w:style>
  <w:style w:type="numbering" w:customStyle="1" w:styleId="Style4import">
    <w:name w:val="Style 4 importé"/>
    <w:pPr>
      <w:numPr>
        <w:numId w:val="38"/>
      </w:numPr>
    </w:pPr>
  </w:style>
  <w:style w:type="paragraph" w:styleId="TOCHeading">
    <w:name w:val="TOC Heading"/>
    <w:basedOn w:val="Heading1"/>
    <w:next w:val="Normal"/>
    <w:uiPriority w:val="39"/>
    <w:unhideWhenUsed/>
    <w:qFormat/>
    <w:pPr>
      <w:keepLines/>
      <w:spacing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AARText">
    <w:name w:val="AAR Text"/>
    <w:basedOn w:val="Normal"/>
    <w:link w:val="AARTextChar"/>
    <w:qFormat/>
    <w:pPr>
      <w:widowControl w:val="0"/>
      <w:autoSpaceDE w:val="0"/>
      <w:autoSpaceDN w:val="0"/>
      <w:adjustRightInd w:val="0"/>
      <w:spacing w:after="120" w:line="240" w:lineRule="auto"/>
      <w:jc w:val="both"/>
    </w:pPr>
    <w:rPr>
      <w:rFonts w:ascii="Verdana" w:eastAsia="Times New Roman" w:hAnsi="Verdana" w:cs="Times New Roman"/>
      <w:sz w:val="20"/>
      <w:szCs w:val="24"/>
    </w:rPr>
  </w:style>
  <w:style w:type="character" w:customStyle="1" w:styleId="AARTextChar">
    <w:name w:val="AAR Text Char"/>
    <w:link w:val="AARText"/>
    <w:rPr>
      <w:rFonts w:ascii="Verdana" w:hAnsi="Verdana"/>
      <w:szCs w:val="24"/>
    </w:rPr>
  </w:style>
  <w:style w:type="paragraph" w:customStyle="1" w:styleId="AARBulletlist">
    <w:name w:val="AAR Bulletlist"/>
    <w:basedOn w:val="AARText"/>
    <w:link w:val="AARBulletlistChar"/>
    <w:qFormat/>
    <w:pPr>
      <w:numPr>
        <w:numId w:val="40"/>
      </w:numPr>
    </w:pPr>
  </w:style>
  <w:style w:type="character" w:customStyle="1" w:styleId="AARBulletlistChar">
    <w:name w:val="AAR Bulletlist Char"/>
    <w:basedOn w:val="AARTextChar"/>
    <w:link w:val="AARBulletlist"/>
    <w:rPr>
      <w:rFonts w:ascii="Verdana" w:hAnsi="Verdana"/>
      <w:szCs w:val="24"/>
    </w:rPr>
  </w:style>
  <w:style w:type="character" w:customStyle="1" w:styleId="external-link">
    <w:name w:val="external-link"/>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transparency/regdoc/rep/3/2013/EN/3-2013-9418-EN-F1-1.PDF"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ata.europa.eu/eli/dec_impl/2013/778/oj"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data.europa.eu/eli/reg/2003/58/oj" TargetMode="External"/><Relationship Id="rId20" Type="http://schemas.openxmlformats.org/officeDocument/2006/relationships/hyperlink" Target="https://ec.europa.eu/research/fp7/index_en.cf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ec.europa.eu/research/participants/data/ref/h2020/legal_basis/fp/h2020-eu-establact_en.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2.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resources-partners/european-commission-visual-identity_en" TargetMode="External"/><Relationship Id="rId3" Type="http://schemas.openxmlformats.org/officeDocument/2006/relationships/hyperlink" Target="http://ec.europa.eu/transparency/regdoc/rep/3/2013/EN/3-2013-9418-EN-F1-1.PDF" TargetMode="External"/><Relationship Id="rId7" Type="http://schemas.openxmlformats.org/officeDocument/2006/relationships/hyperlink" Target="https://myintracomm.ec.europa.eu/dg/defis/Pages/default.aspx" TargetMode="External"/><Relationship Id="rId2" Type="http://schemas.openxmlformats.org/officeDocument/2006/relationships/hyperlink" Target="http://data.europa.eu/eli/dec_impl/2013/778/oj" TargetMode="External"/><Relationship Id="rId1" Type="http://schemas.openxmlformats.org/officeDocument/2006/relationships/hyperlink" Target="http://data.europa.eu/eli/reg/2003/58/oj" TargetMode="External"/><Relationship Id="rId6" Type="http://schemas.openxmlformats.org/officeDocument/2006/relationships/hyperlink" Target="http://eur-lex.europa.eu/legal-content/EN/TXT/?qid=1503927121836&amp;uri=CELEX:52015SC0110" TargetMode="External"/><Relationship Id="rId5" Type="http://schemas.openxmlformats.org/officeDocument/2006/relationships/hyperlink" Target="http://eur-lex.europa.eu/legal-content/EN/TXT/?qid=1503927019576&amp;uri=CELEX:52015SC0111" TargetMode="External"/><Relationship Id="rId4" Type="http://schemas.openxmlformats.org/officeDocument/2006/relationships/hyperlink" Target="http://eur-lex.europa.eu/legal-content/EN/TXT/?qid=1503926934073&amp;uri=CELEX:52015DC0215"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 Id="rId5" Type="http://schemas.microsoft.com/office/2011/relationships/chartStyle" Target="style1.xml"/><Relationship Id="rId4" Type="http://schemas.microsoft.com/office/2011/relationships/chartColorStyle" Target="colors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 </a:t>
            </a:r>
          </a:p>
        </c:rich>
      </c:tx>
      <c:layout>
        <c:manualLayout>
          <c:xMode val="edge"/>
          <c:yMode val="edge"/>
          <c:x val="0.133192215196764"/>
          <c:y val="3.7094275279115803E-2"/>
        </c:manualLayout>
      </c:layout>
      <c:overlay val="0"/>
      <c:spPr>
        <a:noFill/>
        <a:ln>
          <a:noFill/>
        </a:ln>
        <a:effectLst/>
      </c:spPr>
    </c:title>
    <c:autoTitleDeleted val="0"/>
    <c:plotArea>
      <c:layout/>
      <c:lineChart>
        <c:grouping val="standard"/>
        <c:varyColors val="0"/>
        <c:ser>
          <c:idx val="0"/>
          <c:order val="0"/>
          <c:tx>
            <c:strRef>
              <c:f>'General efficiency'!$D$39</c:f>
              <c:strCache>
                <c:ptCount val="1"/>
                <c:pt idx="0">
                  <c:v>Including support services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'General efficiency'!$B$40:$C$58</c:f>
              <c:strCache>
                <c:ptCount val="19"/>
                <c:pt idx="0">
                  <c:v>2009</c:v>
                </c:pt>
                <c:pt idx="1">
                  <c:v>2010</c:v>
                </c:pt>
                <c:pt idx="2">
                  <c:v>2011</c:v>
                </c:pt>
                <c:pt idx="3">
                  <c:v>2012</c:v>
                </c:pt>
                <c:pt idx="4">
                  <c:v>2013</c:v>
                </c:pt>
                <c:pt idx="5">
                  <c:v>2014</c:v>
                </c:pt>
                <c:pt idx="6">
                  <c:v>2015</c:v>
                </c:pt>
                <c:pt idx="7">
                  <c:v>2016</c:v>
                </c:pt>
                <c:pt idx="8">
                  <c:v>2017</c:v>
                </c:pt>
                <c:pt idx="10">
                  <c:v>2009</c:v>
                </c:pt>
                <c:pt idx="11">
                  <c:v>2010</c:v>
                </c:pt>
                <c:pt idx="12">
                  <c:v>2011</c:v>
                </c:pt>
                <c:pt idx="13">
                  <c:v>2012</c:v>
                </c:pt>
                <c:pt idx="14">
                  <c:v>2013</c:v>
                </c:pt>
                <c:pt idx="15">
                  <c:v>2014</c:v>
                </c:pt>
                <c:pt idx="16">
                  <c:v>2015</c:v>
                </c:pt>
                <c:pt idx="17">
                  <c:v>2016</c:v>
                </c:pt>
                <c:pt idx="18">
                  <c:v>2017</c:v>
                </c:pt>
              </c:strCache>
            </c:strRef>
          </c:cat>
          <c:val>
            <c:numRef>
              <c:f>'General efficiency'!$D$40:$D$58</c:f>
              <c:numCache>
                <c:formatCode>0.0%</c:formatCode>
                <c:ptCount val="19"/>
                <c:pt idx="0">
                  <c:v>2.58008226349246E-2</c:v>
                </c:pt>
                <c:pt idx="1">
                  <c:v>3.5050897260992801E-2</c:v>
                </c:pt>
                <c:pt idx="2">
                  <c:v>2.8509428314875799E-2</c:v>
                </c:pt>
                <c:pt idx="3">
                  <c:v>3.00427673947001E-2</c:v>
                </c:pt>
                <c:pt idx="4">
                  <c:v>2.5985629383978099E-2</c:v>
                </c:pt>
                <c:pt idx="5">
                  <c:v>3.2983373135673399E-2</c:v>
                </c:pt>
                <c:pt idx="6">
                  <c:v>3.5610606540629502E-2</c:v>
                </c:pt>
                <c:pt idx="7">
                  <c:v>3.5850026928702899E-2</c:v>
                </c:pt>
                <c:pt idx="8">
                  <c:v>3.3282731503372097E-2</c:v>
                </c:pt>
                <c:pt idx="10">
                  <c:v>3.3820766277264901E-2</c:v>
                </c:pt>
                <c:pt idx="11">
                  <c:v>5.0111024425373601E-2</c:v>
                </c:pt>
                <c:pt idx="12">
                  <c:v>4.1205671457772299E-2</c:v>
                </c:pt>
                <c:pt idx="13">
                  <c:v>3.7041851094742499E-2</c:v>
                </c:pt>
                <c:pt idx="14">
                  <c:v>3.2714960042468301E-2</c:v>
                </c:pt>
                <c:pt idx="15">
                  <c:v>4.67143169717745E-2</c:v>
                </c:pt>
                <c:pt idx="16">
                  <c:v>3.8202938536898101E-2</c:v>
                </c:pt>
                <c:pt idx="17">
                  <c:v>3.6361155035135102E-2</c:v>
                </c:pt>
                <c:pt idx="18">
                  <c:v>3.9400652847665002E-2</c:v>
                </c:pt>
              </c:numCache>
            </c:numRef>
          </c:val>
          <c:smooth val="0"/>
          <c:extLst xmlns:c16r2="http://schemas.microsoft.com/office/drawing/2015/06/chart">
            <c:ext xmlns:c16="http://schemas.microsoft.com/office/drawing/2014/chart" uri="{C3380CC4-5D6E-409C-BE32-E72D297353CC}">
              <c16:uniqueId val="{00000000-1939-414C-BEF6-571DECAF02CB}"/>
            </c:ext>
          </c:extLst>
        </c:ser>
        <c:ser>
          <c:idx val="1"/>
          <c:order val="1"/>
          <c:tx>
            <c:strRef>
              <c:f>'General efficiency'!$E$39</c:f>
              <c:strCache>
                <c:ptCount val="1"/>
                <c:pt idx="0">
                  <c:v>Excluding support services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'General efficiency'!$B$40:$C$58</c:f>
              <c:strCache>
                <c:ptCount val="19"/>
                <c:pt idx="0">
                  <c:v>2009</c:v>
                </c:pt>
                <c:pt idx="1">
                  <c:v>2010</c:v>
                </c:pt>
                <c:pt idx="2">
                  <c:v>2011</c:v>
                </c:pt>
                <c:pt idx="3">
                  <c:v>2012</c:v>
                </c:pt>
                <c:pt idx="4">
                  <c:v>2013</c:v>
                </c:pt>
                <c:pt idx="5">
                  <c:v>2014</c:v>
                </c:pt>
                <c:pt idx="6">
                  <c:v>2015</c:v>
                </c:pt>
                <c:pt idx="7">
                  <c:v>2016</c:v>
                </c:pt>
                <c:pt idx="8">
                  <c:v>2017</c:v>
                </c:pt>
                <c:pt idx="10">
                  <c:v>2009</c:v>
                </c:pt>
                <c:pt idx="11">
                  <c:v>2010</c:v>
                </c:pt>
                <c:pt idx="12">
                  <c:v>2011</c:v>
                </c:pt>
                <c:pt idx="13">
                  <c:v>2012</c:v>
                </c:pt>
                <c:pt idx="14">
                  <c:v>2013</c:v>
                </c:pt>
                <c:pt idx="15">
                  <c:v>2014</c:v>
                </c:pt>
                <c:pt idx="16">
                  <c:v>2015</c:v>
                </c:pt>
                <c:pt idx="17">
                  <c:v>2016</c:v>
                </c:pt>
                <c:pt idx="18">
                  <c:v>2017</c:v>
                </c:pt>
              </c:strCache>
            </c:strRef>
          </c:cat>
          <c:val>
            <c:numRef>
              <c:f>'General efficiency'!$E$40:$E$58</c:f>
              <c:numCache>
                <c:formatCode>0.0%</c:formatCode>
                <c:ptCount val="19"/>
                <c:pt idx="1">
                  <c:v>3.0542319236016399E-2</c:v>
                </c:pt>
                <c:pt idx="2">
                  <c:v>2.49684473211613E-2</c:v>
                </c:pt>
                <c:pt idx="3">
                  <c:v>2.66926262640103E-2</c:v>
                </c:pt>
                <c:pt idx="4">
                  <c:v>2.2760503028541799E-2</c:v>
                </c:pt>
                <c:pt idx="5">
                  <c:v>2.1300152557756299E-2</c:v>
                </c:pt>
                <c:pt idx="6">
                  <c:v>2.62068829828438E-2</c:v>
                </c:pt>
                <c:pt idx="7">
                  <c:v>2.5456134533502199E-2</c:v>
                </c:pt>
                <c:pt idx="8">
                  <c:v>2.4104720901873902E-2</c:v>
                </c:pt>
                <c:pt idx="11">
                  <c:v>4.3665270359479098E-2</c:v>
                </c:pt>
                <c:pt idx="12">
                  <c:v>3.6087768080205099E-2</c:v>
                </c:pt>
                <c:pt idx="13">
                  <c:v>3.2911225334504697E-2</c:v>
                </c:pt>
                <c:pt idx="14">
                  <c:v>2.8654643538644699E-2</c:v>
                </c:pt>
                <c:pt idx="15">
                  <c:v>3.01673838523813E-2</c:v>
                </c:pt>
                <c:pt idx="16">
                  <c:v>2.81146556348311E-2</c:v>
                </c:pt>
                <c:pt idx="17">
                  <c:v>2.58190727780695E-2</c:v>
                </c:pt>
                <c:pt idx="18">
                  <c:v>2.85355707703367E-2</c:v>
                </c:pt>
              </c:numCache>
            </c:numRef>
          </c:val>
          <c:smooth val="0"/>
          <c:extLst xmlns:c16r2="http://schemas.microsoft.com/office/drawing/2015/06/chart">
            <c:ext xmlns:c16="http://schemas.microsoft.com/office/drawing/2014/chart" uri="{C3380CC4-5D6E-409C-BE32-E72D297353CC}">
              <c16:uniqueId val="{00000001-1939-414C-BEF6-571DECAF02CB}"/>
            </c:ext>
          </c:extLst>
        </c:ser>
        <c:dLbls>
          <c:showLegendKey val="0"/>
          <c:showVal val="0"/>
          <c:showCatName val="0"/>
          <c:showSerName val="0"/>
          <c:showPercent val="0"/>
          <c:showBubbleSize val="0"/>
        </c:dLbls>
        <c:marker val="1"/>
        <c:smooth val="0"/>
        <c:axId val="107150336"/>
        <c:axId val="66917120"/>
      </c:lineChart>
      <c:catAx>
        <c:axId val="10715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17120"/>
        <c:crosses val="autoZero"/>
        <c:auto val="1"/>
        <c:lblAlgn val="ctr"/>
        <c:lblOffset val="100"/>
        <c:noMultiLvlLbl val="0"/>
      </c:catAx>
      <c:valAx>
        <c:axId val="669171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150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'Estimated savings'!$A$4</c:f>
              <c:strCache>
                <c:ptCount val="1"/>
                <c:pt idx="0">
                  <c:v>Costs of the in-house scenario</c:v>
                </c:pt>
              </c:strCache>
            </c:strRef>
          </c:tx>
          <c:invertIfNegative val="0"/>
          <c:dLbls>
            <c:dLbl>
              <c:idx val="1"/>
              <c:layout>
                <c:manualLayout>
                  <c:x val="0"/>
                  <c:y val="1.5873015873015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D06-4F73-868A-467D7052D571}"/>
                </c:ext>
              </c:extLst>
            </c:dLbl>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'Estimated savings'!$B$3:$C$3</c:f>
              <c:strCache>
                <c:ptCount val="2"/>
                <c:pt idx="0">
                  <c:v>SFS estimations</c:v>
                </c:pt>
                <c:pt idx="1">
                  <c:v>Actual</c:v>
                </c:pt>
              </c:strCache>
            </c:strRef>
          </c:cat>
          <c:val>
            <c:numRef>
              <c:f>'Estimated savings'!$B$4:$C$4</c:f>
              <c:numCache>
                <c:formatCode>#,##0</c:formatCode>
                <c:ptCount val="2"/>
                <c:pt idx="0">
                  <c:v>344651803.80000001</c:v>
                </c:pt>
                <c:pt idx="1">
                  <c:v>362920000.06220299</c:v>
                </c:pt>
              </c:numCache>
            </c:numRef>
          </c:val>
          <c:extLst xmlns:c16r2="http://schemas.microsoft.com/office/drawing/2015/06/chart">
            <c:ext xmlns:c16="http://schemas.microsoft.com/office/drawing/2014/chart" uri="{C3380CC4-5D6E-409C-BE32-E72D297353CC}">
              <c16:uniqueId val="{00000001-1D06-4F73-868A-467D7052D571}"/>
            </c:ext>
          </c:extLst>
        </c:ser>
        <c:ser>
          <c:idx val="1"/>
          <c:order val="1"/>
          <c:tx>
            <c:strRef>
              <c:f>'Estimated savings'!$A$5</c:f>
              <c:strCache>
                <c:ptCount val="1"/>
                <c:pt idx="0">
                  <c:v>Costs of the Executive Agency (EA) scenario</c:v>
                </c:pt>
              </c:strCache>
            </c:strRef>
          </c:tx>
          <c:invertIfNegative val="0"/>
          <c:dLbls>
            <c:dLbl>
              <c:idx val="0"/>
              <c:layout>
                <c:manualLayout>
                  <c:x val="2.43632336655593E-2"/>
                  <c:y val="2.11640211640212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D06-4F73-868A-467D7052D571}"/>
                </c:ext>
              </c:extLst>
            </c:dLbl>
            <c:dLbl>
              <c:idx val="1"/>
              <c:layout>
                <c:manualLayout>
                  <c:x val="1.32890365448505E-2"/>
                  <c:y val="1.05820105820106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D06-4F73-868A-467D7052D571}"/>
                </c:ext>
              </c:extLst>
            </c:dLbl>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'Estimated savings'!$B$3:$C$3</c:f>
              <c:strCache>
                <c:ptCount val="2"/>
                <c:pt idx="0">
                  <c:v>SFS estimations</c:v>
                </c:pt>
                <c:pt idx="1">
                  <c:v>Actual</c:v>
                </c:pt>
              </c:strCache>
            </c:strRef>
          </c:cat>
          <c:val>
            <c:numRef>
              <c:f>'Estimated savings'!$B$5:$C$5</c:f>
              <c:numCache>
                <c:formatCode>#,##0</c:formatCode>
                <c:ptCount val="2"/>
                <c:pt idx="0">
                  <c:v>264750000</c:v>
                </c:pt>
                <c:pt idx="1">
                  <c:v>257820357.55000001</c:v>
                </c:pt>
              </c:numCache>
            </c:numRef>
          </c:val>
          <c:extLst xmlns:c16r2="http://schemas.microsoft.com/office/drawing/2015/06/chart">
            <c:ext xmlns:c16="http://schemas.microsoft.com/office/drawing/2014/chart" uri="{C3380CC4-5D6E-409C-BE32-E72D297353CC}">
              <c16:uniqueId val="{00000004-1D06-4F73-868A-467D7052D571}"/>
            </c:ext>
          </c:extLst>
        </c:ser>
        <c:ser>
          <c:idx val="2"/>
          <c:order val="2"/>
          <c:tx>
            <c:strRef>
              <c:f>'Estimated savings'!$A$6</c:f>
              <c:strCache>
                <c:ptCount val="1"/>
                <c:pt idx="0">
                  <c:v>Savings of the EA scenario</c:v>
                </c:pt>
              </c:strCache>
            </c:strRef>
          </c:tx>
          <c:invertIfNegative val="0"/>
          <c:dLbls>
            <c:dLbl>
              <c:idx val="0"/>
              <c:layout>
                <c:manualLayout>
                  <c:x val="1.1074197120708699E-2"/>
                  <c:y val="-1.0582010582010601E-2"/>
                </c:manualLayout>
              </c:layout>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D06-4F73-868A-467D7052D571}"/>
                </c:ext>
              </c:extLst>
            </c:dLbl>
            <c:dLbl>
              <c:idx val="1"/>
              <c:layout>
                <c:manualLayout>
                  <c:x val="1.7718715393134001E-2"/>
                  <c:y val="1.0582010582010601E-2"/>
                </c:manualLayout>
              </c:layout>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1D06-4F73-868A-467D7052D571}"/>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'Estimated savings'!$B$3:$C$3</c:f>
              <c:strCache>
                <c:ptCount val="2"/>
                <c:pt idx="0">
                  <c:v>SFS estimations</c:v>
                </c:pt>
                <c:pt idx="1">
                  <c:v>Actual</c:v>
                </c:pt>
              </c:strCache>
            </c:strRef>
          </c:cat>
          <c:val>
            <c:numRef>
              <c:f>'Estimated savings'!$B$6:$C$6</c:f>
              <c:numCache>
                <c:formatCode>#,##0</c:formatCode>
                <c:ptCount val="2"/>
                <c:pt idx="0">
                  <c:v>79901803.799999997</c:v>
                </c:pt>
                <c:pt idx="1">
                  <c:v>105099642.51220401</c:v>
                </c:pt>
              </c:numCache>
            </c:numRef>
          </c:val>
          <c:extLst xmlns:c16r2="http://schemas.microsoft.com/office/drawing/2015/06/chart">
            <c:ext xmlns:c16="http://schemas.microsoft.com/office/drawing/2014/chart" uri="{C3380CC4-5D6E-409C-BE32-E72D297353CC}">
              <c16:uniqueId val="{00000007-1D06-4F73-868A-467D7052D571}"/>
            </c:ext>
          </c:extLst>
        </c:ser>
        <c:dLbls>
          <c:showLegendKey val="0"/>
          <c:showVal val="0"/>
          <c:showCatName val="0"/>
          <c:showSerName val="0"/>
          <c:showPercent val="0"/>
          <c:showBubbleSize val="0"/>
        </c:dLbls>
        <c:gapWidth val="150"/>
        <c:axId val="107791488"/>
        <c:axId val="107793024"/>
      </c:barChart>
      <c:catAx>
        <c:axId val="107791488"/>
        <c:scaling>
          <c:orientation val="minMax"/>
        </c:scaling>
        <c:delete val="0"/>
        <c:axPos val="b"/>
        <c:numFmt formatCode="General" sourceLinked="0"/>
        <c:majorTickMark val="out"/>
        <c:minorTickMark val="none"/>
        <c:tickLblPos val="nextTo"/>
        <c:crossAx val="107793024"/>
        <c:crosses val="autoZero"/>
        <c:auto val="1"/>
        <c:lblAlgn val="ctr"/>
        <c:lblOffset val="100"/>
        <c:noMultiLvlLbl val="0"/>
      </c:catAx>
      <c:valAx>
        <c:axId val="107793024"/>
        <c:scaling>
          <c:orientation val="minMax"/>
        </c:scaling>
        <c:delete val="0"/>
        <c:axPos val="l"/>
        <c:majorGridlines/>
        <c:numFmt formatCode="#,##0" sourceLinked="1"/>
        <c:majorTickMark val="out"/>
        <c:minorTickMark val="none"/>
        <c:tickLblPos val="nextTo"/>
        <c:crossAx val="107791488"/>
        <c:crosses val="autoZero"/>
        <c:crossBetween val="between"/>
      </c:valAx>
    </c:plotArea>
    <c:legend>
      <c:legendPos val="b"/>
      <c:overlay val="0"/>
      <c:txPr>
        <a:bodyPr/>
        <a:lstStyle/>
        <a:p>
          <a:pPr>
            <a:defRPr sz="900"/>
          </a:pPr>
          <a:endParaRPr lang="en-US"/>
        </a:p>
      </c:txPr>
    </c:legend>
    <c:plotVisOnly val="1"/>
    <c:dispBlanksAs val="gap"/>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0.65902</cdr:x>
      <cdr:y>0.02628</cdr:y>
    </cdr:from>
    <cdr:to>
      <cdr:x>0.90594</cdr:x>
      <cdr:y>0.13447</cdr:y>
    </cdr:to>
    <cdr:sp macro="" textlink="">
      <cdr:nvSpPr>
        <cdr:cNvPr id="2" name="TextBox 1">
          <a:extLst xmlns:a="http://schemas.openxmlformats.org/drawingml/2006/main">
            <a:ext uri="{FF2B5EF4-FFF2-40B4-BE49-F238E27FC236}">
              <a16:creationId xmlns:a16="http://schemas.microsoft.com/office/drawing/2014/main" xmlns="" id="{9E2836AF-E590-42C2-B50C-F04200141A05}"/>
            </a:ext>
          </a:extLst>
        </cdr:cNvPr>
        <cdr:cNvSpPr txBox="1"/>
      </cdr:nvSpPr>
      <cdr:spPr>
        <a:xfrm xmlns:a="http://schemas.openxmlformats.org/drawingml/2006/main">
          <a:off x="5338764" y="80963"/>
          <a:ext cx="2000250"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900"/>
            <a:t>Payment appropriations</a:t>
          </a:r>
        </a:p>
      </cdr:txBody>
    </cdr:sp>
  </cdr:relSizeAnchor>
  <cdr:relSizeAnchor xmlns:cdr="http://schemas.openxmlformats.org/drawingml/2006/chartDrawing">
    <cdr:from>
      <cdr:x>0.09818</cdr:x>
      <cdr:y>0.02576</cdr:y>
    </cdr:from>
    <cdr:to>
      <cdr:x>0.38605</cdr:x>
      <cdr:y>0.13395</cdr:y>
    </cdr:to>
    <cdr:sp macro="" textlink="">
      <cdr:nvSpPr>
        <cdr:cNvPr id="3" name="TextBox 1">
          <a:extLst xmlns:a="http://schemas.openxmlformats.org/drawingml/2006/main">
            <a:ext uri="{FF2B5EF4-FFF2-40B4-BE49-F238E27FC236}">
              <a16:creationId xmlns:a16="http://schemas.microsoft.com/office/drawing/2014/main" xmlns="" id="{A9D6C44C-F0E8-465F-99BF-E2084165D9E6}"/>
            </a:ext>
          </a:extLst>
        </cdr:cNvPr>
        <cdr:cNvSpPr txBox="1"/>
      </cdr:nvSpPr>
      <cdr:spPr>
        <a:xfrm xmlns:a="http://schemas.openxmlformats.org/drawingml/2006/main">
          <a:off x="795339" y="79375"/>
          <a:ext cx="2332036" cy="3333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a:t>Commitment  appropriations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E8301B-5099-4745-AE78-F05CD625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10</Pages>
  <Words>8322</Words>
  <Characters>46023</Characters>
  <Application>Microsoft Office Word</Application>
  <DocSecurity>0</DocSecurity>
  <Lines>902</Lines>
  <Paragraphs>329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29</cp:revision>
  <cp:lastPrinted>2019-06-07T12:41:00Z</cp:lastPrinted>
  <dcterms:created xsi:type="dcterms:W3CDTF">2020-04-08T06:07:00Z</dcterms:created>
  <dcterms:modified xsi:type="dcterms:W3CDTF">2020-04-29T13:29:00Z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CP-025</vt:lpwstr>
  </property>
</Properties>
</file>