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2A" w:rsidRPr="00E73D96" w:rsidRDefault="00E73D96" w:rsidP="00E73D96">
      <w:pPr>
        <w:pStyle w:val="Pagedecouverture"/>
        <w:rPr>
          <w:noProof/>
          <w:szCs w:val="24"/>
          <w:lang w:val="en-GB"/>
        </w:rPr>
      </w:pPr>
      <w:bookmarkStart w:id="0" w:name="LW_BM_COVERPAGE"/>
      <w:r w:rsidRPr="00E73D96">
        <w:rPr>
          <w:noProof/>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4074782-1E51-4ADC-AA05-84361FBB2C81" style="width:450.85pt;height:389.15pt">
            <v:imagedata r:id="rId8" o:title=""/>
          </v:shape>
        </w:pict>
      </w:r>
    </w:p>
    <w:bookmarkEnd w:id="0"/>
    <w:p w:rsidR="00BD582A" w:rsidRPr="00E73D96" w:rsidRDefault="00BD582A" w:rsidP="00E73D96">
      <w:pPr>
        <w:spacing w:after="120" w:line="240" w:lineRule="auto"/>
        <w:rPr>
          <w:rFonts w:ascii="Times New Roman" w:hAnsi="Times New Roman" w:cs="Times New Roman"/>
          <w:noProof/>
          <w:sz w:val="24"/>
          <w:szCs w:val="24"/>
          <w:lang w:val="en-GB"/>
        </w:rPr>
        <w:sectPr w:rsidR="00BD582A" w:rsidRPr="00E73D9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BD582A" w:rsidRPr="00E73D96" w:rsidRDefault="00E73D96" w:rsidP="00E73D96">
      <w:pPr>
        <w:pStyle w:val="Body"/>
        <w:spacing w:after="120" w:line="240" w:lineRule="auto"/>
        <w:jc w:val="center"/>
        <w:rPr>
          <w:rFonts w:ascii="Times New Roman" w:eastAsia="Times New Roman" w:hAnsi="Times New Roman" w:cs="Times New Roman"/>
          <w:b/>
          <w:bCs/>
          <w:noProof/>
          <w:sz w:val="24"/>
          <w:szCs w:val="24"/>
          <w:lang w:val="fr-BE"/>
        </w:rPr>
      </w:pPr>
      <w:r w:rsidRPr="00E73D96">
        <w:rPr>
          <w:rFonts w:ascii="Times New Roman" w:hAnsi="Times New Roman" w:cs="Times New Roman"/>
          <w:b/>
          <w:bCs/>
          <w:noProof/>
          <w:sz w:val="24"/>
          <w:szCs w:val="24"/>
          <w:lang w:val="fr-BE"/>
        </w:rPr>
        <w:lastRenderedPageBreak/>
        <w:t>Communication de la Commission</w:t>
      </w:r>
    </w:p>
    <w:p w:rsidR="00BD582A" w:rsidRPr="00E73D96" w:rsidRDefault="00E73D96" w:rsidP="00E73D96">
      <w:pPr>
        <w:pStyle w:val="Body"/>
        <w:spacing w:line="240" w:lineRule="auto"/>
        <w:jc w:val="center"/>
        <w:rPr>
          <w:rFonts w:ascii="Times New Roman" w:eastAsia="Times New Roman" w:hAnsi="Times New Roman" w:cs="Times New Roman"/>
          <w:b/>
          <w:bCs/>
          <w:noProof/>
          <w:sz w:val="24"/>
          <w:szCs w:val="24"/>
          <w:lang w:val="fr-BE"/>
        </w:rPr>
      </w:pPr>
      <w:r w:rsidRPr="00E73D96">
        <w:rPr>
          <w:rFonts w:ascii="Times New Roman" w:hAnsi="Times New Roman" w:cs="Times New Roman"/>
          <w:b/>
          <w:bCs/>
          <w:noProof/>
          <w:sz w:val="24"/>
          <w:szCs w:val="24"/>
          <w:lang w:val="fr-BE"/>
        </w:rPr>
        <w:t>Soutien aux Balkans occidentaux dans la lutte contre la COVID-19 et la relance après la pandémie</w:t>
      </w:r>
    </w:p>
    <w:p w:rsidR="00BD582A" w:rsidRPr="00E73D96" w:rsidRDefault="00BD582A" w:rsidP="00E73D96">
      <w:pPr>
        <w:pStyle w:val="Body"/>
        <w:spacing w:after="120" w:line="240" w:lineRule="auto"/>
        <w:rPr>
          <w:rFonts w:ascii="Times New Roman" w:eastAsia="Times New Roman" w:hAnsi="Times New Roman" w:cs="Times New Roman"/>
          <w:noProof/>
          <w:sz w:val="24"/>
          <w:szCs w:val="24"/>
          <w:lang w:val="fr-BE"/>
        </w:rPr>
      </w:pPr>
    </w:p>
    <w:p w:rsidR="00BD582A" w:rsidRPr="00E73D96" w:rsidRDefault="00E73D96" w:rsidP="00E73D96">
      <w:pPr>
        <w:pStyle w:val="ListParagraph"/>
        <w:numPr>
          <w:ilvl w:val="0"/>
          <w:numId w:val="20"/>
        </w:numPr>
        <w:pBdr>
          <w:top w:val="nil"/>
          <w:left w:val="nil"/>
          <w:bottom w:val="nil"/>
          <w:right w:val="nil"/>
          <w:between w:val="nil"/>
          <w:bar w:val="nil"/>
        </w:pBdr>
        <w:spacing w:after="120"/>
        <w:jc w:val="both"/>
        <w:rPr>
          <w:rFonts w:ascii="Times New Roman" w:hAnsi="Times New Roman"/>
          <w:b/>
          <w:bCs/>
          <w:noProof/>
          <w:sz w:val="24"/>
          <w:szCs w:val="24"/>
        </w:rPr>
      </w:pPr>
      <w:r w:rsidRPr="00E73D96">
        <w:rPr>
          <w:rFonts w:ascii="Times New Roman" w:hAnsi="Times New Roman"/>
          <w:b/>
          <w:bCs/>
          <w:noProof/>
          <w:sz w:val="24"/>
          <w:szCs w:val="24"/>
        </w:rPr>
        <w:t>Introduction</w:t>
      </w:r>
    </w:p>
    <w:p w:rsidR="00BD582A" w:rsidRPr="00E73D96" w:rsidRDefault="00BD582A" w:rsidP="00E73D96">
      <w:pPr>
        <w:pStyle w:val="Body"/>
        <w:spacing w:after="120" w:line="240" w:lineRule="auto"/>
        <w:jc w:val="both"/>
        <w:rPr>
          <w:rFonts w:ascii="Times New Roman" w:eastAsia="Times New Roman" w:hAnsi="Times New Roman" w:cs="Times New Roman"/>
          <w:noProof/>
          <w:sz w:val="24"/>
          <w:szCs w:val="24"/>
          <w:lang w:val="en-US"/>
        </w:rPr>
      </w:pP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 xml:space="preserve">Les </w:t>
      </w:r>
      <w:r w:rsidRPr="00E73D96">
        <w:rPr>
          <w:rFonts w:ascii="Times New Roman" w:hAnsi="Times New Roman" w:cs="Times New Roman"/>
          <w:b/>
          <w:bCs/>
          <w:noProof/>
          <w:sz w:val="24"/>
          <w:szCs w:val="24"/>
          <w:lang w:val="fr-BE"/>
        </w:rPr>
        <w:t>Balkans occidentaux font partie intégrante de l’Europe</w:t>
      </w:r>
      <w:r w:rsidRPr="00E73D96">
        <w:rPr>
          <w:rFonts w:ascii="Times New Roman" w:hAnsi="Times New Roman" w:cs="Times New Roman"/>
          <w:noProof/>
          <w:sz w:val="24"/>
          <w:szCs w:val="24"/>
          <w:lang w:val="fr-BE"/>
        </w:rPr>
        <w:t xml:space="preserve"> et constituent une priorité géostratégique pour l’Union européenne. La perspective européenne de la région dans son ensemble a été confirmée une nouvelle fois en mars 2020, lorsque les États membres on</w:t>
      </w:r>
      <w:r w:rsidRPr="00E73D96">
        <w:rPr>
          <w:rFonts w:ascii="Times New Roman" w:hAnsi="Times New Roman" w:cs="Times New Roman"/>
          <w:noProof/>
          <w:sz w:val="24"/>
          <w:szCs w:val="24"/>
          <w:lang w:val="fr-BE"/>
        </w:rPr>
        <w:t xml:space="preserve">t approuvé les propositions de la Commission relatives à une </w:t>
      </w:r>
      <w:r w:rsidRPr="00E73D96">
        <w:rPr>
          <w:rFonts w:ascii="Times New Roman" w:hAnsi="Times New Roman" w:cs="Times New Roman"/>
          <w:b/>
          <w:bCs/>
          <w:noProof/>
          <w:sz w:val="24"/>
          <w:szCs w:val="24"/>
          <w:lang w:val="fr-BE"/>
        </w:rPr>
        <w:t>méthodologie renforcée</w:t>
      </w:r>
      <w:r w:rsidRPr="00E73D96">
        <w:rPr>
          <w:rFonts w:ascii="Times New Roman" w:eastAsia="Times New Roman" w:hAnsi="Times New Roman" w:cs="Times New Roman"/>
          <w:b/>
          <w:bCs/>
          <w:noProof/>
          <w:sz w:val="24"/>
          <w:szCs w:val="24"/>
          <w:vertAlign w:val="superscript"/>
          <w:lang w:val="en-US"/>
        </w:rPr>
        <w:footnoteReference w:id="2"/>
      </w:r>
      <w:r w:rsidRPr="00E73D96">
        <w:rPr>
          <w:rFonts w:ascii="Times New Roman" w:hAnsi="Times New Roman" w:cs="Times New Roman"/>
          <w:noProof/>
          <w:sz w:val="24"/>
          <w:szCs w:val="24"/>
          <w:lang w:val="fr-BE"/>
        </w:rPr>
        <w:t xml:space="preserve"> pour le processus d’adhésion et décidé d’ouvrir les négociations d’adhésion avec la </w:t>
      </w:r>
      <w:r w:rsidRPr="00E73D96">
        <w:rPr>
          <w:rFonts w:ascii="Times New Roman" w:hAnsi="Times New Roman" w:cs="Times New Roman"/>
          <w:b/>
          <w:bCs/>
          <w:noProof/>
          <w:sz w:val="24"/>
          <w:szCs w:val="24"/>
          <w:lang w:val="fr-BE"/>
        </w:rPr>
        <w:t>République d’Albanie</w:t>
      </w:r>
      <w:r w:rsidRPr="00E73D96">
        <w:rPr>
          <w:rFonts w:ascii="Times New Roman" w:hAnsi="Times New Roman" w:cs="Times New Roman"/>
          <w:noProof/>
          <w:sz w:val="24"/>
          <w:szCs w:val="24"/>
          <w:lang w:val="fr-BE"/>
        </w:rPr>
        <w:t xml:space="preserve"> et la </w:t>
      </w:r>
      <w:r w:rsidRPr="00E73D96">
        <w:rPr>
          <w:rFonts w:ascii="Times New Roman" w:hAnsi="Times New Roman" w:cs="Times New Roman"/>
          <w:b/>
          <w:bCs/>
          <w:noProof/>
          <w:sz w:val="24"/>
          <w:szCs w:val="24"/>
          <w:lang w:val="fr-BE"/>
        </w:rPr>
        <w:t>République de Macédoine du Nord</w:t>
      </w:r>
      <w:r w:rsidRPr="00E73D96">
        <w:rPr>
          <w:rFonts w:ascii="Times New Roman" w:hAnsi="Times New Roman" w:cs="Times New Roman"/>
          <w:noProof/>
          <w:sz w:val="24"/>
          <w:szCs w:val="24"/>
          <w:lang w:val="fr-BE"/>
        </w:rPr>
        <w:t>. Il est essentiel pour l’Uni</w:t>
      </w:r>
      <w:r w:rsidRPr="00E73D96">
        <w:rPr>
          <w:rFonts w:ascii="Times New Roman" w:hAnsi="Times New Roman" w:cs="Times New Roman"/>
          <w:noProof/>
          <w:sz w:val="24"/>
          <w:szCs w:val="24"/>
          <w:lang w:val="fr-BE"/>
        </w:rPr>
        <w:t>on européenne de continuer à favoriser la stabilité et la prospérité de cette région et de tirer parti des intérêts stratégiques qu’elle partage avec elle.</w:t>
      </w:r>
    </w:p>
    <w:p w:rsidR="00BD582A" w:rsidRPr="00E73D96" w:rsidRDefault="00E73D96" w:rsidP="00E73D96">
      <w:pPr>
        <w:pStyle w:val="FootnoteText"/>
        <w:spacing w:after="120"/>
        <w:jc w:val="both"/>
        <w:rPr>
          <w:rFonts w:ascii="Times New Roman" w:eastAsia="Times New Roman" w:hAnsi="Times New Roman"/>
          <w:noProof/>
          <w:sz w:val="24"/>
          <w:szCs w:val="24"/>
        </w:rPr>
      </w:pPr>
      <w:r w:rsidRPr="00E73D96">
        <w:rPr>
          <w:rFonts w:ascii="Times New Roman" w:hAnsi="Times New Roman"/>
          <w:noProof/>
          <w:sz w:val="24"/>
          <w:szCs w:val="24"/>
        </w:rPr>
        <w:t xml:space="preserve">En dépit des mesures déterminées que les partenaires des Balkans occidentaux ont prises, la </w:t>
      </w:r>
      <w:r w:rsidRPr="00E73D96">
        <w:rPr>
          <w:rFonts w:ascii="Times New Roman" w:hAnsi="Times New Roman"/>
          <w:b/>
          <w:bCs/>
          <w:noProof/>
          <w:sz w:val="24"/>
          <w:szCs w:val="24"/>
        </w:rPr>
        <w:t>pandémie</w:t>
      </w:r>
      <w:r w:rsidRPr="00E73D96">
        <w:rPr>
          <w:rFonts w:ascii="Times New Roman" w:hAnsi="Times New Roman"/>
          <w:b/>
          <w:bCs/>
          <w:noProof/>
          <w:sz w:val="24"/>
          <w:szCs w:val="24"/>
        </w:rPr>
        <w:t xml:space="preserve"> de COVID-19</w:t>
      </w:r>
      <w:r w:rsidRPr="00E73D96">
        <w:rPr>
          <w:rFonts w:ascii="Times New Roman" w:hAnsi="Times New Roman"/>
          <w:noProof/>
          <w:sz w:val="24"/>
          <w:szCs w:val="24"/>
        </w:rPr>
        <w:t xml:space="preserve">, outre ses conséquences humaines immédiates, </w:t>
      </w:r>
      <w:r w:rsidRPr="00E73D96">
        <w:rPr>
          <w:rFonts w:ascii="Times New Roman" w:hAnsi="Times New Roman"/>
          <w:b/>
          <w:bCs/>
          <w:noProof/>
          <w:sz w:val="24"/>
          <w:szCs w:val="24"/>
        </w:rPr>
        <w:t>a des effets perturbateurs sur les économies de la région et sur la vie de ses habitants</w:t>
      </w:r>
      <w:r w:rsidRPr="00E73D96">
        <w:rPr>
          <w:rFonts w:ascii="Times New Roman" w:hAnsi="Times New Roman"/>
          <w:noProof/>
          <w:sz w:val="24"/>
          <w:szCs w:val="24"/>
        </w:rPr>
        <w:t>. Elle fait peser une charge sans précédent sur ses systèmes de santé et de protection sociale. Des milliers d</w:t>
      </w:r>
      <w:r w:rsidRPr="00E73D96">
        <w:rPr>
          <w:rFonts w:ascii="Times New Roman" w:hAnsi="Times New Roman"/>
          <w:noProof/>
          <w:sz w:val="24"/>
          <w:szCs w:val="24"/>
        </w:rPr>
        <w:t>e citoyens risquent de perdre leur emploi et les mesures de soutien temporaires proposées par les pouvoirs publics (prestations de chômage, reports/exonérations d’impôts et de cotisations sociales, etc.) ont une incidence budgétaire importante. Les gouvern</w:t>
      </w:r>
      <w:r w:rsidRPr="00E73D96">
        <w:rPr>
          <w:rFonts w:ascii="Times New Roman" w:hAnsi="Times New Roman"/>
          <w:noProof/>
          <w:sz w:val="24"/>
          <w:szCs w:val="24"/>
        </w:rPr>
        <w:t>ements doivent également étendre rapidement la couverture des systèmes de protection sociale. La pandémie a aussi des répercussions sur les efforts communs en matière de migration.</w:t>
      </w: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 xml:space="preserve">Bien que l’UE soit elle-même fortement touchée par la pandémie, </w:t>
      </w:r>
      <w:r w:rsidRPr="00E73D96">
        <w:rPr>
          <w:rFonts w:ascii="Times New Roman" w:hAnsi="Times New Roman" w:cs="Times New Roman"/>
          <w:b/>
          <w:bCs/>
          <w:noProof/>
          <w:sz w:val="24"/>
          <w:szCs w:val="24"/>
          <w:lang w:val="fr-BE"/>
        </w:rPr>
        <w:t>il est de s</w:t>
      </w:r>
      <w:r w:rsidRPr="00E73D96">
        <w:rPr>
          <w:rFonts w:ascii="Times New Roman" w:hAnsi="Times New Roman" w:cs="Times New Roman"/>
          <w:b/>
          <w:bCs/>
          <w:noProof/>
          <w:sz w:val="24"/>
          <w:szCs w:val="24"/>
          <w:lang w:val="fr-BE"/>
        </w:rPr>
        <w:t>a responsabilité particulière, et dans son intérêt, de jouer un rôle de premier plan dans la réaction mondiale</w:t>
      </w:r>
      <w:r w:rsidRPr="00E73D96">
        <w:rPr>
          <w:rFonts w:ascii="Times New Roman" w:hAnsi="Times New Roman" w:cs="Times New Roman"/>
          <w:noProof/>
          <w:sz w:val="24"/>
          <w:szCs w:val="24"/>
          <w:lang w:val="fr-BE"/>
        </w:rPr>
        <w:t xml:space="preserve"> et de fournir une aide aux partenaires qui en ont besoin, d’autant plus dans son voisinage immédiat. Dans le cadre de ses efforts internationaux,</w:t>
      </w:r>
      <w:r w:rsidRPr="00E73D96">
        <w:rPr>
          <w:rFonts w:ascii="Times New Roman" w:hAnsi="Times New Roman" w:cs="Times New Roman"/>
          <w:noProof/>
          <w:sz w:val="24"/>
          <w:szCs w:val="24"/>
          <w:lang w:val="fr-BE"/>
        </w:rPr>
        <w:t xml:space="preserve"> l’UE </w:t>
      </w:r>
      <w:r w:rsidRPr="00E73D96">
        <w:rPr>
          <w:rFonts w:ascii="Times New Roman" w:hAnsi="Times New Roman" w:cs="Times New Roman"/>
          <w:b/>
          <w:bCs/>
          <w:noProof/>
          <w:sz w:val="24"/>
          <w:szCs w:val="24"/>
          <w:lang w:val="fr-BE"/>
        </w:rPr>
        <w:t>apporte un soutien essentiel et sans égal aux Balkans occidentaux</w:t>
      </w:r>
      <w:r w:rsidRPr="00E73D96">
        <w:rPr>
          <w:rFonts w:ascii="Times New Roman" w:hAnsi="Times New Roman" w:cs="Times New Roman"/>
          <w:noProof/>
          <w:sz w:val="24"/>
          <w:szCs w:val="24"/>
          <w:lang w:val="fr-BE"/>
        </w:rPr>
        <w:t xml:space="preserve">. Elle met à la disposition des pays de la région une enveloppe de plus de 3,3 milliards d’EUR afin de les aider à faire face à la crise sanitaire immédiate et aux besoins humanitaires </w:t>
      </w:r>
      <w:r w:rsidRPr="00E73D96">
        <w:rPr>
          <w:rFonts w:ascii="Times New Roman" w:hAnsi="Times New Roman" w:cs="Times New Roman"/>
          <w:noProof/>
          <w:sz w:val="24"/>
          <w:szCs w:val="24"/>
          <w:lang w:val="fr-BE"/>
        </w:rPr>
        <w:t>qui en découlent, ainsi qu’aux répercussions structurelles et à plus long terme sur leurs sociétés et leurs économies. Compte tenu de leur perspective européenne, l’UE traite aussi les Balkans occidentaux comme des partenaires privilégiés en leur permettan</w:t>
      </w:r>
      <w:r w:rsidRPr="00E73D96">
        <w:rPr>
          <w:rFonts w:ascii="Times New Roman" w:hAnsi="Times New Roman" w:cs="Times New Roman"/>
          <w:noProof/>
          <w:sz w:val="24"/>
          <w:szCs w:val="24"/>
          <w:lang w:val="fr-BE"/>
        </w:rPr>
        <w:t>t d’accéder à de nombreux instruments et initiatives réservés à ses États membres.</w:t>
      </w: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Les dirigeants de l’UE et de la région se réuniront le 6 mai 2020 pour examiner ensemble les défis auxquels ils sont confrontés. Afin d’alimenter ces discussions, la présent</w:t>
      </w:r>
      <w:r w:rsidRPr="00E73D96">
        <w:rPr>
          <w:rFonts w:ascii="Times New Roman" w:hAnsi="Times New Roman" w:cs="Times New Roman"/>
          <w:noProof/>
          <w:sz w:val="24"/>
          <w:szCs w:val="24"/>
          <w:lang w:val="fr-BE"/>
        </w:rPr>
        <w:t xml:space="preserve">e communication expose les </w:t>
      </w:r>
      <w:r w:rsidRPr="00E73D96">
        <w:rPr>
          <w:rFonts w:ascii="Times New Roman" w:hAnsi="Times New Roman" w:cs="Times New Roman"/>
          <w:b/>
          <w:bCs/>
          <w:noProof/>
          <w:sz w:val="24"/>
          <w:szCs w:val="24"/>
          <w:lang w:val="fr-BE"/>
        </w:rPr>
        <w:t>mesures de solidarité prises par l’Union européenne à l’égard des Balkans occidentaux</w:t>
      </w:r>
      <w:r w:rsidRPr="00E73D96">
        <w:rPr>
          <w:rFonts w:ascii="Times New Roman" w:hAnsi="Times New Roman" w:cs="Times New Roman"/>
          <w:noProof/>
          <w:sz w:val="24"/>
          <w:szCs w:val="24"/>
          <w:lang w:val="fr-BE"/>
        </w:rPr>
        <w:t xml:space="preserve"> face aux conséquences immédiates de la COVID-19 et décrit les domaines de coopération mutuelle. Elle envisage un soutien à plus long terme de l</w:t>
      </w:r>
      <w:r w:rsidRPr="00E73D96">
        <w:rPr>
          <w:rFonts w:ascii="Times New Roman" w:hAnsi="Times New Roman" w:cs="Times New Roman"/>
          <w:noProof/>
          <w:sz w:val="24"/>
          <w:szCs w:val="24"/>
          <w:lang w:val="fr-BE"/>
        </w:rPr>
        <w:t xml:space="preserve">’UE à la relance économique, </w:t>
      </w:r>
      <w:r w:rsidRPr="00E73D96">
        <w:rPr>
          <w:rFonts w:ascii="Times New Roman" w:hAnsi="Times New Roman" w:cs="Times New Roman"/>
          <w:b/>
          <w:bCs/>
          <w:noProof/>
          <w:sz w:val="24"/>
          <w:szCs w:val="24"/>
          <w:lang w:val="fr-BE"/>
        </w:rPr>
        <w:t>en jetant les bases d’un plan économique et d’investissement plus détaillé en faveur de la région, qui sera présenté par la Commission</w:t>
      </w:r>
      <w:r w:rsidRPr="00E73D96">
        <w:rPr>
          <w:rFonts w:ascii="Times New Roman" w:hAnsi="Times New Roman" w:cs="Times New Roman"/>
          <w:noProof/>
          <w:sz w:val="24"/>
          <w:szCs w:val="24"/>
          <w:lang w:val="fr-BE"/>
        </w:rPr>
        <w:t xml:space="preserve"> dans le courant de l’année. Elle envisage également une nouvelle intensification de l’engage</w:t>
      </w:r>
      <w:r w:rsidRPr="00E73D96">
        <w:rPr>
          <w:rFonts w:ascii="Times New Roman" w:hAnsi="Times New Roman" w:cs="Times New Roman"/>
          <w:noProof/>
          <w:sz w:val="24"/>
          <w:szCs w:val="24"/>
          <w:lang w:val="fr-BE"/>
        </w:rPr>
        <w:t xml:space="preserve">ment et du soutien </w:t>
      </w:r>
      <w:r w:rsidRPr="00E73D96">
        <w:rPr>
          <w:rFonts w:ascii="Times New Roman" w:hAnsi="Times New Roman" w:cs="Times New Roman"/>
          <w:noProof/>
          <w:sz w:val="24"/>
          <w:szCs w:val="24"/>
          <w:lang w:val="fr-BE"/>
        </w:rPr>
        <w:lastRenderedPageBreak/>
        <w:t xml:space="preserve">de l’UE afin de concrétiser la perspective européenne de la région en aidant tous les partenaires à </w:t>
      </w:r>
      <w:r w:rsidRPr="00E73D96">
        <w:rPr>
          <w:rFonts w:ascii="Times New Roman" w:hAnsi="Times New Roman" w:cs="Times New Roman"/>
          <w:b/>
          <w:bCs/>
          <w:noProof/>
          <w:sz w:val="24"/>
          <w:szCs w:val="24"/>
          <w:lang w:val="fr-BE"/>
        </w:rPr>
        <w:t>réaliser les réformes fondamentales requises</w:t>
      </w:r>
      <w:r w:rsidRPr="00E73D96">
        <w:rPr>
          <w:rFonts w:ascii="Times New Roman" w:hAnsi="Times New Roman" w:cs="Times New Roman"/>
          <w:b/>
          <w:noProof/>
          <w:sz w:val="24"/>
          <w:szCs w:val="24"/>
          <w:lang w:val="fr-BE"/>
        </w:rPr>
        <w:t xml:space="preserve"> dans les domaines de la démocratie, de l’état de droit et de l’économie</w:t>
      </w:r>
      <w:r w:rsidRPr="00E73D96">
        <w:rPr>
          <w:rFonts w:ascii="Times New Roman" w:hAnsi="Times New Roman" w:cs="Times New Roman"/>
          <w:noProof/>
          <w:sz w:val="24"/>
          <w:szCs w:val="24"/>
          <w:lang w:val="fr-BE"/>
        </w:rPr>
        <w:t xml:space="preserve"> avec une vigueur enc</w:t>
      </w:r>
      <w:r w:rsidRPr="00E73D96">
        <w:rPr>
          <w:rFonts w:ascii="Times New Roman" w:hAnsi="Times New Roman" w:cs="Times New Roman"/>
          <w:noProof/>
          <w:sz w:val="24"/>
          <w:szCs w:val="24"/>
          <w:lang w:val="fr-BE"/>
        </w:rPr>
        <w:t>ore plus grande, comme le prévoit la méthodologie renforcée.</w:t>
      </w:r>
    </w:p>
    <w:p w:rsidR="00BD582A" w:rsidRPr="00E73D96" w:rsidRDefault="00BD582A" w:rsidP="00E73D96">
      <w:pPr>
        <w:pStyle w:val="Body"/>
        <w:spacing w:after="120" w:line="240" w:lineRule="auto"/>
        <w:jc w:val="both"/>
        <w:rPr>
          <w:rFonts w:ascii="Times New Roman" w:eastAsia="Times New Roman" w:hAnsi="Times New Roman" w:cs="Times New Roman"/>
          <w:noProof/>
          <w:sz w:val="24"/>
          <w:szCs w:val="24"/>
          <w:lang w:val="fr-BE"/>
        </w:rPr>
      </w:pPr>
    </w:p>
    <w:p w:rsidR="00BD582A" w:rsidRPr="00E73D96" w:rsidRDefault="00E73D96" w:rsidP="00E73D96">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rPr>
      </w:pPr>
      <w:r w:rsidRPr="00E73D96">
        <w:rPr>
          <w:rFonts w:ascii="Times New Roman" w:hAnsi="Times New Roman"/>
          <w:b/>
          <w:bCs/>
          <w:noProof/>
          <w:sz w:val="24"/>
          <w:szCs w:val="24"/>
        </w:rPr>
        <w:t>Soutien de l’UE aux</w:t>
      </w:r>
      <w:r w:rsidRPr="00E73D96">
        <w:rPr>
          <w:rFonts w:ascii="Times New Roman" w:hAnsi="Times New Roman"/>
          <w:noProof/>
          <w:sz w:val="24"/>
          <w:szCs w:val="24"/>
        </w:rPr>
        <w:t xml:space="preserve"> </w:t>
      </w:r>
      <w:r w:rsidRPr="00E73D96">
        <w:rPr>
          <w:rFonts w:ascii="Times New Roman" w:hAnsi="Times New Roman"/>
          <w:b/>
          <w:bCs/>
          <w:noProof/>
          <w:sz w:val="24"/>
          <w:szCs w:val="24"/>
        </w:rPr>
        <w:t>Balkans occidentaux dans la lutte contre la COVID-19</w:t>
      </w:r>
    </w:p>
    <w:p w:rsidR="00BD582A" w:rsidRPr="00E73D96" w:rsidRDefault="00E73D96" w:rsidP="00E73D96">
      <w:pPr>
        <w:pStyle w:val="FootnoteText"/>
        <w:spacing w:after="120"/>
        <w:jc w:val="both"/>
        <w:rPr>
          <w:rFonts w:ascii="Times New Roman" w:eastAsia="Times New Roman" w:hAnsi="Times New Roman"/>
          <w:noProof/>
          <w:sz w:val="24"/>
          <w:szCs w:val="24"/>
        </w:rPr>
      </w:pPr>
      <w:r w:rsidRPr="00E73D96">
        <w:rPr>
          <w:rFonts w:ascii="Times New Roman" w:hAnsi="Times New Roman"/>
          <w:noProof/>
          <w:sz w:val="24"/>
          <w:szCs w:val="24"/>
        </w:rPr>
        <w:t>Dans le cadre de sa réaction à la crise, l’UE a décidé d’apporter un soutien financier substantiel aux Balkans occidenta</w:t>
      </w:r>
      <w:r w:rsidRPr="00E73D96">
        <w:rPr>
          <w:rFonts w:ascii="Times New Roman" w:hAnsi="Times New Roman"/>
          <w:noProof/>
          <w:sz w:val="24"/>
          <w:szCs w:val="24"/>
        </w:rPr>
        <w:t>ux, mais aussi de les associer, dans toute la mesure du possible, à sa propre réaction. Si d’autres partenaires ont aussi fourni une aide à la région, les procédures souples de l’UE et ses décisions rapides lui ont permis d’être une nouvelle fois le parten</w:t>
      </w:r>
      <w:r w:rsidRPr="00E73D96">
        <w:rPr>
          <w:rFonts w:ascii="Times New Roman" w:hAnsi="Times New Roman"/>
          <w:noProof/>
          <w:sz w:val="24"/>
          <w:szCs w:val="24"/>
        </w:rPr>
        <w:t>aire le plus efficace et le plus fiable de la région.</w:t>
      </w:r>
    </w:p>
    <w:p w:rsidR="00BD582A" w:rsidRPr="00E73D96" w:rsidRDefault="00E73D96" w:rsidP="00E73D96">
      <w:pPr>
        <w:pStyle w:val="FootnoteText"/>
        <w:spacing w:after="120"/>
        <w:jc w:val="both"/>
        <w:rPr>
          <w:rFonts w:ascii="Times New Roman" w:eastAsia="Times New Roman" w:hAnsi="Times New Roman"/>
          <w:noProof/>
          <w:sz w:val="24"/>
          <w:szCs w:val="24"/>
        </w:rPr>
      </w:pPr>
      <w:r w:rsidRPr="00E73D96">
        <w:rPr>
          <w:rFonts w:ascii="Times New Roman" w:hAnsi="Times New Roman"/>
          <w:noProof/>
          <w:sz w:val="24"/>
          <w:szCs w:val="24"/>
        </w:rPr>
        <w:t xml:space="preserve">L’UE a mobilisé </w:t>
      </w:r>
      <w:r w:rsidRPr="00E73D96">
        <w:rPr>
          <w:rFonts w:ascii="Times New Roman" w:hAnsi="Times New Roman"/>
          <w:b/>
          <w:bCs/>
          <w:noProof/>
          <w:sz w:val="24"/>
          <w:szCs w:val="24"/>
        </w:rPr>
        <w:t>plus de 3,3 milliards d’EUR</w:t>
      </w:r>
      <w:r w:rsidRPr="00E73D96">
        <w:rPr>
          <w:rFonts w:ascii="Times New Roman" w:hAnsi="Times New Roman"/>
          <w:bCs/>
          <w:noProof/>
          <w:sz w:val="24"/>
          <w:szCs w:val="24"/>
        </w:rPr>
        <w:t xml:space="preserve"> au profit des </w:t>
      </w:r>
      <w:r w:rsidRPr="00E73D96">
        <w:rPr>
          <w:rFonts w:ascii="Times New Roman" w:hAnsi="Times New Roman"/>
          <w:b/>
          <w:bCs/>
          <w:noProof/>
          <w:sz w:val="24"/>
          <w:szCs w:val="24"/>
        </w:rPr>
        <w:t>citoyens</w:t>
      </w:r>
      <w:r w:rsidRPr="00E73D96">
        <w:rPr>
          <w:rFonts w:ascii="Times New Roman" w:hAnsi="Times New Roman"/>
          <w:bCs/>
          <w:noProof/>
          <w:sz w:val="24"/>
          <w:szCs w:val="24"/>
        </w:rPr>
        <w:t xml:space="preserve"> des Balkans occidentaux</w:t>
      </w:r>
      <w:r w:rsidRPr="00E73D96">
        <w:rPr>
          <w:rFonts w:ascii="Times New Roman" w:eastAsia="Times New Roman" w:hAnsi="Times New Roman"/>
          <w:b/>
          <w:bCs/>
          <w:noProof/>
          <w:sz w:val="24"/>
          <w:szCs w:val="24"/>
          <w:vertAlign w:val="superscript"/>
          <w:lang w:val="en-US"/>
        </w:rPr>
        <w:footnoteReference w:id="3"/>
      </w:r>
      <w:r w:rsidRPr="00E73D96">
        <w:rPr>
          <w:rFonts w:ascii="Times New Roman" w:hAnsi="Times New Roman"/>
          <w:noProof/>
          <w:sz w:val="24"/>
          <w:szCs w:val="24"/>
        </w:rPr>
        <w:t>. Cette enveloppe comprend des réaffectations de l’</w:t>
      </w:r>
      <w:r w:rsidRPr="00E73D96">
        <w:rPr>
          <w:rFonts w:ascii="Times New Roman" w:hAnsi="Times New Roman"/>
          <w:b/>
          <w:bCs/>
          <w:noProof/>
          <w:sz w:val="24"/>
          <w:szCs w:val="24"/>
        </w:rPr>
        <w:t>instrument d’aide de préadhésion</w:t>
      </w:r>
      <w:r w:rsidRPr="00E73D96">
        <w:rPr>
          <w:rFonts w:ascii="Times New Roman" w:eastAsia="Times New Roman" w:hAnsi="Times New Roman"/>
          <w:b/>
          <w:bCs/>
          <w:noProof/>
          <w:sz w:val="24"/>
          <w:szCs w:val="24"/>
          <w:vertAlign w:val="superscript"/>
          <w:lang w:val="en-US"/>
        </w:rPr>
        <w:footnoteReference w:id="4"/>
      </w:r>
      <w:r w:rsidRPr="00E73D96">
        <w:rPr>
          <w:rFonts w:ascii="Times New Roman" w:hAnsi="Times New Roman"/>
          <w:bCs/>
          <w:noProof/>
          <w:sz w:val="24"/>
          <w:szCs w:val="24"/>
        </w:rPr>
        <w:t xml:space="preserve"> à hauteur de </w:t>
      </w:r>
      <w:r w:rsidRPr="00E73D96">
        <w:rPr>
          <w:rFonts w:ascii="Times New Roman" w:hAnsi="Times New Roman"/>
          <w:b/>
          <w:bCs/>
          <w:noProof/>
          <w:sz w:val="24"/>
          <w:szCs w:val="24"/>
        </w:rPr>
        <w:t xml:space="preserve">38 millions </w:t>
      </w:r>
      <w:r w:rsidRPr="00E73D96">
        <w:rPr>
          <w:rFonts w:ascii="Times New Roman" w:hAnsi="Times New Roman"/>
          <w:b/>
          <w:bCs/>
          <w:noProof/>
          <w:sz w:val="24"/>
          <w:szCs w:val="24"/>
        </w:rPr>
        <w:t>d’EUR</w:t>
      </w:r>
      <w:r w:rsidRPr="00E73D96">
        <w:rPr>
          <w:rFonts w:ascii="Times New Roman" w:hAnsi="Times New Roman"/>
          <w:bCs/>
          <w:noProof/>
          <w:sz w:val="24"/>
          <w:szCs w:val="24"/>
        </w:rPr>
        <w:t xml:space="preserve"> en vue d’une aide immédiate au secteur de la santé</w:t>
      </w:r>
      <w:r w:rsidRPr="00E73D96">
        <w:rPr>
          <w:rFonts w:ascii="Times New Roman" w:hAnsi="Times New Roman"/>
          <w:noProof/>
          <w:sz w:val="24"/>
          <w:szCs w:val="24"/>
        </w:rPr>
        <w:t>, passant notamment par la livraison de matériel essentiel pour sauver des vies comme des équipements de protection individuelle, des tests et des respirateurs</w:t>
      </w:r>
      <w:r w:rsidRPr="00E73D96">
        <w:rPr>
          <w:rFonts w:ascii="Times New Roman" w:eastAsia="Times New Roman" w:hAnsi="Times New Roman"/>
          <w:noProof/>
          <w:sz w:val="24"/>
          <w:szCs w:val="24"/>
          <w:vertAlign w:val="superscript"/>
          <w:lang w:val="en-US"/>
        </w:rPr>
        <w:footnoteReference w:id="5"/>
      </w:r>
      <w:r w:rsidRPr="00E73D96">
        <w:rPr>
          <w:rFonts w:ascii="Times New Roman" w:hAnsi="Times New Roman"/>
          <w:noProof/>
          <w:sz w:val="24"/>
          <w:szCs w:val="24"/>
        </w:rPr>
        <w:t xml:space="preserve">, </w:t>
      </w:r>
      <w:r w:rsidRPr="00E73D96">
        <w:rPr>
          <w:rFonts w:ascii="Times New Roman" w:hAnsi="Times New Roman"/>
          <w:b/>
          <w:bCs/>
          <w:noProof/>
          <w:sz w:val="24"/>
          <w:szCs w:val="24"/>
        </w:rPr>
        <w:t>389 millions d’EUR</w:t>
      </w:r>
      <w:r w:rsidRPr="00E73D96">
        <w:rPr>
          <w:rFonts w:ascii="Times New Roman" w:hAnsi="Times New Roman"/>
          <w:noProof/>
          <w:sz w:val="24"/>
          <w:szCs w:val="24"/>
        </w:rPr>
        <w:t xml:space="preserve"> pour répondre aux </w:t>
      </w:r>
      <w:r w:rsidRPr="00E73D96">
        <w:rPr>
          <w:rFonts w:ascii="Times New Roman" w:hAnsi="Times New Roman"/>
          <w:b/>
          <w:bCs/>
          <w:noProof/>
          <w:sz w:val="24"/>
          <w:szCs w:val="24"/>
        </w:rPr>
        <w:t>b</w:t>
      </w:r>
      <w:r w:rsidRPr="00E73D96">
        <w:rPr>
          <w:rFonts w:ascii="Times New Roman" w:hAnsi="Times New Roman"/>
          <w:b/>
          <w:bCs/>
          <w:noProof/>
          <w:sz w:val="24"/>
          <w:szCs w:val="24"/>
        </w:rPr>
        <w:t>esoins sur le plan social et sur celui de la relance économique</w:t>
      </w:r>
      <w:r w:rsidRPr="00E73D96">
        <w:rPr>
          <w:rFonts w:ascii="Times New Roman" w:hAnsi="Times New Roman"/>
          <w:noProof/>
          <w:sz w:val="24"/>
          <w:szCs w:val="24"/>
        </w:rPr>
        <w:t xml:space="preserve"> et </w:t>
      </w:r>
      <w:r w:rsidRPr="00E73D96">
        <w:rPr>
          <w:rFonts w:ascii="Times New Roman" w:hAnsi="Times New Roman"/>
          <w:b/>
          <w:bCs/>
          <w:noProof/>
          <w:sz w:val="24"/>
          <w:szCs w:val="24"/>
        </w:rPr>
        <w:t>455 millions d’EUR</w:t>
      </w:r>
      <w:r w:rsidRPr="00E73D96">
        <w:rPr>
          <w:rFonts w:ascii="Times New Roman" w:hAnsi="Times New Roman"/>
          <w:noProof/>
          <w:sz w:val="24"/>
          <w:szCs w:val="24"/>
        </w:rPr>
        <w:t xml:space="preserve"> supplémentaires pour la </w:t>
      </w:r>
      <w:r w:rsidRPr="00E73D96">
        <w:rPr>
          <w:rFonts w:ascii="Times New Roman" w:hAnsi="Times New Roman"/>
          <w:b/>
          <w:bCs/>
          <w:noProof/>
          <w:sz w:val="24"/>
          <w:szCs w:val="24"/>
        </w:rPr>
        <w:t>relance de l’économie</w:t>
      </w:r>
      <w:r w:rsidRPr="00E73D96">
        <w:rPr>
          <w:rFonts w:ascii="Times New Roman" w:hAnsi="Times New Roman"/>
          <w:noProof/>
          <w:sz w:val="24"/>
          <w:szCs w:val="24"/>
        </w:rPr>
        <w:t xml:space="preserve"> de la région en coopération étroite avec les institutions financières internationales, ainsi qu’une proposition</w:t>
      </w:r>
      <w:r w:rsidRPr="00E73D96">
        <w:rPr>
          <w:rFonts w:ascii="Times New Roman" w:eastAsia="Times New Roman" w:hAnsi="Times New Roman"/>
          <w:noProof/>
          <w:sz w:val="24"/>
          <w:szCs w:val="24"/>
          <w:vertAlign w:val="superscript"/>
          <w:lang w:val="en-US"/>
        </w:rPr>
        <w:footnoteReference w:id="6"/>
      </w:r>
      <w:r w:rsidRPr="00E73D96">
        <w:rPr>
          <w:rFonts w:ascii="Times New Roman" w:hAnsi="Times New Roman"/>
          <w:noProof/>
          <w:sz w:val="24"/>
          <w:szCs w:val="24"/>
        </w:rPr>
        <w:t xml:space="preserve"> d’</w:t>
      </w:r>
      <w:r w:rsidRPr="00E73D96">
        <w:rPr>
          <w:rFonts w:ascii="Times New Roman" w:hAnsi="Times New Roman"/>
          <w:b/>
          <w:bCs/>
          <w:noProof/>
          <w:sz w:val="24"/>
          <w:szCs w:val="24"/>
        </w:rPr>
        <w:t>assistanc</w:t>
      </w:r>
      <w:r w:rsidRPr="00E73D96">
        <w:rPr>
          <w:rFonts w:ascii="Times New Roman" w:hAnsi="Times New Roman"/>
          <w:b/>
          <w:bCs/>
          <w:noProof/>
          <w:sz w:val="24"/>
          <w:szCs w:val="24"/>
        </w:rPr>
        <w:t>e macrofinancière</w:t>
      </w:r>
      <w:r w:rsidRPr="00E73D96">
        <w:rPr>
          <w:rFonts w:ascii="Times New Roman" w:hAnsi="Times New Roman"/>
          <w:noProof/>
          <w:sz w:val="24"/>
          <w:szCs w:val="24"/>
        </w:rPr>
        <w:t xml:space="preserve"> d’un montant de </w:t>
      </w:r>
      <w:r w:rsidRPr="00E73D96">
        <w:rPr>
          <w:rFonts w:ascii="Times New Roman" w:hAnsi="Times New Roman"/>
          <w:b/>
          <w:bCs/>
          <w:noProof/>
          <w:sz w:val="24"/>
          <w:szCs w:val="24"/>
        </w:rPr>
        <w:t>750 millions d’EUR</w:t>
      </w:r>
      <w:r w:rsidRPr="00E73D96">
        <w:rPr>
          <w:rFonts w:ascii="Times New Roman" w:hAnsi="Times New Roman"/>
          <w:noProof/>
          <w:sz w:val="24"/>
          <w:szCs w:val="24"/>
        </w:rPr>
        <w:t xml:space="preserve"> et une aide de </w:t>
      </w:r>
      <w:r w:rsidRPr="00E73D96">
        <w:rPr>
          <w:rFonts w:ascii="Times New Roman" w:hAnsi="Times New Roman"/>
          <w:b/>
          <w:bCs/>
          <w:noProof/>
          <w:sz w:val="24"/>
          <w:szCs w:val="24"/>
        </w:rPr>
        <w:t>1,7 milliard d’EUR</w:t>
      </w:r>
      <w:r w:rsidRPr="00E73D96">
        <w:rPr>
          <w:rFonts w:ascii="Times New Roman" w:hAnsi="Times New Roman"/>
          <w:noProof/>
          <w:sz w:val="24"/>
          <w:szCs w:val="24"/>
        </w:rPr>
        <w:t xml:space="preserve"> provenant de la </w:t>
      </w:r>
      <w:r w:rsidRPr="00E73D96">
        <w:rPr>
          <w:rFonts w:ascii="Times New Roman" w:hAnsi="Times New Roman"/>
          <w:b/>
          <w:bCs/>
          <w:noProof/>
          <w:sz w:val="24"/>
          <w:szCs w:val="24"/>
        </w:rPr>
        <w:t>Banque européenne d’investissement</w:t>
      </w:r>
      <w:r w:rsidRPr="00E73D96">
        <w:rPr>
          <w:rFonts w:ascii="Times New Roman" w:hAnsi="Times New Roman"/>
          <w:noProof/>
          <w:sz w:val="24"/>
          <w:szCs w:val="24"/>
        </w:rPr>
        <w:t xml:space="preserve">. L’UE fournit également une </w:t>
      </w:r>
      <w:r w:rsidRPr="00E73D96">
        <w:rPr>
          <w:rFonts w:ascii="Times New Roman" w:hAnsi="Times New Roman"/>
          <w:b/>
          <w:bCs/>
          <w:noProof/>
          <w:sz w:val="24"/>
          <w:szCs w:val="24"/>
        </w:rPr>
        <w:t>aide humanitaire immédiate aux réfugiés et aux migrants vulnérables, pour un montant de 4,</w:t>
      </w:r>
      <w:r w:rsidRPr="00E73D96">
        <w:rPr>
          <w:rFonts w:ascii="Times New Roman" w:hAnsi="Times New Roman"/>
          <w:b/>
          <w:bCs/>
          <w:noProof/>
          <w:sz w:val="24"/>
          <w:szCs w:val="24"/>
        </w:rPr>
        <w:t>5 millions d’EUR</w:t>
      </w:r>
      <w:r w:rsidRPr="00E73D96">
        <w:rPr>
          <w:rFonts w:ascii="Times New Roman" w:hAnsi="Times New Roman"/>
          <w:noProof/>
          <w:sz w:val="24"/>
          <w:szCs w:val="24"/>
        </w:rPr>
        <w:t xml:space="preserve">, dans les domaines de la protection, du soutien aux mineurs non accompagnés et des soins de santé, y compris de la préparation à la COVID-19, ainsi qu’une aide d’urgence de </w:t>
      </w:r>
      <w:r w:rsidRPr="00E73D96">
        <w:rPr>
          <w:rFonts w:ascii="Times New Roman" w:hAnsi="Times New Roman"/>
          <w:b/>
          <w:bCs/>
          <w:noProof/>
          <w:sz w:val="24"/>
          <w:szCs w:val="24"/>
        </w:rPr>
        <w:t>8 millions d’EUR</w:t>
      </w:r>
      <w:r w:rsidRPr="00E73D96">
        <w:rPr>
          <w:rFonts w:ascii="Times New Roman" w:hAnsi="Times New Roman"/>
          <w:noProof/>
          <w:sz w:val="24"/>
          <w:szCs w:val="24"/>
        </w:rPr>
        <w:t xml:space="preserve"> aux migrants et aux réfugiés bloqués dans les Bal</w:t>
      </w:r>
      <w:r w:rsidRPr="00E73D96">
        <w:rPr>
          <w:rFonts w:ascii="Times New Roman" w:hAnsi="Times New Roman"/>
          <w:noProof/>
          <w:sz w:val="24"/>
          <w:szCs w:val="24"/>
        </w:rPr>
        <w:t>kans occidentaux, provenant de l’</w:t>
      </w:r>
      <w:r w:rsidRPr="00E73D96">
        <w:rPr>
          <w:rFonts w:ascii="Times New Roman" w:hAnsi="Times New Roman"/>
          <w:b/>
          <w:bCs/>
          <w:noProof/>
          <w:sz w:val="24"/>
          <w:szCs w:val="24"/>
        </w:rPr>
        <w:t>instrument contribuant à la stabilité et à la paix</w:t>
      </w:r>
      <w:r w:rsidRPr="00E73D96">
        <w:rPr>
          <w:rFonts w:ascii="Times New Roman" w:hAnsi="Times New Roman"/>
          <w:noProof/>
          <w:sz w:val="24"/>
          <w:szCs w:val="24"/>
        </w:rPr>
        <w:t xml:space="preserve">. En outre, le </w:t>
      </w:r>
      <w:r w:rsidRPr="00E73D96">
        <w:rPr>
          <w:rFonts w:ascii="Times New Roman" w:hAnsi="Times New Roman"/>
          <w:b/>
          <w:bCs/>
          <w:noProof/>
          <w:sz w:val="24"/>
          <w:szCs w:val="24"/>
        </w:rPr>
        <w:t>Fonds de solidarité</w:t>
      </w:r>
      <w:r w:rsidRPr="00E73D96">
        <w:rPr>
          <w:rFonts w:ascii="Times New Roman" w:hAnsi="Times New Roman"/>
          <w:noProof/>
          <w:sz w:val="24"/>
          <w:szCs w:val="24"/>
        </w:rPr>
        <w:t xml:space="preserve"> de l’UE, ouvert aux pays des Balkans occidentaux qui ont commencé à négocier leur adhésion, couvre désormais également les crises sanitair</w:t>
      </w:r>
      <w:r w:rsidRPr="00E73D96">
        <w:rPr>
          <w:rFonts w:ascii="Times New Roman" w:hAnsi="Times New Roman"/>
          <w:noProof/>
          <w:sz w:val="24"/>
          <w:szCs w:val="24"/>
        </w:rPr>
        <w:t>es.</w:t>
      </w:r>
    </w:p>
    <w:p w:rsidR="00BD582A" w:rsidRPr="00E73D96" w:rsidRDefault="00E73D96" w:rsidP="00E73D96">
      <w:pPr>
        <w:pStyle w:val="FootnoteText"/>
        <w:spacing w:after="120"/>
        <w:jc w:val="both"/>
        <w:rPr>
          <w:rFonts w:ascii="Times New Roman" w:eastAsia="Times New Roman" w:hAnsi="Times New Roman"/>
          <w:noProof/>
          <w:sz w:val="24"/>
          <w:szCs w:val="24"/>
        </w:rPr>
      </w:pPr>
      <w:r w:rsidRPr="00E73D96">
        <w:rPr>
          <w:rFonts w:ascii="Times New Roman" w:hAnsi="Times New Roman"/>
          <w:noProof/>
          <w:sz w:val="24"/>
          <w:szCs w:val="24"/>
        </w:rPr>
        <w:t xml:space="preserve">Une part importante du soutien économique de l’UE </w:t>
      </w:r>
      <w:r w:rsidRPr="00E73D96">
        <w:rPr>
          <w:rFonts w:ascii="Times New Roman" w:hAnsi="Times New Roman"/>
          <w:b/>
          <w:bCs/>
          <w:noProof/>
          <w:sz w:val="24"/>
          <w:szCs w:val="24"/>
        </w:rPr>
        <w:t>aidera le secteur privé à faire face aux problèmes financiers et de liquidités</w:t>
      </w:r>
      <w:r w:rsidRPr="00E73D96">
        <w:rPr>
          <w:rFonts w:ascii="Times New Roman" w:hAnsi="Times New Roman"/>
          <w:noProof/>
          <w:sz w:val="24"/>
          <w:szCs w:val="24"/>
        </w:rPr>
        <w:t xml:space="preserve"> en mobilisant des systèmes de garantie financés par l’UE, en coopération avec les institutions financières internationales.</w:t>
      </w:r>
    </w:p>
    <w:p w:rsidR="00BD582A" w:rsidRPr="00E73D96" w:rsidRDefault="00E73D96" w:rsidP="00E73D96">
      <w:pPr>
        <w:pStyle w:val="FootnoteText"/>
        <w:spacing w:after="120"/>
        <w:jc w:val="both"/>
        <w:rPr>
          <w:rFonts w:ascii="Times New Roman" w:eastAsia="Times New Roman" w:hAnsi="Times New Roman"/>
          <w:noProof/>
          <w:sz w:val="24"/>
          <w:szCs w:val="24"/>
        </w:rPr>
      </w:pPr>
      <w:r w:rsidRPr="00E73D96">
        <w:rPr>
          <w:rFonts w:ascii="Times New Roman" w:hAnsi="Times New Roman"/>
          <w:noProof/>
          <w:sz w:val="24"/>
          <w:szCs w:val="24"/>
        </w:rPr>
        <w:t xml:space="preserve">L’approche suivie par l’UE est celle d’une </w:t>
      </w:r>
      <w:r w:rsidRPr="00E73D96">
        <w:rPr>
          <w:rFonts w:ascii="Times New Roman" w:hAnsi="Times New Roman"/>
          <w:b/>
          <w:bCs/>
          <w:noProof/>
          <w:sz w:val="24"/>
          <w:szCs w:val="24"/>
        </w:rPr>
        <w:t>équipe d’Europe («Team Europe»)</w:t>
      </w:r>
      <w:r w:rsidRPr="00E73D96">
        <w:rPr>
          <w:rFonts w:ascii="Times New Roman" w:eastAsia="Times New Roman" w:hAnsi="Times New Roman"/>
          <w:b/>
          <w:bCs/>
          <w:noProof/>
          <w:sz w:val="24"/>
          <w:szCs w:val="24"/>
          <w:vertAlign w:val="superscript"/>
          <w:lang w:val="en-US"/>
        </w:rPr>
        <w:footnoteReference w:id="7"/>
      </w:r>
      <w:r w:rsidRPr="00E73D96">
        <w:rPr>
          <w:rFonts w:ascii="Times New Roman" w:hAnsi="Times New Roman"/>
          <w:noProof/>
          <w:sz w:val="24"/>
          <w:szCs w:val="24"/>
        </w:rPr>
        <w:t xml:space="preserve">: notre soutien rapide et ciblé combine des ressources provenant des institutions de l’UE, des États membres et des institutions financières, notamment de la Banque européenne </w:t>
      </w:r>
      <w:r w:rsidRPr="00E73D96">
        <w:rPr>
          <w:rFonts w:ascii="Times New Roman" w:hAnsi="Times New Roman"/>
          <w:noProof/>
          <w:sz w:val="24"/>
          <w:szCs w:val="24"/>
        </w:rPr>
        <w:t>d’investissement et de la Banque européenne pour la reconstruction et le développement. Avec nos partenaires, nous veillons à ce que le financement substantiel de l’UE qui leur a déjà été alloué soit orienté de manière à les aider à faire face aux conséque</w:t>
      </w:r>
      <w:r w:rsidRPr="00E73D96">
        <w:rPr>
          <w:rFonts w:ascii="Times New Roman" w:hAnsi="Times New Roman"/>
          <w:noProof/>
          <w:sz w:val="24"/>
          <w:szCs w:val="24"/>
        </w:rPr>
        <w:t>nces de la pandémie. Parallèlement, certains États membres de l’UE apportent également un soutien bilatéral, qu’il s’agisse d’une aide financière ou de dons de matériel.</w:t>
      </w: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 xml:space="preserve">À la suite de la flambée de COVID-19, les Balkans occidentaux ont aussi </w:t>
      </w:r>
      <w:r w:rsidRPr="00E73D96">
        <w:rPr>
          <w:rFonts w:ascii="Times New Roman" w:hAnsi="Times New Roman" w:cs="Times New Roman"/>
          <w:b/>
          <w:bCs/>
          <w:noProof/>
          <w:sz w:val="24"/>
          <w:szCs w:val="24"/>
          <w:lang w:val="fr-BE"/>
        </w:rPr>
        <w:t>activé le méca</w:t>
      </w:r>
      <w:r w:rsidRPr="00E73D96">
        <w:rPr>
          <w:rFonts w:ascii="Times New Roman" w:hAnsi="Times New Roman" w:cs="Times New Roman"/>
          <w:b/>
          <w:bCs/>
          <w:noProof/>
          <w:sz w:val="24"/>
          <w:szCs w:val="24"/>
          <w:lang w:val="fr-BE"/>
        </w:rPr>
        <w:t>nisme de protection civile de l’Union (MPCU)</w:t>
      </w:r>
      <w:r w:rsidRPr="00E73D96">
        <w:rPr>
          <w:rFonts w:ascii="Times New Roman" w:hAnsi="Times New Roman" w:cs="Times New Roman"/>
          <w:noProof/>
          <w:sz w:val="24"/>
          <w:szCs w:val="24"/>
          <w:lang w:val="fr-BE"/>
        </w:rPr>
        <w:t xml:space="preserve"> et ils ont déjà commencé à recevoir une aide des États membres du MPCU et des États y participant. </w:t>
      </w:r>
      <w:r w:rsidRPr="00E73D96">
        <w:rPr>
          <w:rFonts w:ascii="Times New Roman" w:hAnsi="Times New Roman" w:cs="Times New Roman"/>
          <w:b/>
          <w:bCs/>
          <w:noProof/>
          <w:sz w:val="24"/>
          <w:szCs w:val="24"/>
          <w:lang w:val="fr-BE"/>
        </w:rPr>
        <w:t>La Serbie, la Macédoine du Nord et le Monténégro</w:t>
      </w:r>
      <w:r w:rsidRPr="00E73D96">
        <w:rPr>
          <w:rFonts w:ascii="Times New Roman" w:hAnsi="Times New Roman" w:cs="Times New Roman"/>
          <w:noProof/>
          <w:sz w:val="24"/>
          <w:szCs w:val="24"/>
          <w:lang w:val="fr-BE"/>
        </w:rPr>
        <w:t>, en tant que pays participant au mécanisme, peuvent contribuer à rescEU et demander son soutien, y compris pour ce qui est de l’arsenal de contre-mesures médicales et de matériel médical. Des citoyens des Balkans occidentaux bloqués à l’étranger ont été r</w:t>
      </w:r>
      <w:r w:rsidRPr="00E73D96">
        <w:rPr>
          <w:rFonts w:ascii="Times New Roman" w:hAnsi="Times New Roman" w:cs="Times New Roman"/>
          <w:noProof/>
          <w:sz w:val="24"/>
          <w:szCs w:val="24"/>
          <w:lang w:val="fr-BE"/>
        </w:rPr>
        <w:t>apatriés en Europe dans le cadre de vols organisés et cofinancés par le MPCU. Les autorités de protection civile des Balkans occidentaux continueront de participer aux formations, aux exercices et aux échanges d’experts relevant du MPCU. Par ailleurs, l’UE</w:t>
      </w:r>
      <w:r w:rsidRPr="00E73D96">
        <w:rPr>
          <w:rFonts w:ascii="Times New Roman" w:hAnsi="Times New Roman" w:cs="Times New Roman"/>
          <w:noProof/>
          <w:sz w:val="24"/>
          <w:szCs w:val="24"/>
          <w:lang w:val="fr-BE"/>
        </w:rPr>
        <w:t xml:space="preserve"> </w:t>
      </w:r>
      <w:r w:rsidRPr="00E73D96">
        <w:rPr>
          <w:rFonts w:ascii="Times New Roman" w:hAnsi="Times New Roman" w:cs="Times New Roman"/>
          <w:b/>
          <w:bCs/>
          <w:noProof/>
          <w:sz w:val="24"/>
          <w:szCs w:val="24"/>
          <w:lang w:val="fr-BE"/>
        </w:rPr>
        <w:t>apprécie l’aide précieuse</w:t>
      </w:r>
      <w:r w:rsidRPr="00E73D96">
        <w:rPr>
          <w:rFonts w:ascii="Times New Roman" w:hAnsi="Times New Roman" w:cs="Times New Roman"/>
          <w:noProof/>
          <w:sz w:val="24"/>
          <w:szCs w:val="24"/>
          <w:lang w:val="fr-BE"/>
        </w:rPr>
        <w:t xml:space="preserve"> que les Balkans occidentaux lui ont apportée, de même qu’à leurs voisins immédiats, sous la forme de personnel et de matériel médical. Cette aide illustre bien la solidarité et les valeurs fondamentales sur lesquelles l’UE est fo</w:t>
      </w:r>
      <w:r w:rsidRPr="00E73D96">
        <w:rPr>
          <w:rFonts w:ascii="Times New Roman" w:hAnsi="Times New Roman" w:cs="Times New Roman"/>
          <w:noProof/>
          <w:sz w:val="24"/>
          <w:szCs w:val="24"/>
          <w:lang w:val="fr-BE"/>
        </w:rPr>
        <w:t>ndée.</w:t>
      </w:r>
    </w:p>
    <w:p w:rsidR="00BD582A" w:rsidRPr="00E73D96" w:rsidRDefault="00E73D96" w:rsidP="00E73D96">
      <w:pPr>
        <w:pStyle w:val="FootnoteText"/>
        <w:spacing w:after="120"/>
        <w:jc w:val="both"/>
        <w:rPr>
          <w:rFonts w:ascii="Times New Roman" w:hAnsi="Times New Roman"/>
          <w:b/>
          <w:bCs/>
          <w:noProof/>
          <w:sz w:val="24"/>
          <w:szCs w:val="24"/>
        </w:rPr>
      </w:pPr>
      <w:r w:rsidRPr="00E73D96">
        <w:rPr>
          <w:rFonts w:ascii="Times New Roman" w:hAnsi="Times New Roman"/>
          <w:noProof/>
          <w:sz w:val="24"/>
          <w:szCs w:val="24"/>
        </w:rPr>
        <w:t xml:space="preserve">La pandémie actuelle montre donc clairement comment l’UE et les Balkans occidentaux </w:t>
      </w:r>
      <w:r w:rsidRPr="00E73D96">
        <w:rPr>
          <w:rFonts w:ascii="Times New Roman" w:hAnsi="Times New Roman"/>
          <w:b/>
          <w:bCs/>
          <w:noProof/>
          <w:sz w:val="24"/>
          <w:szCs w:val="24"/>
        </w:rPr>
        <w:t>abordent ensemble les défis communs</w:t>
      </w:r>
      <w:r w:rsidRPr="00E73D96">
        <w:rPr>
          <w:rFonts w:ascii="Times New Roman" w:hAnsi="Times New Roman"/>
          <w:noProof/>
          <w:sz w:val="24"/>
          <w:szCs w:val="24"/>
        </w:rPr>
        <w:t xml:space="preserve">. Peuvent notamment être mentionnées la </w:t>
      </w:r>
      <w:r w:rsidRPr="00E73D96">
        <w:rPr>
          <w:rFonts w:ascii="Times New Roman" w:hAnsi="Times New Roman"/>
          <w:b/>
          <w:bCs/>
          <w:noProof/>
          <w:sz w:val="24"/>
          <w:szCs w:val="24"/>
        </w:rPr>
        <w:t>passation conjointe de marchés portant sur du matériel médical</w:t>
      </w:r>
      <w:r w:rsidRPr="00E73D96">
        <w:rPr>
          <w:rFonts w:ascii="Times New Roman" w:hAnsi="Times New Roman"/>
          <w:noProof/>
          <w:sz w:val="24"/>
          <w:szCs w:val="24"/>
        </w:rPr>
        <w:t>, l’exemption de la région du</w:t>
      </w:r>
      <w:r w:rsidRPr="00E73D96">
        <w:rPr>
          <w:rFonts w:ascii="Times New Roman" w:hAnsi="Times New Roman"/>
          <w:noProof/>
          <w:sz w:val="24"/>
          <w:szCs w:val="24"/>
        </w:rPr>
        <w:t xml:space="preserve"> </w:t>
      </w:r>
      <w:r w:rsidRPr="00E73D96">
        <w:rPr>
          <w:rFonts w:ascii="Times New Roman" w:hAnsi="Times New Roman"/>
          <w:b/>
          <w:bCs/>
          <w:noProof/>
          <w:sz w:val="24"/>
          <w:szCs w:val="24"/>
        </w:rPr>
        <w:t>régime d’autorisations d’exportation</w:t>
      </w:r>
      <w:r w:rsidRPr="00E73D96">
        <w:rPr>
          <w:rFonts w:ascii="Times New Roman" w:hAnsi="Times New Roman"/>
          <w:noProof/>
          <w:sz w:val="24"/>
          <w:szCs w:val="24"/>
        </w:rPr>
        <w:t xml:space="preserve"> des équipements de protection individuelle de l’UE</w:t>
      </w:r>
      <w:r w:rsidRPr="00E73D96">
        <w:rPr>
          <w:rFonts w:ascii="Times New Roman" w:eastAsia="Times New Roman" w:hAnsi="Times New Roman"/>
          <w:noProof/>
          <w:sz w:val="24"/>
          <w:szCs w:val="24"/>
          <w:vertAlign w:val="superscript"/>
          <w:lang w:val="en-US"/>
        </w:rPr>
        <w:footnoteReference w:id="8"/>
      </w:r>
      <w:r w:rsidRPr="00E73D96">
        <w:rPr>
          <w:rFonts w:ascii="Times New Roman" w:hAnsi="Times New Roman"/>
          <w:noProof/>
          <w:sz w:val="24"/>
          <w:szCs w:val="24"/>
        </w:rPr>
        <w:t xml:space="preserve"> et la </w:t>
      </w:r>
      <w:r w:rsidRPr="00E73D96">
        <w:rPr>
          <w:rFonts w:ascii="Times New Roman" w:hAnsi="Times New Roman"/>
          <w:b/>
          <w:bCs/>
          <w:noProof/>
          <w:sz w:val="24"/>
          <w:szCs w:val="24"/>
        </w:rPr>
        <w:t>fourniture par l’UE de matériel de dépistage</w:t>
      </w:r>
      <w:r w:rsidRPr="00E73D96">
        <w:rPr>
          <w:rFonts w:ascii="Times New Roman" w:hAnsi="Times New Roman"/>
          <w:noProof/>
          <w:sz w:val="24"/>
          <w:szCs w:val="24"/>
        </w:rPr>
        <w:t xml:space="preserve"> mis au point par le Centre commun de recherche de la Commission afin de garantir le bon fonctionnement des tests de</w:t>
      </w:r>
      <w:r w:rsidRPr="00E73D96">
        <w:rPr>
          <w:rFonts w:ascii="Times New Roman" w:hAnsi="Times New Roman"/>
          <w:noProof/>
          <w:sz w:val="24"/>
          <w:szCs w:val="24"/>
        </w:rPr>
        <w:t xml:space="preserve"> dépistage du coronavirus dans les Balkans occidentaux. </w:t>
      </w:r>
      <w:r w:rsidRPr="00E73D96">
        <w:rPr>
          <w:rFonts w:ascii="Times New Roman" w:hAnsi="Times New Roman"/>
          <w:noProof/>
          <w:sz w:val="24"/>
          <w:szCs w:val="24"/>
        </w:rPr>
        <w:t xml:space="preserve">Les parties prenantes de l’ensemble de la région sont pleinement associées aux activités européennes </w:t>
      </w:r>
      <w:r w:rsidRPr="00E73D96">
        <w:rPr>
          <w:rFonts w:ascii="Times New Roman" w:hAnsi="Times New Roman"/>
          <w:b/>
          <w:noProof/>
          <w:sz w:val="24"/>
          <w:szCs w:val="24"/>
        </w:rPr>
        <w:t>de recherche et d’innovation</w:t>
      </w:r>
      <w:r w:rsidRPr="00E73D96">
        <w:rPr>
          <w:rFonts w:ascii="Times New Roman" w:hAnsi="Times New Roman"/>
          <w:noProof/>
          <w:sz w:val="24"/>
          <w:szCs w:val="24"/>
        </w:rPr>
        <w:t xml:space="preserve"> concernant la COVID-19. </w:t>
      </w:r>
      <w:r w:rsidRPr="00E73D96">
        <w:rPr>
          <w:rFonts w:ascii="Times New Roman" w:hAnsi="Times New Roman"/>
          <w:noProof/>
          <w:sz w:val="24"/>
          <w:szCs w:val="24"/>
        </w:rPr>
        <w:t>L’ensemble de la région bénéficie également de</w:t>
      </w:r>
      <w:r w:rsidRPr="00E73D96">
        <w:rPr>
          <w:rFonts w:ascii="Times New Roman" w:hAnsi="Times New Roman"/>
          <w:noProof/>
          <w:sz w:val="24"/>
          <w:szCs w:val="24"/>
        </w:rPr>
        <w:t xml:space="preserve"> l’assistance technique et de l’échange d’informations du </w:t>
      </w:r>
      <w:r w:rsidRPr="00E73D96">
        <w:rPr>
          <w:rFonts w:ascii="Times New Roman" w:hAnsi="Times New Roman"/>
          <w:b/>
          <w:bCs/>
          <w:noProof/>
          <w:sz w:val="24"/>
          <w:szCs w:val="24"/>
        </w:rPr>
        <w:t>Centre européen de prévention et de contrôle des maladies</w:t>
      </w:r>
      <w:r w:rsidRPr="00E73D96">
        <w:rPr>
          <w:rFonts w:ascii="Times New Roman" w:hAnsi="Times New Roman"/>
          <w:noProof/>
          <w:sz w:val="24"/>
          <w:szCs w:val="24"/>
        </w:rPr>
        <w:t xml:space="preserve">, tandis que les pays candidats des Balkans occidentaux ont été invités en qualité d’observateurs au </w:t>
      </w:r>
      <w:r w:rsidRPr="00E73D96">
        <w:rPr>
          <w:rFonts w:ascii="Times New Roman" w:hAnsi="Times New Roman"/>
          <w:b/>
          <w:bCs/>
          <w:noProof/>
          <w:sz w:val="24"/>
          <w:szCs w:val="24"/>
        </w:rPr>
        <w:t>Comité de sécurité sanitaire de l’UE</w:t>
      </w:r>
      <w:r w:rsidRPr="00E73D96">
        <w:rPr>
          <w:rFonts w:ascii="Times New Roman" w:hAnsi="Times New Roman"/>
          <w:noProof/>
          <w:sz w:val="24"/>
          <w:szCs w:val="24"/>
        </w:rPr>
        <w:t xml:space="preserve"> et </w:t>
      </w:r>
      <w:r w:rsidRPr="00E73D96">
        <w:rPr>
          <w:rFonts w:ascii="Times New Roman" w:hAnsi="Times New Roman"/>
          <w:noProof/>
          <w:sz w:val="24"/>
          <w:szCs w:val="24"/>
        </w:rPr>
        <w:t xml:space="preserve">ont accès au </w:t>
      </w:r>
      <w:r w:rsidRPr="00E73D96">
        <w:rPr>
          <w:rFonts w:ascii="Times New Roman" w:hAnsi="Times New Roman"/>
          <w:b/>
          <w:bCs/>
          <w:noProof/>
          <w:sz w:val="24"/>
          <w:szCs w:val="24"/>
        </w:rPr>
        <w:t>système d’alerte précoce et de réaction</w:t>
      </w:r>
      <w:r w:rsidRPr="00E73D96">
        <w:rPr>
          <w:rFonts w:ascii="Times New Roman" w:hAnsi="Times New Roman"/>
          <w:noProof/>
          <w:sz w:val="24"/>
          <w:szCs w:val="24"/>
        </w:rPr>
        <w:t xml:space="preserve"> connexe.</w:t>
      </w:r>
    </w:p>
    <w:p w:rsidR="00BD582A" w:rsidRPr="00E73D96" w:rsidRDefault="00E73D96" w:rsidP="00E73D96">
      <w:pPr>
        <w:spacing w:after="120" w:line="240" w:lineRule="auto"/>
        <w:jc w:val="both"/>
        <w:rPr>
          <w:rFonts w:ascii="Times New Roman" w:hAnsi="Times New Roman" w:cs="Times New Roman"/>
          <w:noProof/>
          <w:sz w:val="24"/>
          <w:szCs w:val="24"/>
          <w:lang w:val="fr-BE"/>
        </w:rPr>
      </w:pPr>
      <w:r w:rsidRPr="00E73D96">
        <w:rPr>
          <w:rFonts w:ascii="Times New Roman" w:hAnsi="Times New Roman" w:cs="Times New Roman"/>
          <w:noProof/>
          <w:sz w:val="24"/>
          <w:szCs w:val="24"/>
          <w:lang w:val="fr-BE"/>
        </w:rPr>
        <w:t xml:space="preserve">La proposition conjointe du secrétariat permanent de la Communauté des transports et de la zone de libre-échange centre-européenne a permis d’étendre le concept de «voies réservées» aux Balkans </w:t>
      </w:r>
      <w:r w:rsidRPr="00E73D96">
        <w:rPr>
          <w:rFonts w:ascii="Times New Roman" w:hAnsi="Times New Roman" w:cs="Times New Roman"/>
          <w:noProof/>
          <w:sz w:val="24"/>
          <w:szCs w:val="24"/>
          <w:lang w:val="fr-BE"/>
        </w:rPr>
        <w:t>occidentaux afin de garantir la circulation rapide des marchandises essentielles dans la région. La Commission est disposée à associer étroitement la région à la mise en œuvre de sa «</w:t>
      </w:r>
      <w:r w:rsidRPr="00E73D96">
        <w:rPr>
          <w:rFonts w:ascii="Times New Roman" w:hAnsi="Times New Roman" w:cs="Times New Roman"/>
          <w:b/>
          <w:noProof/>
          <w:sz w:val="24"/>
          <w:szCs w:val="24"/>
          <w:lang w:val="fr-BE"/>
        </w:rPr>
        <w:t>feuille de route européenne commune</w:t>
      </w:r>
      <w:r w:rsidRPr="00E73D96">
        <w:rPr>
          <w:rFonts w:ascii="Times New Roman" w:hAnsi="Times New Roman" w:cs="Times New Roman"/>
          <w:noProof/>
          <w:sz w:val="24"/>
          <w:szCs w:val="24"/>
          <w:lang w:val="fr-BE"/>
        </w:rPr>
        <w:t xml:space="preserve"> pour la levée des mesures visant à co</w:t>
      </w:r>
      <w:r w:rsidRPr="00E73D96">
        <w:rPr>
          <w:rFonts w:ascii="Times New Roman" w:hAnsi="Times New Roman" w:cs="Times New Roman"/>
          <w:noProof/>
          <w:sz w:val="24"/>
          <w:szCs w:val="24"/>
          <w:lang w:val="fr-BE"/>
        </w:rPr>
        <w:t xml:space="preserve">ntenir la propagation de la COVID-19». Au-delà de la situation d’urgence sanitaire actuelle </w:t>
      </w:r>
      <w:r w:rsidRPr="00E73D96">
        <w:rPr>
          <w:rFonts w:ascii="Times New Roman" w:hAnsi="Times New Roman" w:cs="Times New Roman"/>
          <w:noProof/>
          <w:color w:val="000000"/>
          <w:sz w:val="24"/>
          <w:szCs w:val="24"/>
          <w:u w:color="000000"/>
          <w:lang w:val="fr-BE"/>
          <w14:textOutline w14:w="0" w14:cap="flat" w14:cmpd="sng" w14:algn="ctr">
            <w14:noFill/>
            <w14:prstDash w14:val="solid"/>
            <w14:bevel/>
          </w14:textOutline>
        </w:rPr>
        <w:t>et des restrictions qui en découlent en matière de circulation des marchandises et des passagers, la Commission est également déterminée à contribuer, à long terme,</w:t>
      </w:r>
      <w:r w:rsidRPr="00E73D96">
        <w:rPr>
          <w:rFonts w:ascii="Times New Roman" w:hAnsi="Times New Roman" w:cs="Times New Roman"/>
          <w:noProof/>
          <w:color w:val="000000"/>
          <w:sz w:val="24"/>
          <w:szCs w:val="24"/>
          <w:u w:color="000000"/>
          <w:lang w:val="fr-BE"/>
          <w14:textOutline w14:w="0" w14:cap="flat" w14:cmpd="sng" w14:algn="ctr">
            <w14:noFill/>
            <w14:prstDash w14:val="solid"/>
            <w14:bevel/>
          </w14:textOutline>
        </w:rPr>
        <w:t xml:space="preserve"> à une meilleure connectivité avec les Balkans occidentaux, en remédiant aux goulets d’étranglement structurels aux frontières entre l’UE et les Balkans occidentaux.</w:t>
      </w:r>
      <w:r w:rsidRPr="00E73D96">
        <w:rPr>
          <w:rFonts w:ascii="Times New Roman" w:hAnsi="Times New Roman" w:cs="Times New Roman"/>
          <w:noProof/>
          <w:sz w:val="24"/>
          <w:szCs w:val="24"/>
          <w:lang w:val="fr-BE"/>
        </w:rPr>
        <w:t xml:space="preserve"> La Commission </w:t>
      </w:r>
      <w:r w:rsidRPr="00E73D96">
        <w:rPr>
          <w:rFonts w:ascii="Times New Roman" w:hAnsi="Times New Roman" w:cs="Times New Roman"/>
          <w:noProof/>
          <w:sz w:val="24"/>
          <w:szCs w:val="24"/>
          <w:lang w:val="fr-BE"/>
        </w:rPr>
        <w:t>a aussi publié des orientations</w:t>
      </w:r>
      <w:r w:rsidRPr="00E73D96">
        <w:rPr>
          <w:rStyle w:val="FootnoteReference"/>
          <w:rFonts w:ascii="Times New Roman" w:hAnsi="Times New Roman" w:cs="Times New Roman"/>
          <w:noProof/>
          <w:sz w:val="24"/>
          <w:szCs w:val="24"/>
          <w:lang w:val="fr-BE"/>
        </w:rPr>
        <w:footnoteReference w:id="9"/>
      </w:r>
      <w:r w:rsidRPr="00E73D96">
        <w:rPr>
          <w:rFonts w:ascii="Times New Roman" w:hAnsi="Times New Roman" w:cs="Times New Roman"/>
          <w:noProof/>
          <w:sz w:val="24"/>
          <w:szCs w:val="24"/>
          <w:lang w:val="fr-BE"/>
        </w:rPr>
        <w:t xml:space="preserve"> sur la manière de mettre en œuvre l’introduction de </w:t>
      </w:r>
      <w:r w:rsidRPr="00E73D96">
        <w:rPr>
          <w:rFonts w:ascii="Times New Roman" w:hAnsi="Times New Roman" w:cs="Times New Roman"/>
          <w:b/>
          <w:noProof/>
          <w:sz w:val="24"/>
          <w:szCs w:val="24"/>
          <w:lang w:val="fr-BE"/>
        </w:rPr>
        <w:t>restrictions temporaires de tous les déplacements</w:t>
      </w:r>
      <w:r w:rsidRPr="00E73D96">
        <w:rPr>
          <w:rFonts w:ascii="Times New Roman" w:hAnsi="Times New Roman" w:cs="Times New Roman"/>
          <w:noProof/>
          <w:sz w:val="24"/>
          <w:szCs w:val="24"/>
          <w:lang w:val="fr-BE"/>
        </w:rPr>
        <w:t xml:space="preserve"> non essentiels de pays tiers vers l’UE, y compris sur la gestion des personnes contraintes de séjourner dans l’UE plus longtemps qu’elles n’y sont autorisées.</w:t>
      </w: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 xml:space="preserve">Cette coopération entre l’UE et les Balkans occidentaux et le soutien apporté par l’UE </w:t>
      </w:r>
      <w:r w:rsidRPr="00E73D96">
        <w:rPr>
          <w:rFonts w:ascii="Times New Roman" w:hAnsi="Times New Roman" w:cs="Times New Roman"/>
          <w:b/>
          <w:bCs/>
          <w:noProof/>
          <w:sz w:val="24"/>
          <w:szCs w:val="24"/>
          <w:lang w:val="fr-BE"/>
        </w:rPr>
        <w:t>vont bien</w:t>
      </w:r>
      <w:r w:rsidRPr="00E73D96">
        <w:rPr>
          <w:rFonts w:ascii="Times New Roman" w:hAnsi="Times New Roman" w:cs="Times New Roman"/>
          <w:b/>
          <w:bCs/>
          <w:noProof/>
          <w:sz w:val="24"/>
          <w:szCs w:val="24"/>
          <w:lang w:val="fr-BE"/>
        </w:rPr>
        <w:t xml:space="preserve"> au-delà de ce que tout autre partenaire a fourni à la région</w:t>
      </w:r>
      <w:r w:rsidRPr="00E73D96">
        <w:rPr>
          <w:rFonts w:ascii="Times New Roman" w:hAnsi="Times New Roman" w:cs="Times New Roman"/>
          <w:noProof/>
          <w:sz w:val="24"/>
          <w:szCs w:val="24"/>
          <w:lang w:val="fr-BE"/>
        </w:rPr>
        <w:t>, ce qui reflète l’ancrage stratégique de cette dernière. Les institutions de l’UE mènent des campagnes de communication intensives, portant notamment sur la fourniture de l’aide de l’UE, publien</w:t>
      </w:r>
      <w:r w:rsidRPr="00E73D96">
        <w:rPr>
          <w:rFonts w:ascii="Times New Roman" w:hAnsi="Times New Roman" w:cs="Times New Roman"/>
          <w:noProof/>
          <w:sz w:val="24"/>
          <w:szCs w:val="24"/>
          <w:lang w:val="fr-BE"/>
        </w:rPr>
        <w:t>t des tribunes communes avec les États membres de l’UE sur le terrain, soutiennent des campagnes enjoignant les citoyens de rester chez eux et contribuent à la diffusion d’informations factuelles sur la COVID-19.</w:t>
      </w:r>
      <w:r w:rsidRPr="00E73D96">
        <w:rPr>
          <w:rFonts w:ascii="Times New Roman" w:hAnsi="Times New Roman" w:cs="Times New Roman"/>
          <w:b/>
          <w:bCs/>
          <w:noProof/>
          <w:sz w:val="24"/>
          <w:szCs w:val="24"/>
          <w:lang w:val="fr-BE"/>
        </w:rPr>
        <w:t xml:space="preserve"> </w:t>
      </w:r>
      <w:r w:rsidRPr="00E73D96">
        <w:rPr>
          <w:rFonts w:ascii="Times New Roman" w:hAnsi="Times New Roman" w:cs="Times New Roman"/>
          <w:noProof/>
          <w:sz w:val="24"/>
          <w:szCs w:val="24"/>
          <w:lang w:val="fr-BE"/>
        </w:rPr>
        <w:t>À cet égard, il convient de lutter publique</w:t>
      </w:r>
      <w:r w:rsidRPr="00E73D96">
        <w:rPr>
          <w:rFonts w:ascii="Times New Roman" w:hAnsi="Times New Roman" w:cs="Times New Roman"/>
          <w:noProof/>
          <w:sz w:val="24"/>
          <w:szCs w:val="24"/>
          <w:lang w:val="fr-BE"/>
        </w:rPr>
        <w:t>ment et avec force contre les tentatives visant à donner une image erronée des origines de la crise et des efforts déployés pour y faire face, tout en intensifiant la coopération afin de préserver la liberté d’expression et la liberté des médias.</w:t>
      </w:r>
    </w:p>
    <w:p w:rsidR="00BD582A" w:rsidRPr="00E73D96" w:rsidRDefault="00BD582A" w:rsidP="00E73D96">
      <w:pPr>
        <w:pStyle w:val="Body"/>
        <w:spacing w:after="120" w:line="240" w:lineRule="auto"/>
        <w:jc w:val="both"/>
        <w:rPr>
          <w:rFonts w:ascii="Times New Roman" w:eastAsia="Times New Roman" w:hAnsi="Times New Roman" w:cs="Times New Roman"/>
          <w:noProof/>
          <w:sz w:val="24"/>
          <w:szCs w:val="24"/>
          <w:lang w:val="fr-BE"/>
        </w:rPr>
      </w:pPr>
    </w:p>
    <w:p w:rsidR="00BD582A" w:rsidRPr="00E73D96" w:rsidRDefault="00E73D96" w:rsidP="00E73D96">
      <w:pPr>
        <w:pStyle w:val="ListParagraph"/>
        <w:keepNext/>
        <w:numPr>
          <w:ilvl w:val="0"/>
          <w:numId w:val="20"/>
        </w:numPr>
        <w:pBdr>
          <w:top w:val="nil"/>
          <w:left w:val="nil"/>
          <w:bottom w:val="nil"/>
          <w:right w:val="nil"/>
          <w:between w:val="nil"/>
          <w:bar w:val="nil"/>
        </w:pBdr>
        <w:spacing w:after="120"/>
        <w:jc w:val="both"/>
        <w:rPr>
          <w:rFonts w:ascii="Times New Roman" w:hAnsi="Times New Roman"/>
          <w:b/>
          <w:bCs/>
          <w:noProof/>
          <w:sz w:val="24"/>
          <w:szCs w:val="24"/>
        </w:rPr>
      </w:pPr>
      <w:r w:rsidRPr="00E73D96">
        <w:rPr>
          <w:rFonts w:ascii="Times New Roman" w:hAnsi="Times New Roman"/>
          <w:b/>
          <w:bCs/>
          <w:noProof/>
          <w:sz w:val="24"/>
          <w:szCs w:val="24"/>
        </w:rPr>
        <w:t xml:space="preserve">L’après </w:t>
      </w:r>
      <w:r w:rsidRPr="00E73D96">
        <w:rPr>
          <w:rFonts w:ascii="Times New Roman" w:hAnsi="Times New Roman"/>
          <w:b/>
          <w:bCs/>
          <w:noProof/>
          <w:sz w:val="24"/>
          <w:szCs w:val="24"/>
        </w:rPr>
        <w:t xml:space="preserve">COVID-19 – Un plan de relance de l’économie et de l’investissement </w:t>
      </w:r>
    </w:p>
    <w:p w:rsidR="00BD582A" w:rsidRPr="00E73D96" w:rsidRDefault="00E73D96" w:rsidP="00E73D96">
      <w:pPr>
        <w:pStyle w:val="FootnoteText"/>
        <w:spacing w:after="120"/>
        <w:jc w:val="both"/>
        <w:rPr>
          <w:rFonts w:ascii="Times New Roman" w:eastAsia="Times New Roman" w:hAnsi="Times New Roman"/>
          <w:noProof/>
          <w:sz w:val="24"/>
          <w:szCs w:val="24"/>
        </w:rPr>
      </w:pPr>
      <w:r w:rsidRPr="00E73D96">
        <w:rPr>
          <w:rFonts w:ascii="Times New Roman" w:hAnsi="Times New Roman"/>
          <w:noProof/>
          <w:sz w:val="24"/>
          <w:szCs w:val="24"/>
        </w:rPr>
        <w:t xml:space="preserve">Les Balkans occidentaux auront besoin d’un soutien continu pour </w:t>
      </w:r>
      <w:r w:rsidRPr="00E73D96">
        <w:rPr>
          <w:rFonts w:ascii="Times New Roman" w:hAnsi="Times New Roman"/>
          <w:b/>
          <w:bCs/>
          <w:noProof/>
          <w:sz w:val="24"/>
          <w:szCs w:val="24"/>
        </w:rPr>
        <w:t xml:space="preserve">faire face aux conséquences de la crise de la COVID-19. </w:t>
      </w:r>
      <w:r w:rsidRPr="00E73D96">
        <w:rPr>
          <w:rFonts w:ascii="Times New Roman" w:hAnsi="Times New Roman"/>
          <w:noProof/>
          <w:sz w:val="24"/>
          <w:szCs w:val="24"/>
        </w:rPr>
        <w:t>Lorsque les mesures d’urgence prises pour contenir la pandémie de CO</w:t>
      </w:r>
      <w:r w:rsidRPr="00E73D96">
        <w:rPr>
          <w:rFonts w:ascii="Times New Roman" w:hAnsi="Times New Roman"/>
          <w:noProof/>
          <w:sz w:val="24"/>
          <w:szCs w:val="24"/>
        </w:rPr>
        <w:t xml:space="preserve">VID-19 seront assouplies, une nouvelle phase de coopération étroite débutera, dont l’objectif sera de lutter contre les effets socio-économiques importants de la crise. Dans le courant de l’année, la Commission européenne présentera un </w:t>
      </w:r>
      <w:r w:rsidRPr="00E73D96">
        <w:rPr>
          <w:rFonts w:ascii="Times New Roman" w:hAnsi="Times New Roman"/>
          <w:b/>
          <w:bCs/>
          <w:noProof/>
          <w:sz w:val="24"/>
          <w:szCs w:val="24"/>
        </w:rPr>
        <w:t>plan économique et d</w:t>
      </w:r>
      <w:r w:rsidRPr="00E73D96">
        <w:rPr>
          <w:rFonts w:ascii="Times New Roman" w:hAnsi="Times New Roman"/>
          <w:b/>
          <w:bCs/>
          <w:noProof/>
          <w:sz w:val="24"/>
          <w:szCs w:val="24"/>
        </w:rPr>
        <w:t>'investissement pour la région</w:t>
      </w:r>
      <w:r w:rsidRPr="00E73D96">
        <w:rPr>
          <w:rFonts w:ascii="Times New Roman" w:hAnsi="Times New Roman"/>
          <w:noProof/>
          <w:sz w:val="24"/>
          <w:szCs w:val="24"/>
        </w:rPr>
        <w:t xml:space="preserve">. </w:t>
      </w: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 xml:space="preserve">Ce plan comprendra un </w:t>
      </w:r>
      <w:r w:rsidRPr="00E73D96">
        <w:rPr>
          <w:rFonts w:ascii="Times New Roman" w:hAnsi="Times New Roman" w:cs="Times New Roman"/>
          <w:b/>
          <w:bCs/>
          <w:noProof/>
          <w:sz w:val="24"/>
          <w:szCs w:val="24"/>
          <w:lang w:val="fr-BE"/>
        </w:rPr>
        <w:t>important train de mesures d'investissement pour la région</w:t>
      </w:r>
      <w:r w:rsidRPr="00E73D96">
        <w:rPr>
          <w:rFonts w:ascii="Times New Roman" w:hAnsi="Times New Roman" w:cs="Times New Roman"/>
          <w:noProof/>
          <w:sz w:val="24"/>
          <w:szCs w:val="24"/>
          <w:lang w:val="fr-BE"/>
        </w:rPr>
        <w:t xml:space="preserve">. Pour la </w:t>
      </w:r>
      <w:r w:rsidRPr="00E73D96">
        <w:rPr>
          <w:rFonts w:ascii="Times New Roman" w:hAnsi="Times New Roman" w:cs="Times New Roman"/>
          <w:b/>
          <w:bCs/>
          <w:noProof/>
          <w:sz w:val="24"/>
          <w:szCs w:val="24"/>
          <w:lang w:val="fr-BE"/>
        </w:rPr>
        <w:t>période 2021-2027</w:t>
      </w:r>
      <w:r w:rsidRPr="00E73D96">
        <w:rPr>
          <w:rFonts w:ascii="Times New Roman" w:hAnsi="Times New Roman" w:cs="Times New Roman"/>
          <w:noProof/>
          <w:sz w:val="24"/>
          <w:szCs w:val="24"/>
          <w:lang w:val="fr-BE"/>
        </w:rPr>
        <w:t>, la Commission avait proposé, le 2 mai 2018, une enveloppe totale de 14,5 milliards d'EUR en faveur de l’instrument</w:t>
      </w:r>
      <w:r w:rsidRPr="00E73D96">
        <w:rPr>
          <w:rFonts w:ascii="Times New Roman" w:hAnsi="Times New Roman" w:cs="Times New Roman"/>
          <w:noProof/>
          <w:sz w:val="24"/>
          <w:szCs w:val="24"/>
          <w:lang w:val="fr-BE"/>
        </w:rPr>
        <w:t xml:space="preserve"> de préadhésion III, dont la part du lion revenait aux Balkans occidentaux. La Commission prévoit un </w:t>
      </w:r>
      <w:r w:rsidRPr="00E73D96">
        <w:rPr>
          <w:rFonts w:ascii="Times New Roman" w:hAnsi="Times New Roman" w:cs="Times New Roman"/>
          <w:b/>
          <w:bCs/>
          <w:noProof/>
          <w:sz w:val="24"/>
          <w:szCs w:val="24"/>
          <w:lang w:val="fr-BE"/>
        </w:rPr>
        <w:t>doublement de l’octroi de subventions</w:t>
      </w:r>
      <w:r w:rsidRPr="00E73D96">
        <w:rPr>
          <w:rFonts w:ascii="Times New Roman" w:hAnsi="Times New Roman" w:cs="Times New Roman"/>
          <w:noProof/>
          <w:sz w:val="24"/>
          <w:szCs w:val="24"/>
          <w:lang w:val="fr-BE"/>
        </w:rPr>
        <w:t xml:space="preserve"> par l’intermédiaire du cadre d'investissement en faveur des Balkans occidentaux,</w:t>
      </w:r>
      <w:r w:rsidRPr="00E73D96">
        <w:rPr>
          <w:rFonts w:ascii="Times New Roman" w:hAnsi="Times New Roman" w:cs="Times New Roman"/>
          <w:noProof/>
          <w:sz w:val="24"/>
          <w:szCs w:val="24"/>
          <w:lang w:val="fr-BE"/>
        </w:rPr>
        <w:t xml:space="preserve"> </w:t>
      </w:r>
      <w:r w:rsidRPr="00E73D96">
        <w:rPr>
          <w:rFonts w:ascii="Times New Roman" w:hAnsi="Times New Roman" w:cs="Times New Roman"/>
          <w:noProof/>
          <w:sz w:val="24"/>
          <w:szCs w:val="24"/>
          <w:lang w:val="fr-BE"/>
        </w:rPr>
        <w:t>dont l’objectif est de soutenir le d</w:t>
      </w:r>
      <w:r w:rsidRPr="00E73D96">
        <w:rPr>
          <w:rFonts w:ascii="Times New Roman" w:hAnsi="Times New Roman" w:cs="Times New Roman"/>
          <w:noProof/>
          <w:sz w:val="24"/>
          <w:szCs w:val="24"/>
          <w:lang w:val="fr-BE"/>
        </w:rPr>
        <w:t>éveloppement du secteur privé, la connectivité, la numérisation, le pacte vert et les investissements sociaux. Elle prévoit aussi d’accroître sensiblement les</w:t>
      </w:r>
      <w:r w:rsidRPr="00E73D96">
        <w:rPr>
          <w:rFonts w:ascii="Times New Roman" w:hAnsi="Times New Roman" w:cs="Times New Roman"/>
          <w:b/>
          <w:bCs/>
          <w:noProof/>
          <w:sz w:val="24"/>
          <w:szCs w:val="24"/>
          <w:lang w:val="fr-BE"/>
        </w:rPr>
        <w:t xml:space="preserve"> garanties financières destinées à soutenir l’investissement public et privé </w:t>
      </w:r>
      <w:r w:rsidRPr="00E73D96">
        <w:rPr>
          <w:rFonts w:ascii="Times New Roman" w:hAnsi="Times New Roman" w:cs="Times New Roman"/>
          <w:noProof/>
          <w:sz w:val="24"/>
          <w:szCs w:val="24"/>
          <w:lang w:val="fr-BE"/>
        </w:rPr>
        <w:t>dans la région</w:t>
      </w:r>
      <w:r w:rsidRPr="00E73D96">
        <w:rPr>
          <w:rFonts w:ascii="Times New Roman" w:hAnsi="Times New Roman" w:cs="Times New Roman"/>
          <w:b/>
          <w:bCs/>
          <w:noProof/>
          <w:sz w:val="24"/>
          <w:szCs w:val="24"/>
          <w:lang w:val="fr-BE"/>
        </w:rPr>
        <w:t xml:space="preserve"> </w:t>
      </w:r>
      <w:r w:rsidRPr="00E73D96">
        <w:rPr>
          <w:rFonts w:ascii="Times New Roman" w:hAnsi="Times New Roman" w:cs="Times New Roman"/>
          <w:noProof/>
          <w:sz w:val="24"/>
          <w:szCs w:val="24"/>
          <w:lang w:val="fr-BE"/>
        </w:rPr>
        <w:t>par l’</w:t>
      </w:r>
      <w:r w:rsidRPr="00E73D96">
        <w:rPr>
          <w:rFonts w:ascii="Times New Roman" w:hAnsi="Times New Roman" w:cs="Times New Roman"/>
          <w:noProof/>
          <w:sz w:val="24"/>
          <w:szCs w:val="24"/>
          <w:lang w:val="fr-BE"/>
        </w:rPr>
        <w:t xml:space="preserve">intermédiaire de </w:t>
      </w:r>
      <w:r w:rsidRPr="00E73D96">
        <w:rPr>
          <w:rFonts w:ascii="Times New Roman" w:hAnsi="Times New Roman" w:cs="Times New Roman"/>
          <w:b/>
          <w:bCs/>
          <w:noProof/>
          <w:sz w:val="24"/>
          <w:szCs w:val="24"/>
          <w:lang w:val="fr-BE"/>
        </w:rPr>
        <w:t xml:space="preserve">l’instrument </w:t>
      </w:r>
      <w:r w:rsidRPr="00E73D96">
        <w:rPr>
          <w:rFonts w:ascii="Times New Roman" w:hAnsi="Times New Roman" w:cs="Times New Roman"/>
          <w:bCs/>
          <w:noProof/>
          <w:sz w:val="24"/>
          <w:szCs w:val="24"/>
          <w:lang w:val="fr-BE"/>
        </w:rPr>
        <w:t>spécial</w:t>
      </w:r>
      <w:r w:rsidRPr="00E73D96">
        <w:rPr>
          <w:rFonts w:ascii="Times New Roman" w:hAnsi="Times New Roman" w:cs="Times New Roman"/>
          <w:b/>
          <w:bCs/>
          <w:noProof/>
          <w:sz w:val="24"/>
          <w:szCs w:val="24"/>
          <w:lang w:val="fr-BE"/>
        </w:rPr>
        <w:t xml:space="preserve"> de garantie relevant du cadre d'investissement en faveur des Balkans occidentaux</w:t>
      </w:r>
      <w:r w:rsidRPr="00E73D96">
        <w:rPr>
          <w:rFonts w:ascii="Times New Roman" w:hAnsi="Times New Roman" w:cs="Times New Roman"/>
          <w:noProof/>
          <w:sz w:val="24"/>
          <w:szCs w:val="24"/>
          <w:lang w:val="fr-BE"/>
        </w:rPr>
        <w:t xml:space="preserve">. </w:t>
      </w: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 xml:space="preserve">La </w:t>
      </w:r>
      <w:r w:rsidRPr="00E73D96">
        <w:rPr>
          <w:rFonts w:ascii="Times New Roman" w:hAnsi="Times New Roman" w:cs="Times New Roman"/>
          <w:b/>
          <w:bCs/>
          <w:noProof/>
          <w:sz w:val="24"/>
          <w:szCs w:val="24"/>
          <w:lang w:val="fr-BE"/>
        </w:rPr>
        <w:t>transition écologique et la transformation numérique</w:t>
      </w:r>
      <w:r w:rsidRPr="00E73D96">
        <w:rPr>
          <w:rFonts w:ascii="Times New Roman" w:hAnsi="Times New Roman" w:cs="Times New Roman"/>
          <w:noProof/>
          <w:sz w:val="24"/>
          <w:szCs w:val="24"/>
          <w:lang w:val="fr-BE"/>
        </w:rPr>
        <w:t xml:space="preserve"> joueront un rôle central dans la relance et la modernisation des économies des Balkans occidentaux. Le fait d’investir dans des technologies et des capacités propres et numériques, dans le cadre d'une économie circulaire, contribuera à la création d'emplo</w:t>
      </w:r>
      <w:r w:rsidRPr="00E73D96">
        <w:rPr>
          <w:rFonts w:ascii="Times New Roman" w:hAnsi="Times New Roman" w:cs="Times New Roman"/>
          <w:noProof/>
          <w:sz w:val="24"/>
          <w:szCs w:val="24"/>
          <w:lang w:val="fr-BE"/>
        </w:rPr>
        <w:t xml:space="preserve">is et à la croissance. Un soutien sera également apporté en vue de renforcer la </w:t>
      </w:r>
      <w:r w:rsidRPr="00E73D96">
        <w:rPr>
          <w:rFonts w:ascii="Times New Roman" w:hAnsi="Times New Roman" w:cs="Times New Roman"/>
          <w:b/>
          <w:bCs/>
          <w:noProof/>
          <w:sz w:val="24"/>
          <w:szCs w:val="24"/>
          <w:lang w:val="fr-BE"/>
        </w:rPr>
        <w:t>compétitivité</w:t>
      </w:r>
      <w:r w:rsidRPr="00E73D96">
        <w:rPr>
          <w:rFonts w:ascii="Times New Roman" w:hAnsi="Times New Roman" w:cs="Times New Roman"/>
          <w:noProof/>
          <w:sz w:val="24"/>
          <w:szCs w:val="24"/>
          <w:lang w:val="fr-BE"/>
        </w:rPr>
        <w:t xml:space="preserve"> des économies des Balkans occidentaux, de manière à </w:t>
      </w:r>
      <w:r w:rsidRPr="00E73D96">
        <w:rPr>
          <w:rFonts w:ascii="Times New Roman" w:hAnsi="Times New Roman" w:cs="Times New Roman"/>
          <w:b/>
          <w:bCs/>
          <w:noProof/>
          <w:sz w:val="24"/>
          <w:szCs w:val="24"/>
          <w:lang w:val="fr-BE"/>
        </w:rPr>
        <w:t>mieux les connecter entre eux et avec l’UE</w:t>
      </w:r>
      <w:r w:rsidRPr="00E73D96">
        <w:rPr>
          <w:rFonts w:ascii="Times New Roman" w:hAnsi="Times New Roman" w:cs="Times New Roman"/>
          <w:noProof/>
          <w:sz w:val="24"/>
          <w:szCs w:val="24"/>
          <w:lang w:val="fr-BE"/>
        </w:rPr>
        <w:t xml:space="preserve">, et de les aider à </w:t>
      </w:r>
      <w:r w:rsidRPr="00E73D96">
        <w:rPr>
          <w:rFonts w:ascii="Times New Roman" w:hAnsi="Times New Roman" w:cs="Times New Roman"/>
          <w:b/>
          <w:bCs/>
          <w:noProof/>
          <w:sz w:val="24"/>
          <w:szCs w:val="24"/>
          <w:lang w:val="fr-BE"/>
        </w:rPr>
        <w:t>s’adapter à l’ère du numérique</w:t>
      </w:r>
      <w:r w:rsidRPr="00E73D96">
        <w:rPr>
          <w:rFonts w:ascii="Times New Roman" w:hAnsi="Times New Roman" w:cs="Times New Roman"/>
          <w:noProof/>
          <w:sz w:val="24"/>
          <w:szCs w:val="24"/>
          <w:lang w:val="fr-BE"/>
        </w:rPr>
        <w:t>. Une aide sera ap</w:t>
      </w:r>
      <w:r w:rsidRPr="00E73D96">
        <w:rPr>
          <w:rFonts w:ascii="Times New Roman" w:hAnsi="Times New Roman" w:cs="Times New Roman"/>
          <w:noProof/>
          <w:sz w:val="24"/>
          <w:szCs w:val="24"/>
          <w:lang w:val="fr-BE"/>
        </w:rPr>
        <w:t>portée à une économie au service des personnes, y compris par la coopération en matière d’</w:t>
      </w:r>
      <w:r w:rsidRPr="00E73D96">
        <w:rPr>
          <w:rFonts w:ascii="Times New Roman" w:hAnsi="Times New Roman" w:cs="Times New Roman"/>
          <w:b/>
          <w:bCs/>
          <w:noProof/>
          <w:sz w:val="24"/>
          <w:szCs w:val="24"/>
          <w:lang w:val="fr-BE"/>
        </w:rPr>
        <w:t>éducation</w:t>
      </w:r>
      <w:r w:rsidRPr="00E73D96">
        <w:rPr>
          <w:rFonts w:ascii="Times New Roman" w:hAnsi="Times New Roman" w:cs="Times New Roman"/>
          <w:noProof/>
          <w:sz w:val="24"/>
          <w:szCs w:val="24"/>
          <w:lang w:val="fr-BE"/>
        </w:rPr>
        <w:t xml:space="preserve"> et</w:t>
      </w:r>
      <w:r w:rsidRPr="00E73D96">
        <w:rPr>
          <w:rFonts w:ascii="Times New Roman" w:hAnsi="Times New Roman" w:cs="Times New Roman"/>
          <w:b/>
          <w:bCs/>
          <w:noProof/>
          <w:sz w:val="24"/>
          <w:szCs w:val="24"/>
          <w:lang w:val="fr-BE"/>
        </w:rPr>
        <w:t xml:space="preserve"> de santé</w:t>
      </w:r>
      <w:r w:rsidRPr="00E73D96">
        <w:rPr>
          <w:rFonts w:ascii="Times New Roman" w:hAnsi="Times New Roman" w:cs="Times New Roman"/>
          <w:bCs/>
          <w:noProof/>
          <w:sz w:val="24"/>
          <w:szCs w:val="24"/>
          <w:lang w:val="fr-BE"/>
        </w:rPr>
        <w:t>,</w:t>
      </w:r>
      <w:r w:rsidRPr="00E73D96">
        <w:rPr>
          <w:rFonts w:ascii="Times New Roman" w:hAnsi="Times New Roman" w:cs="Times New Roman"/>
          <w:b/>
          <w:bCs/>
          <w:noProof/>
          <w:sz w:val="24"/>
          <w:szCs w:val="24"/>
          <w:lang w:val="fr-BE"/>
        </w:rPr>
        <w:t xml:space="preserve"> </w:t>
      </w:r>
      <w:r w:rsidRPr="00E73D96">
        <w:rPr>
          <w:rFonts w:ascii="Times New Roman" w:hAnsi="Times New Roman" w:cs="Times New Roman"/>
          <w:noProof/>
          <w:sz w:val="24"/>
          <w:szCs w:val="24"/>
          <w:lang w:val="fr-BE"/>
        </w:rPr>
        <w:t>notamment pour renforcer la résilience des systèmes de santé</w:t>
      </w:r>
      <w:r w:rsidRPr="00E73D96">
        <w:rPr>
          <w:rFonts w:ascii="Times New Roman" w:hAnsi="Times New Roman" w:cs="Times New Roman"/>
          <w:bCs/>
          <w:noProof/>
          <w:sz w:val="24"/>
          <w:szCs w:val="24"/>
          <w:lang w:val="fr-BE"/>
        </w:rPr>
        <w:t xml:space="preserve">, </w:t>
      </w:r>
      <w:r w:rsidRPr="00E73D96">
        <w:rPr>
          <w:rFonts w:ascii="Times New Roman" w:hAnsi="Times New Roman" w:cs="Times New Roman"/>
          <w:b/>
          <w:bCs/>
          <w:noProof/>
          <w:sz w:val="24"/>
          <w:szCs w:val="24"/>
          <w:lang w:val="fr-BE"/>
        </w:rPr>
        <w:t>de protection sociale et d’inclusion</w:t>
      </w:r>
      <w:r w:rsidRPr="00E73D96">
        <w:rPr>
          <w:rFonts w:ascii="Times New Roman" w:hAnsi="Times New Roman" w:cs="Times New Roman"/>
          <w:noProof/>
          <w:sz w:val="24"/>
          <w:szCs w:val="24"/>
          <w:lang w:val="fr-BE"/>
        </w:rPr>
        <w:t xml:space="preserve">, d’égalité des chances, </w:t>
      </w:r>
      <w:r w:rsidRPr="00E73D96">
        <w:rPr>
          <w:rFonts w:ascii="Times New Roman" w:hAnsi="Times New Roman" w:cs="Times New Roman"/>
          <w:noProof/>
          <w:sz w:val="24"/>
          <w:szCs w:val="24"/>
          <w:lang w:val="fr-BE"/>
        </w:rPr>
        <w:t>d’accès au marché du</w:t>
      </w:r>
      <w:r w:rsidRPr="00E73D96">
        <w:rPr>
          <w:rFonts w:ascii="Times New Roman" w:hAnsi="Times New Roman" w:cs="Times New Roman"/>
          <w:noProof/>
          <w:sz w:val="24"/>
          <w:szCs w:val="24"/>
          <w:lang w:val="fr-BE"/>
        </w:rPr>
        <w:t xml:space="preserve"> travail, en particulier par la mise en place de politiques actives du marché du travail, </w:t>
      </w:r>
      <w:r w:rsidRPr="00E73D96">
        <w:rPr>
          <w:rFonts w:ascii="Times New Roman" w:hAnsi="Times New Roman" w:cs="Times New Roman"/>
          <w:b/>
          <w:noProof/>
          <w:sz w:val="24"/>
          <w:szCs w:val="24"/>
          <w:lang w:val="fr-BE"/>
        </w:rPr>
        <w:t>de conditions de travail équitables,</w:t>
      </w:r>
      <w:r w:rsidRPr="00E73D96">
        <w:rPr>
          <w:rFonts w:ascii="Times New Roman" w:hAnsi="Times New Roman" w:cs="Times New Roman"/>
          <w:noProof/>
          <w:sz w:val="24"/>
          <w:szCs w:val="24"/>
          <w:lang w:val="fr-BE"/>
        </w:rPr>
        <w:t xml:space="preserve"> au moyen notamment d’un soutien au dialogue social, </w:t>
      </w:r>
      <w:r w:rsidRPr="00E73D96">
        <w:rPr>
          <w:rFonts w:ascii="Times New Roman" w:hAnsi="Times New Roman" w:cs="Times New Roman"/>
          <w:noProof/>
          <w:sz w:val="24"/>
          <w:szCs w:val="24"/>
          <w:lang w:val="fr-BE"/>
        </w:rPr>
        <w:t>mais aussi en matière de culture, ainsi que de recherche et d’innovation.</w:t>
      </w:r>
    </w:p>
    <w:p w:rsidR="00BD582A" w:rsidRPr="00E73D96" w:rsidRDefault="00E73D96" w:rsidP="00E73D96">
      <w:pPr>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Une</w:t>
      </w:r>
      <w:r w:rsidRPr="00E73D96">
        <w:rPr>
          <w:rFonts w:ascii="Times New Roman" w:hAnsi="Times New Roman" w:cs="Times New Roman"/>
          <w:noProof/>
          <w:sz w:val="24"/>
          <w:szCs w:val="24"/>
          <w:lang w:val="fr-BE"/>
        </w:rPr>
        <w:t xml:space="preserve"> attention particulière sera accordée aux</w:t>
      </w:r>
      <w:r w:rsidRPr="00E73D96">
        <w:rPr>
          <w:rFonts w:ascii="Times New Roman" w:hAnsi="Times New Roman" w:cs="Times New Roman"/>
          <w:b/>
          <w:bCs/>
          <w:noProof/>
          <w:sz w:val="24"/>
          <w:szCs w:val="24"/>
          <w:lang w:val="fr-BE"/>
        </w:rPr>
        <w:t xml:space="preserve"> liaisons énergétiques et de transport, </w:t>
      </w:r>
      <w:r w:rsidRPr="00E73D96">
        <w:rPr>
          <w:rFonts w:ascii="Times New Roman" w:hAnsi="Times New Roman" w:cs="Times New Roman"/>
          <w:noProof/>
          <w:sz w:val="24"/>
          <w:szCs w:val="24"/>
          <w:lang w:val="fr-BE"/>
        </w:rPr>
        <w:t>qui jouent un rôle déterminant dans le développement économique de la région comme de l’UE. Cette année, l’UE entend proposer une enveloppe de 135 millions d’EUR</w:t>
      </w:r>
      <w:r w:rsidRPr="00E73D96">
        <w:rPr>
          <w:rFonts w:ascii="Times New Roman" w:eastAsia="Times New Roman" w:hAnsi="Times New Roman" w:cs="Times New Roman"/>
          <w:noProof/>
          <w:sz w:val="24"/>
          <w:szCs w:val="24"/>
          <w:vertAlign w:val="superscript"/>
          <w:lang w:val="fr-BE"/>
        </w:rPr>
        <w:footnoteReference w:id="10"/>
      </w:r>
      <w:r w:rsidRPr="00E73D96">
        <w:rPr>
          <w:rFonts w:ascii="Times New Roman" w:hAnsi="Times New Roman" w:cs="Times New Roman"/>
          <w:noProof/>
          <w:sz w:val="24"/>
          <w:szCs w:val="24"/>
          <w:lang w:val="fr-BE"/>
        </w:rPr>
        <w:t xml:space="preserve"> pour finance</w:t>
      </w:r>
      <w:r w:rsidRPr="00E73D96">
        <w:rPr>
          <w:rFonts w:ascii="Times New Roman" w:hAnsi="Times New Roman" w:cs="Times New Roman"/>
          <w:noProof/>
          <w:sz w:val="24"/>
          <w:szCs w:val="24"/>
          <w:lang w:val="fr-BE"/>
        </w:rPr>
        <w:t>r six projets supplémentaires d’investissement en faveur d’infrastructures, au titre du programme de connectivité pour les Balkans occidentaux. Grâce à cette enveloppe, l’</w:t>
      </w:r>
      <w:r w:rsidRPr="00E73D96">
        <w:rPr>
          <w:rFonts w:ascii="Times New Roman" w:hAnsi="Times New Roman" w:cs="Times New Roman"/>
          <w:b/>
          <w:bCs/>
          <w:noProof/>
          <w:sz w:val="24"/>
          <w:szCs w:val="24"/>
          <w:lang w:val="fr-BE"/>
        </w:rPr>
        <w:t>UE ira au-delà de son engagement pris en 2015 d’accorder un milliard d’EUR de subvent</w:t>
      </w:r>
      <w:r w:rsidRPr="00E73D96">
        <w:rPr>
          <w:rFonts w:ascii="Times New Roman" w:hAnsi="Times New Roman" w:cs="Times New Roman"/>
          <w:b/>
          <w:bCs/>
          <w:noProof/>
          <w:sz w:val="24"/>
          <w:szCs w:val="24"/>
          <w:lang w:val="fr-BE"/>
        </w:rPr>
        <w:t>ions de l’UE au programme de connectivité d’ici 2020,</w:t>
      </w:r>
      <w:r w:rsidRPr="00E73D96">
        <w:rPr>
          <w:rFonts w:ascii="Times New Roman" w:hAnsi="Times New Roman" w:cs="Times New Roman"/>
          <w:noProof/>
          <w:sz w:val="24"/>
          <w:szCs w:val="24"/>
          <w:lang w:val="fr-BE"/>
        </w:rPr>
        <w:t xml:space="preserve"> ce qui mobilisera à son tour près de 4 milliards d’EUR destinés à 45 investissements en faveur d’infrastructures reliant la région aux axes prioritaires des réseaux transeuropéens (TEN-T) et de projets </w:t>
      </w:r>
      <w:r w:rsidRPr="00E73D96">
        <w:rPr>
          <w:rFonts w:ascii="Times New Roman" w:hAnsi="Times New Roman" w:cs="Times New Roman"/>
          <w:noProof/>
          <w:sz w:val="24"/>
          <w:szCs w:val="24"/>
          <w:lang w:val="fr-BE"/>
        </w:rPr>
        <w:t>de la communauté énergétique d’intérêt mutuel. La coopération régionale active dans le cadre de la Communauté de l'énergie et de l’initiative de connexion énergétique pour l’Europe centrale et du Sud-Est est un bon point de départ pour accélérer l’investis</w:t>
      </w:r>
      <w:r w:rsidRPr="00E73D96">
        <w:rPr>
          <w:rFonts w:ascii="Times New Roman" w:hAnsi="Times New Roman" w:cs="Times New Roman"/>
          <w:noProof/>
          <w:sz w:val="24"/>
          <w:szCs w:val="24"/>
          <w:lang w:val="fr-BE"/>
        </w:rPr>
        <w:t>sement dans ces connexions énergétiques, de même que dans les projets d’énergies renouvelables et d’efficacité énergétique.</w:t>
      </w:r>
    </w:p>
    <w:p w:rsidR="00BD582A" w:rsidRPr="00E73D96" w:rsidRDefault="00E73D96" w:rsidP="00E73D96">
      <w:pPr>
        <w:pStyle w:val="Body"/>
        <w:spacing w:after="120" w:line="240" w:lineRule="auto"/>
        <w:jc w:val="both"/>
        <w:rPr>
          <w:rFonts w:ascii="Times New Roman" w:hAnsi="Times New Roman" w:cs="Times New Roman"/>
          <w:noProof/>
          <w:sz w:val="24"/>
          <w:szCs w:val="24"/>
          <w:lang w:val="fr-BE"/>
        </w:rPr>
      </w:pPr>
      <w:r w:rsidRPr="00E73D96">
        <w:rPr>
          <w:rFonts w:ascii="Times New Roman" w:hAnsi="Times New Roman" w:cs="Times New Roman"/>
          <w:noProof/>
          <w:sz w:val="24"/>
          <w:szCs w:val="24"/>
          <w:lang w:val="fr-BE"/>
        </w:rPr>
        <w:t xml:space="preserve">L’UE continuera d’accorder une attention particulière aux </w:t>
      </w:r>
      <w:r w:rsidRPr="00E73D96">
        <w:rPr>
          <w:rFonts w:ascii="Times New Roman" w:hAnsi="Times New Roman" w:cs="Times New Roman"/>
          <w:b/>
          <w:bCs/>
          <w:noProof/>
          <w:sz w:val="24"/>
          <w:szCs w:val="24"/>
          <w:lang w:val="fr-BE"/>
        </w:rPr>
        <w:t>défis auxquels font face les jeunes</w:t>
      </w:r>
      <w:r w:rsidRPr="00E73D96">
        <w:rPr>
          <w:rFonts w:ascii="Times New Roman" w:hAnsi="Times New Roman" w:cs="Times New Roman"/>
          <w:noProof/>
          <w:sz w:val="24"/>
          <w:szCs w:val="24"/>
          <w:lang w:val="fr-BE"/>
        </w:rPr>
        <w:t>, surtout en ce qui concerne les perspe</w:t>
      </w:r>
      <w:r w:rsidRPr="00E73D96">
        <w:rPr>
          <w:rFonts w:ascii="Times New Roman" w:hAnsi="Times New Roman" w:cs="Times New Roman"/>
          <w:noProof/>
          <w:sz w:val="24"/>
          <w:szCs w:val="24"/>
          <w:lang w:val="fr-BE"/>
        </w:rPr>
        <w:t xml:space="preserve">ctives d’emploi, les inégalités et la nécessité de retenir les jeunes talents dans la région </w:t>
      </w:r>
      <w:r w:rsidRPr="00E73D96">
        <w:rPr>
          <w:rFonts w:ascii="Times New Roman" w:hAnsi="Times New Roman" w:cs="Times New Roman"/>
          <w:b/>
          <w:bCs/>
          <w:noProof/>
          <w:sz w:val="24"/>
          <w:szCs w:val="24"/>
          <w:lang w:val="fr-BE"/>
        </w:rPr>
        <w:t>pour combattre la fuite des cerveaux</w:t>
      </w:r>
      <w:r w:rsidRPr="00E73D96">
        <w:rPr>
          <w:rFonts w:ascii="Times New Roman" w:hAnsi="Times New Roman" w:cs="Times New Roman"/>
          <w:b/>
          <w:noProof/>
          <w:color w:val="000000" w:themeColor="text1"/>
          <w:sz w:val="24"/>
          <w:szCs w:val="24"/>
          <w:lang w:val="fr-BE"/>
        </w:rPr>
        <w:t xml:space="preserve"> et relever les autres défis démographiques </w:t>
      </w:r>
      <w:r w:rsidRPr="00E73D96">
        <w:rPr>
          <w:rFonts w:ascii="Times New Roman" w:hAnsi="Times New Roman" w:cs="Times New Roman"/>
          <w:noProof/>
          <w:color w:val="000000" w:themeColor="text1"/>
          <w:sz w:val="24"/>
          <w:szCs w:val="24"/>
          <w:lang w:val="fr-BE"/>
        </w:rPr>
        <w:t>que rencontre la région</w:t>
      </w:r>
      <w:r w:rsidRPr="00E73D96">
        <w:rPr>
          <w:rFonts w:ascii="Times New Roman" w:hAnsi="Times New Roman" w:cs="Times New Roman"/>
          <w:noProof/>
          <w:sz w:val="24"/>
          <w:szCs w:val="24"/>
          <w:lang w:val="fr-BE"/>
        </w:rPr>
        <w:t>. Les fonds d’</w:t>
      </w:r>
      <w:r w:rsidRPr="00E73D96">
        <w:rPr>
          <w:rFonts w:ascii="Times New Roman" w:hAnsi="Times New Roman" w:cs="Times New Roman"/>
          <w:b/>
          <w:bCs/>
          <w:noProof/>
          <w:sz w:val="24"/>
          <w:szCs w:val="24"/>
          <w:lang w:val="fr-BE"/>
        </w:rPr>
        <w:t xml:space="preserve">Erasmus+ en faveur de la région ont doublé </w:t>
      </w:r>
      <w:r w:rsidRPr="00E73D96">
        <w:rPr>
          <w:rFonts w:ascii="Times New Roman" w:hAnsi="Times New Roman" w:cs="Times New Roman"/>
          <w:b/>
          <w:bCs/>
          <w:noProof/>
          <w:sz w:val="24"/>
          <w:szCs w:val="24"/>
          <w:lang w:val="fr-BE"/>
        </w:rPr>
        <w:t>depuis 2018</w:t>
      </w:r>
      <w:r w:rsidRPr="00E73D96">
        <w:rPr>
          <w:rFonts w:ascii="Times New Roman" w:hAnsi="Times New Roman" w:cs="Times New Roman"/>
          <w:noProof/>
          <w:sz w:val="24"/>
          <w:szCs w:val="24"/>
          <w:lang w:val="fr-BE"/>
        </w:rPr>
        <w:t xml:space="preserve"> (dépassant les 65 millions d’EUR), l’accent étant mis de plus en plus sur l’enseignement professionnel. À l’avenir, l’accent sera mis davantage sur les compétences numériques, de même que sur les compétences en matière de recherche et les compé</w:t>
      </w:r>
      <w:r w:rsidRPr="00E73D96">
        <w:rPr>
          <w:rFonts w:ascii="Times New Roman" w:hAnsi="Times New Roman" w:cs="Times New Roman"/>
          <w:noProof/>
          <w:sz w:val="24"/>
          <w:szCs w:val="24"/>
          <w:lang w:val="fr-BE"/>
        </w:rPr>
        <w:t xml:space="preserve">tences entrepreneuriales, afin de permettre aux jeunes de réussir sur le plan économique et dans l’ère numérique. </w:t>
      </w:r>
    </w:p>
    <w:p w:rsidR="00BD582A" w:rsidRPr="00E73D96" w:rsidRDefault="00E73D96" w:rsidP="00E73D96">
      <w:pPr>
        <w:pStyle w:val="Body"/>
        <w:spacing w:after="120" w:line="240" w:lineRule="auto"/>
        <w:jc w:val="both"/>
        <w:rPr>
          <w:rFonts w:ascii="Times New Roman" w:eastAsia="Times New Roman" w:hAnsi="Times New Roman" w:cs="Times New Roman"/>
          <w:b/>
          <w:bCs/>
          <w:noProof/>
          <w:sz w:val="24"/>
          <w:szCs w:val="24"/>
          <w:lang w:val="fr-BE"/>
        </w:rPr>
      </w:pPr>
      <w:r w:rsidRPr="00E73D96">
        <w:rPr>
          <w:rFonts w:ascii="Times New Roman" w:hAnsi="Times New Roman" w:cs="Times New Roman"/>
          <w:noProof/>
          <w:sz w:val="24"/>
          <w:szCs w:val="24"/>
          <w:lang w:val="fr-BE"/>
        </w:rPr>
        <w:t xml:space="preserve">La pandémie de COVID-19 a clairement mis en évidence l’importance du bon fonctionnement du </w:t>
      </w:r>
      <w:r w:rsidRPr="00E73D96">
        <w:rPr>
          <w:rFonts w:ascii="Times New Roman" w:hAnsi="Times New Roman" w:cs="Times New Roman"/>
          <w:b/>
          <w:bCs/>
          <w:noProof/>
          <w:sz w:val="24"/>
          <w:szCs w:val="24"/>
          <w:lang w:val="fr-BE"/>
        </w:rPr>
        <w:t>marché unique</w:t>
      </w:r>
      <w:r w:rsidRPr="00E73D96">
        <w:rPr>
          <w:rFonts w:ascii="Times New Roman" w:hAnsi="Times New Roman" w:cs="Times New Roman"/>
          <w:noProof/>
          <w:sz w:val="24"/>
          <w:szCs w:val="24"/>
          <w:lang w:val="fr-BE"/>
        </w:rPr>
        <w:t xml:space="preserve"> de l’UE, clef de notre </w:t>
      </w:r>
      <w:r w:rsidRPr="00E73D96">
        <w:rPr>
          <w:rFonts w:ascii="Times New Roman" w:hAnsi="Times New Roman" w:cs="Times New Roman"/>
          <w:b/>
          <w:bCs/>
          <w:noProof/>
          <w:sz w:val="24"/>
          <w:szCs w:val="24"/>
          <w:lang w:val="fr-BE"/>
        </w:rPr>
        <w:t>prospérité</w:t>
      </w:r>
      <w:r w:rsidRPr="00E73D96">
        <w:rPr>
          <w:rFonts w:ascii="Times New Roman" w:hAnsi="Times New Roman" w:cs="Times New Roman"/>
          <w:noProof/>
          <w:sz w:val="24"/>
          <w:szCs w:val="24"/>
          <w:lang w:val="fr-BE"/>
        </w:rPr>
        <w:t xml:space="preserve"> et</w:t>
      </w:r>
      <w:r w:rsidRPr="00E73D96">
        <w:rPr>
          <w:rFonts w:ascii="Times New Roman" w:hAnsi="Times New Roman" w:cs="Times New Roman"/>
          <w:noProof/>
          <w:sz w:val="24"/>
          <w:szCs w:val="24"/>
          <w:lang w:val="fr-BE"/>
        </w:rPr>
        <w:t xml:space="preserve"> de notre </w:t>
      </w:r>
      <w:r w:rsidRPr="00E73D96">
        <w:rPr>
          <w:rFonts w:ascii="Times New Roman" w:hAnsi="Times New Roman" w:cs="Times New Roman"/>
          <w:b/>
          <w:bCs/>
          <w:noProof/>
          <w:sz w:val="24"/>
          <w:szCs w:val="24"/>
          <w:lang w:val="fr-BE"/>
        </w:rPr>
        <w:t xml:space="preserve">résilience. </w:t>
      </w:r>
      <w:r w:rsidRPr="00E73D96">
        <w:rPr>
          <w:rFonts w:ascii="Times New Roman" w:hAnsi="Times New Roman" w:cs="Times New Roman"/>
          <w:noProof/>
          <w:sz w:val="24"/>
          <w:szCs w:val="24"/>
          <w:lang w:val="fr-BE"/>
        </w:rPr>
        <w:t xml:space="preserve">Elle a également souligné le niveau élevé d’interdépendance socio-économique entre les économies de l’UE et celles des Balkans occidentaux, ainsi qu’au sein de cette région. Il sera donc essentiel de </w:t>
      </w:r>
      <w:r w:rsidRPr="00E73D96">
        <w:rPr>
          <w:rFonts w:ascii="Times New Roman" w:hAnsi="Times New Roman" w:cs="Times New Roman"/>
          <w:b/>
          <w:bCs/>
          <w:noProof/>
          <w:sz w:val="24"/>
          <w:szCs w:val="24"/>
          <w:lang w:val="fr-BE"/>
        </w:rPr>
        <w:t>connecter plus efficacement les éc</w:t>
      </w:r>
      <w:r w:rsidRPr="00E73D96">
        <w:rPr>
          <w:rFonts w:ascii="Times New Roman" w:hAnsi="Times New Roman" w:cs="Times New Roman"/>
          <w:b/>
          <w:bCs/>
          <w:noProof/>
          <w:sz w:val="24"/>
          <w:szCs w:val="24"/>
          <w:lang w:val="fr-BE"/>
        </w:rPr>
        <w:t>onomies des Balkans occidentaux, à la fois entre elles et avec l’UE</w:t>
      </w:r>
      <w:r w:rsidRPr="00E73D96">
        <w:rPr>
          <w:rFonts w:ascii="Times New Roman" w:hAnsi="Times New Roman" w:cs="Times New Roman"/>
          <w:noProof/>
          <w:sz w:val="24"/>
          <w:szCs w:val="24"/>
          <w:lang w:val="fr-BE"/>
        </w:rPr>
        <w:t xml:space="preserve">. Cela nécessite de la part de l’ensemble des partenaires des Balkans occidentaux qu’ils s’engagent davantage à approfondir leur intégration économique régionale inclusive, à </w:t>
      </w:r>
      <w:r w:rsidRPr="00E73D96">
        <w:rPr>
          <w:rFonts w:ascii="Times New Roman" w:hAnsi="Times New Roman" w:cs="Times New Roman"/>
          <w:b/>
          <w:bCs/>
          <w:noProof/>
          <w:sz w:val="24"/>
          <w:szCs w:val="24"/>
          <w:lang w:val="fr-BE"/>
        </w:rPr>
        <w:t>mettre en plac</w:t>
      </w:r>
      <w:r w:rsidRPr="00E73D96">
        <w:rPr>
          <w:rFonts w:ascii="Times New Roman" w:hAnsi="Times New Roman" w:cs="Times New Roman"/>
          <w:b/>
          <w:bCs/>
          <w:noProof/>
          <w:sz w:val="24"/>
          <w:szCs w:val="24"/>
          <w:lang w:val="fr-BE"/>
        </w:rPr>
        <w:t xml:space="preserve">e un marché commun régional, </w:t>
      </w:r>
      <w:r w:rsidRPr="00E73D96">
        <w:rPr>
          <w:rFonts w:ascii="Times New Roman" w:hAnsi="Times New Roman" w:cs="Times New Roman"/>
          <w:noProof/>
          <w:sz w:val="24"/>
          <w:szCs w:val="24"/>
          <w:lang w:val="fr-BE"/>
        </w:rPr>
        <w:t xml:space="preserve">comme convenu, sur la base de l’acquis de l’UE, et à respecter les engagements de l’UE, ce qui aura aussi pour effet de </w:t>
      </w:r>
      <w:r w:rsidRPr="00E73D96">
        <w:rPr>
          <w:rFonts w:ascii="Times New Roman" w:hAnsi="Times New Roman" w:cs="Times New Roman"/>
          <w:b/>
          <w:bCs/>
          <w:noProof/>
          <w:sz w:val="24"/>
          <w:szCs w:val="24"/>
          <w:lang w:val="fr-BE"/>
        </w:rPr>
        <w:t xml:space="preserve">faire de la région un lieu plus attrayant pour les investissements. </w:t>
      </w: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 xml:space="preserve">Les </w:t>
      </w:r>
      <w:r w:rsidRPr="00E73D96">
        <w:rPr>
          <w:rFonts w:ascii="Times New Roman" w:hAnsi="Times New Roman" w:cs="Times New Roman"/>
          <w:b/>
          <w:bCs/>
          <w:noProof/>
          <w:sz w:val="24"/>
          <w:szCs w:val="24"/>
          <w:lang w:val="fr-BE"/>
        </w:rPr>
        <w:t>organisations régionales</w:t>
      </w:r>
      <w:r w:rsidRPr="00E73D96">
        <w:rPr>
          <w:rFonts w:ascii="Times New Roman" w:hAnsi="Times New Roman" w:cs="Times New Roman"/>
          <w:noProof/>
          <w:sz w:val="24"/>
          <w:szCs w:val="24"/>
          <w:lang w:val="fr-BE"/>
        </w:rPr>
        <w:t xml:space="preserve"> - comme l</w:t>
      </w:r>
      <w:r w:rsidRPr="00E73D96">
        <w:rPr>
          <w:rFonts w:ascii="Times New Roman" w:hAnsi="Times New Roman" w:cs="Times New Roman"/>
          <w:noProof/>
          <w:sz w:val="24"/>
          <w:szCs w:val="24"/>
          <w:lang w:val="fr-BE"/>
        </w:rPr>
        <w:t>e Conseil de coopération régionale, la Communauté des transports, la Communauté de l’énergie et la zone de libre-échange des pays d'Europe centrale et orientale - jouent un rôle déterminant à cet égard. Les projets financés par l’UE ont également joué un r</w:t>
      </w:r>
      <w:r w:rsidRPr="00E73D96">
        <w:rPr>
          <w:rFonts w:ascii="Times New Roman" w:hAnsi="Times New Roman" w:cs="Times New Roman"/>
          <w:noProof/>
          <w:sz w:val="24"/>
          <w:szCs w:val="24"/>
          <w:lang w:val="fr-BE"/>
        </w:rPr>
        <w:t>ôle fondamental en réduisant les obstacles au commerce.</w:t>
      </w:r>
      <w:r w:rsidRPr="00E73D96">
        <w:rPr>
          <w:rFonts w:ascii="Times New Roman" w:eastAsia="Times New Roman" w:hAnsi="Times New Roman" w:cs="Times New Roman"/>
          <w:noProof/>
          <w:sz w:val="24"/>
          <w:szCs w:val="24"/>
          <w:vertAlign w:val="superscript"/>
          <w:lang w:val="fr-BE"/>
        </w:rPr>
        <w:footnoteReference w:id="11"/>
      </w: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 xml:space="preserve">Toutes ces mesures de soutien ont les mêmes objectifs, à savoir transformer les Balkans occidentaux en </w:t>
      </w:r>
      <w:r w:rsidRPr="00E73D96">
        <w:rPr>
          <w:rFonts w:ascii="Times New Roman" w:hAnsi="Times New Roman" w:cs="Times New Roman"/>
          <w:b/>
          <w:bCs/>
          <w:noProof/>
          <w:sz w:val="24"/>
          <w:szCs w:val="24"/>
          <w:lang w:val="fr-BE"/>
        </w:rPr>
        <w:t>économies de marché viables capables de s’intégrer pleinement dans le marché unique de l’UE</w:t>
      </w:r>
      <w:r w:rsidRPr="00E73D96">
        <w:rPr>
          <w:rFonts w:ascii="Times New Roman" w:hAnsi="Times New Roman" w:cs="Times New Roman"/>
          <w:noProof/>
          <w:sz w:val="24"/>
          <w:szCs w:val="24"/>
          <w:lang w:val="fr-BE"/>
        </w:rPr>
        <w:t>, amé</w:t>
      </w:r>
      <w:r w:rsidRPr="00E73D96">
        <w:rPr>
          <w:rFonts w:ascii="Times New Roman" w:hAnsi="Times New Roman" w:cs="Times New Roman"/>
          <w:noProof/>
          <w:sz w:val="24"/>
          <w:szCs w:val="24"/>
          <w:lang w:val="fr-BE"/>
        </w:rPr>
        <w:t>liorer le climat des affaires et des investissements, en contribuant ainsi à augmenter les flux d’échanges au sein de la région et avec l’UE</w:t>
      </w:r>
      <w:r w:rsidRPr="00E73D96">
        <w:rPr>
          <w:rFonts w:ascii="Times New Roman" w:eastAsia="Times New Roman" w:hAnsi="Times New Roman" w:cs="Times New Roman"/>
          <w:noProof/>
          <w:sz w:val="24"/>
          <w:szCs w:val="24"/>
          <w:vertAlign w:val="superscript"/>
          <w:lang w:val="fr-BE"/>
        </w:rPr>
        <w:footnoteReference w:id="12"/>
      </w:r>
      <w:r w:rsidRPr="00E73D96">
        <w:rPr>
          <w:rFonts w:ascii="Times New Roman" w:hAnsi="Times New Roman" w:cs="Times New Roman"/>
          <w:noProof/>
          <w:sz w:val="24"/>
          <w:szCs w:val="24"/>
          <w:lang w:val="fr-BE"/>
        </w:rPr>
        <w:t>, et créer des emplois et des perspectives d’avenir, avec pour résultante une réduction de la fuite des cerveaux ho</w:t>
      </w:r>
      <w:r w:rsidRPr="00E73D96">
        <w:rPr>
          <w:rFonts w:ascii="Times New Roman" w:hAnsi="Times New Roman" w:cs="Times New Roman"/>
          <w:noProof/>
          <w:sz w:val="24"/>
          <w:szCs w:val="24"/>
          <w:lang w:val="fr-BE"/>
        </w:rPr>
        <w:t>rs de la région. La crise actuelle ne saurait dès lors détourner l’attention des faiblesses structurelles majeures que sont notamment un taux de chômage élevé (en particulier chez les jeunes), une faible participation au marché du travail (en particulier c</w:t>
      </w:r>
      <w:r w:rsidRPr="00E73D96">
        <w:rPr>
          <w:rFonts w:ascii="Times New Roman" w:hAnsi="Times New Roman" w:cs="Times New Roman"/>
          <w:noProof/>
          <w:sz w:val="24"/>
          <w:szCs w:val="24"/>
          <w:lang w:val="fr-BE"/>
        </w:rPr>
        <w:t>hez les femmes), une inadéquation entre les compétences et les besoins du marché du travail, une protection sociale insuffisante, une faible productivité agricole et une faible compétitivité de l’agriculture, ainsi qu’un manque de diversification de nos ap</w:t>
      </w:r>
      <w:r w:rsidRPr="00E73D96">
        <w:rPr>
          <w:rFonts w:ascii="Times New Roman" w:hAnsi="Times New Roman" w:cs="Times New Roman"/>
          <w:noProof/>
          <w:sz w:val="24"/>
          <w:szCs w:val="24"/>
          <w:lang w:val="fr-BE"/>
        </w:rPr>
        <w:t xml:space="preserve">provisionnements énergétiques et une faible efficacité énergétique. Le solide dialogue économique et financier reposant sur les </w:t>
      </w:r>
      <w:r w:rsidRPr="00E73D96">
        <w:rPr>
          <w:rFonts w:ascii="Times New Roman" w:hAnsi="Times New Roman" w:cs="Times New Roman"/>
          <w:b/>
          <w:bCs/>
          <w:noProof/>
          <w:sz w:val="24"/>
          <w:szCs w:val="24"/>
          <w:lang w:val="fr-BE"/>
        </w:rPr>
        <w:t>programmes de réformes économiques</w:t>
      </w:r>
      <w:r w:rsidRPr="00E73D96">
        <w:rPr>
          <w:rFonts w:ascii="Times New Roman" w:hAnsi="Times New Roman" w:cs="Times New Roman"/>
          <w:noProof/>
          <w:sz w:val="24"/>
          <w:szCs w:val="24"/>
          <w:lang w:val="fr-BE"/>
        </w:rPr>
        <w:t xml:space="preserve"> des partenaires demeure un cadre important pour guider et soutenir les réformes macroéconomiq</w:t>
      </w:r>
      <w:r w:rsidRPr="00E73D96">
        <w:rPr>
          <w:rFonts w:ascii="Times New Roman" w:hAnsi="Times New Roman" w:cs="Times New Roman"/>
          <w:noProof/>
          <w:sz w:val="24"/>
          <w:szCs w:val="24"/>
          <w:lang w:val="fr-BE"/>
        </w:rPr>
        <w:t xml:space="preserve">ues et structurelles.   </w:t>
      </w: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 xml:space="preserve">Le plan économique et d'investissement a pour but </w:t>
      </w:r>
      <w:r w:rsidRPr="00E73D96">
        <w:rPr>
          <w:rFonts w:ascii="Times New Roman" w:hAnsi="Times New Roman" w:cs="Times New Roman"/>
          <w:b/>
          <w:bCs/>
          <w:noProof/>
          <w:sz w:val="24"/>
          <w:szCs w:val="24"/>
          <w:lang w:val="fr-BE"/>
        </w:rPr>
        <w:t>d’encourager la relance à long terme</w:t>
      </w:r>
      <w:r w:rsidRPr="00E73D96">
        <w:rPr>
          <w:rFonts w:ascii="Times New Roman" w:hAnsi="Times New Roman" w:cs="Times New Roman"/>
          <w:noProof/>
          <w:sz w:val="24"/>
          <w:szCs w:val="24"/>
          <w:lang w:val="fr-BE"/>
        </w:rPr>
        <w:t>, de stimuler la croissance économique et de soutenir les réformes requises pour progresser sur la voie de l’adhésion à l’UE. Ce plan s’inspirera</w:t>
      </w:r>
      <w:r w:rsidRPr="00E73D96">
        <w:rPr>
          <w:rFonts w:ascii="Times New Roman" w:hAnsi="Times New Roman" w:cs="Times New Roman"/>
          <w:noProof/>
          <w:sz w:val="24"/>
          <w:szCs w:val="24"/>
          <w:lang w:val="fr-BE"/>
        </w:rPr>
        <w:t xml:space="preserve"> des priorités définies par la Commission européenne pour ses propres travaux lors de la période 2019-2024, et s’alignera sur elles. </w:t>
      </w:r>
    </w:p>
    <w:p w:rsidR="00BD582A" w:rsidRPr="00E73D96" w:rsidRDefault="00BD582A" w:rsidP="00E73D96">
      <w:pPr>
        <w:pStyle w:val="Body"/>
        <w:spacing w:after="120" w:line="240" w:lineRule="auto"/>
        <w:jc w:val="both"/>
        <w:rPr>
          <w:rFonts w:ascii="Times New Roman" w:eastAsia="Times New Roman" w:hAnsi="Times New Roman" w:cs="Times New Roman"/>
          <w:noProof/>
          <w:sz w:val="24"/>
          <w:szCs w:val="24"/>
          <w:lang w:val="fr-BE"/>
        </w:rPr>
      </w:pPr>
    </w:p>
    <w:p w:rsidR="00BD582A" w:rsidRPr="00E73D96" w:rsidRDefault="00E73D96" w:rsidP="00E73D96">
      <w:pPr>
        <w:pStyle w:val="ListParagraph"/>
        <w:keepNext/>
        <w:numPr>
          <w:ilvl w:val="0"/>
          <w:numId w:val="20"/>
        </w:numPr>
        <w:pBdr>
          <w:top w:val="nil"/>
          <w:left w:val="nil"/>
          <w:bottom w:val="nil"/>
          <w:right w:val="nil"/>
          <w:between w:val="nil"/>
          <w:bar w:val="nil"/>
        </w:pBdr>
        <w:spacing w:after="120"/>
        <w:jc w:val="both"/>
        <w:rPr>
          <w:rFonts w:ascii="Times New Roman" w:hAnsi="Times New Roman"/>
          <w:b/>
          <w:bCs/>
          <w:noProof/>
          <w:sz w:val="24"/>
          <w:szCs w:val="24"/>
        </w:rPr>
      </w:pPr>
      <w:r w:rsidRPr="00E73D96">
        <w:rPr>
          <w:rFonts w:ascii="Times New Roman" w:hAnsi="Times New Roman"/>
          <w:b/>
          <w:bCs/>
          <w:noProof/>
          <w:sz w:val="24"/>
          <w:szCs w:val="24"/>
        </w:rPr>
        <w:t xml:space="preserve">Aborder la question des réformes fondamentales </w:t>
      </w: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 xml:space="preserve">On ne surmontera efficacement la crise actuelle que si </w:t>
      </w:r>
      <w:r w:rsidRPr="00E73D96">
        <w:rPr>
          <w:rFonts w:ascii="Times New Roman" w:hAnsi="Times New Roman" w:cs="Times New Roman"/>
          <w:b/>
          <w:bCs/>
          <w:noProof/>
          <w:sz w:val="24"/>
          <w:szCs w:val="24"/>
          <w:lang w:val="fr-BE"/>
        </w:rPr>
        <w:t xml:space="preserve">les pays </w:t>
      </w:r>
      <w:r w:rsidRPr="00E73D96">
        <w:rPr>
          <w:rFonts w:ascii="Times New Roman" w:hAnsi="Times New Roman" w:cs="Times New Roman"/>
          <w:b/>
          <w:bCs/>
          <w:noProof/>
          <w:sz w:val="24"/>
          <w:szCs w:val="24"/>
          <w:lang w:val="fr-BE"/>
        </w:rPr>
        <w:t>continuent à tenir leurs engagements en matière de réformes</w:t>
      </w:r>
      <w:r w:rsidRPr="00E73D96">
        <w:rPr>
          <w:rFonts w:ascii="Times New Roman" w:hAnsi="Times New Roman" w:cs="Times New Roman"/>
          <w:noProof/>
          <w:sz w:val="24"/>
          <w:szCs w:val="24"/>
          <w:lang w:val="fr-BE"/>
        </w:rPr>
        <w:t xml:space="preserve"> et à obtenir des résultats tangibles lors de leur mise en œuvre. C’est là une condition essentielle à la concrétisation de leur perspective européenne. Outre la poursuite des réformes économiques,</w:t>
      </w:r>
      <w:r w:rsidRPr="00E73D96">
        <w:rPr>
          <w:rFonts w:ascii="Times New Roman" w:hAnsi="Times New Roman" w:cs="Times New Roman"/>
          <w:noProof/>
          <w:sz w:val="24"/>
          <w:szCs w:val="24"/>
          <w:lang w:val="fr-BE"/>
        </w:rPr>
        <w:t xml:space="preserve"> cela nécessite de </w:t>
      </w:r>
      <w:r w:rsidRPr="00E73D96">
        <w:rPr>
          <w:rFonts w:ascii="Times New Roman" w:hAnsi="Times New Roman" w:cs="Times New Roman"/>
          <w:b/>
          <w:bCs/>
          <w:noProof/>
          <w:sz w:val="24"/>
          <w:szCs w:val="24"/>
          <w:lang w:val="fr-BE"/>
        </w:rPr>
        <w:t>mettre davantage l'accent sur l’état de droit, le fonctionnement d’institutions démocratiques et l’administration publique</w:t>
      </w:r>
      <w:r w:rsidRPr="00E73D96">
        <w:rPr>
          <w:rFonts w:ascii="Times New Roman" w:hAnsi="Times New Roman" w:cs="Times New Roman"/>
          <w:noProof/>
          <w:sz w:val="24"/>
          <w:szCs w:val="24"/>
          <w:lang w:val="fr-BE"/>
        </w:rPr>
        <w:t xml:space="preserve">. </w:t>
      </w: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Il est capital de renforcer l’</w:t>
      </w:r>
      <w:r w:rsidRPr="00E73D96">
        <w:rPr>
          <w:rFonts w:ascii="Times New Roman" w:hAnsi="Times New Roman" w:cs="Times New Roman"/>
          <w:b/>
          <w:bCs/>
          <w:noProof/>
          <w:sz w:val="24"/>
          <w:szCs w:val="24"/>
          <w:lang w:val="fr-BE"/>
        </w:rPr>
        <w:t>état de droit sous tous ses aspects</w:t>
      </w:r>
      <w:r w:rsidRPr="00E73D96">
        <w:rPr>
          <w:rFonts w:ascii="Times New Roman" w:hAnsi="Times New Roman" w:cs="Times New Roman"/>
          <w:noProof/>
          <w:sz w:val="24"/>
          <w:szCs w:val="24"/>
          <w:lang w:val="fr-BE"/>
        </w:rPr>
        <w:t>. Cela passe par un système judiciaire indépend</w:t>
      </w:r>
      <w:r w:rsidRPr="00E73D96">
        <w:rPr>
          <w:rFonts w:ascii="Times New Roman" w:hAnsi="Times New Roman" w:cs="Times New Roman"/>
          <w:noProof/>
          <w:sz w:val="24"/>
          <w:szCs w:val="24"/>
          <w:lang w:val="fr-BE"/>
        </w:rPr>
        <w:t>ant et efficace, un bilan solide en matière de lutte contre la corruption, la criminalité organisée et le terrorisme, ainsi qu’une protection efficace des droits fondamentaux englobant la liberté d’expression et la liberté des médias. Plus particulièrement</w:t>
      </w:r>
      <w:r w:rsidRPr="00E73D96">
        <w:rPr>
          <w:rFonts w:ascii="Times New Roman" w:hAnsi="Times New Roman" w:cs="Times New Roman"/>
          <w:noProof/>
          <w:sz w:val="24"/>
          <w:szCs w:val="24"/>
          <w:lang w:val="fr-BE"/>
        </w:rPr>
        <w:t>, il est de la plus haute importance que les mesures d’urgence prises durant la crise ne le soient pas aux dépens des principes et valeurs fondamentaux et que ces mesures demeurent proportionnées et circonscrites dans le temps et fassent l’objet d’un contr</w:t>
      </w:r>
      <w:r w:rsidRPr="00E73D96">
        <w:rPr>
          <w:rFonts w:ascii="Times New Roman" w:hAnsi="Times New Roman" w:cs="Times New Roman"/>
          <w:noProof/>
          <w:sz w:val="24"/>
          <w:szCs w:val="24"/>
          <w:lang w:val="fr-BE"/>
        </w:rPr>
        <w:t xml:space="preserve">ôle démocratique. </w:t>
      </w:r>
    </w:p>
    <w:p w:rsidR="00BD582A" w:rsidRPr="00E73D96" w:rsidRDefault="00E73D96" w:rsidP="00E73D96">
      <w:pPr>
        <w:pStyle w:val="Body"/>
        <w:spacing w:after="120" w:line="240" w:lineRule="auto"/>
        <w:jc w:val="both"/>
        <w:rPr>
          <w:rFonts w:ascii="Times New Roman" w:eastAsia="Times New Roman" w:hAnsi="Times New Roman" w:cs="Times New Roman"/>
          <w:b/>
          <w:bCs/>
          <w:noProof/>
          <w:sz w:val="24"/>
          <w:szCs w:val="24"/>
          <w:lang w:val="fr-BE"/>
        </w:rPr>
      </w:pPr>
      <w:r w:rsidRPr="00E73D96">
        <w:rPr>
          <w:rFonts w:ascii="Times New Roman" w:hAnsi="Times New Roman" w:cs="Times New Roman"/>
          <w:noProof/>
          <w:sz w:val="24"/>
          <w:szCs w:val="24"/>
          <w:lang w:val="fr-BE"/>
        </w:rPr>
        <w:t xml:space="preserve">En s'appuyant sur la coopération étendue existante, il est primordial de veiller à la poursuite active des engagements au moyen d’actions conjointes et définies d’un commun accord en matière de </w:t>
      </w:r>
      <w:r w:rsidRPr="00E73D96">
        <w:rPr>
          <w:rFonts w:ascii="Times New Roman" w:hAnsi="Times New Roman" w:cs="Times New Roman"/>
          <w:b/>
          <w:bCs/>
          <w:noProof/>
          <w:sz w:val="24"/>
          <w:szCs w:val="24"/>
          <w:lang w:val="fr-BE"/>
        </w:rPr>
        <w:t>sécurité</w:t>
      </w:r>
      <w:r w:rsidRPr="00E73D96">
        <w:rPr>
          <w:rFonts w:ascii="Times New Roman" w:hAnsi="Times New Roman" w:cs="Times New Roman"/>
          <w:noProof/>
          <w:sz w:val="24"/>
          <w:szCs w:val="24"/>
          <w:lang w:val="fr-BE"/>
        </w:rPr>
        <w:t>, notamment de lutte contre le blan</w:t>
      </w:r>
      <w:r w:rsidRPr="00E73D96">
        <w:rPr>
          <w:rFonts w:ascii="Times New Roman" w:hAnsi="Times New Roman" w:cs="Times New Roman"/>
          <w:noProof/>
          <w:sz w:val="24"/>
          <w:szCs w:val="24"/>
          <w:lang w:val="fr-BE"/>
        </w:rPr>
        <w:t xml:space="preserve">chiment de capitaux et de risque de financement du terrorisme, et en matière de </w:t>
      </w:r>
      <w:r w:rsidRPr="00E73D96">
        <w:rPr>
          <w:rFonts w:ascii="Times New Roman" w:hAnsi="Times New Roman" w:cs="Times New Roman"/>
          <w:b/>
          <w:bCs/>
          <w:noProof/>
          <w:sz w:val="24"/>
          <w:szCs w:val="24"/>
          <w:lang w:val="fr-BE"/>
        </w:rPr>
        <w:t xml:space="preserve">migration et de gestion des frontières. Le renforcement des institutions démocratiques et une plus grande ouverture des processus démocratiques </w:t>
      </w:r>
      <w:r w:rsidRPr="00E73D96">
        <w:rPr>
          <w:rFonts w:ascii="Times New Roman" w:hAnsi="Times New Roman" w:cs="Times New Roman"/>
          <w:noProof/>
          <w:sz w:val="24"/>
          <w:szCs w:val="24"/>
          <w:lang w:val="fr-BE"/>
        </w:rPr>
        <w:t>restent des priorités essentiell</w:t>
      </w:r>
      <w:r w:rsidRPr="00E73D96">
        <w:rPr>
          <w:rFonts w:ascii="Times New Roman" w:hAnsi="Times New Roman" w:cs="Times New Roman"/>
          <w:noProof/>
          <w:sz w:val="24"/>
          <w:szCs w:val="24"/>
          <w:lang w:val="fr-BE"/>
        </w:rPr>
        <w:t xml:space="preserve">es. </w:t>
      </w:r>
      <w:r w:rsidRPr="00E73D96">
        <w:rPr>
          <w:rFonts w:ascii="Times New Roman" w:hAnsi="Times New Roman" w:cs="Times New Roman"/>
          <w:b/>
          <w:bCs/>
          <w:noProof/>
          <w:sz w:val="24"/>
          <w:szCs w:val="24"/>
          <w:lang w:val="fr-BE"/>
        </w:rPr>
        <w:t>La réforme de l’administration publique</w:t>
      </w:r>
      <w:r w:rsidRPr="00E73D96">
        <w:rPr>
          <w:rFonts w:ascii="Times New Roman" w:hAnsi="Times New Roman" w:cs="Times New Roman"/>
          <w:noProof/>
          <w:sz w:val="24"/>
          <w:szCs w:val="24"/>
          <w:lang w:val="fr-BE"/>
        </w:rPr>
        <w:t xml:space="preserve"> est d’une importance capitale pour l’amélioration de la gouvernance à tous les niveaux.</w:t>
      </w:r>
      <w:r w:rsidRPr="00E73D96">
        <w:rPr>
          <w:rFonts w:ascii="Times New Roman" w:hAnsi="Times New Roman" w:cs="Times New Roman"/>
          <w:b/>
          <w:bCs/>
          <w:noProof/>
          <w:sz w:val="24"/>
          <w:szCs w:val="24"/>
          <w:lang w:val="fr-BE"/>
        </w:rPr>
        <w:t xml:space="preserve"> </w:t>
      </w:r>
      <w:r w:rsidRPr="00E73D96">
        <w:rPr>
          <w:rFonts w:ascii="Times New Roman" w:hAnsi="Times New Roman" w:cs="Times New Roman"/>
          <w:noProof/>
          <w:sz w:val="24"/>
          <w:szCs w:val="24"/>
          <w:lang w:val="fr-BE"/>
        </w:rPr>
        <w:t>Cela passe notamment par une plus grande transparence et un plus grand respect de l’obligation de rendre des comptes, mais a</w:t>
      </w:r>
      <w:r w:rsidRPr="00E73D96">
        <w:rPr>
          <w:rFonts w:ascii="Times New Roman" w:hAnsi="Times New Roman" w:cs="Times New Roman"/>
          <w:noProof/>
          <w:sz w:val="24"/>
          <w:szCs w:val="24"/>
          <w:lang w:val="fr-BE"/>
        </w:rPr>
        <w:t>ussi par une gestion solide des finances publiques et une professionnalisation accrue des administrations. Prises ensemble, ces mesures constituent le fondement d’une relance économique durable.</w:t>
      </w: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La Commission reste fermement résolue à aider la région à men</w:t>
      </w:r>
      <w:r w:rsidRPr="00E73D96">
        <w:rPr>
          <w:rFonts w:ascii="Times New Roman" w:hAnsi="Times New Roman" w:cs="Times New Roman"/>
          <w:noProof/>
          <w:sz w:val="24"/>
          <w:szCs w:val="24"/>
          <w:lang w:val="fr-BE"/>
        </w:rPr>
        <w:t xml:space="preserve">er à bien ces réformes. Des mesures supplémentaires seront définies cette année dans une communication ultérieure de la Commission.  </w:t>
      </w:r>
    </w:p>
    <w:p w:rsidR="00BD582A" w:rsidRPr="00E73D96" w:rsidRDefault="00E73D96" w:rsidP="00E73D96">
      <w:pPr>
        <w:pStyle w:val="Body"/>
        <w:spacing w:after="120" w:line="240" w:lineRule="auto"/>
        <w:jc w:val="both"/>
        <w:rPr>
          <w:rFonts w:ascii="Times New Roman" w:eastAsia="Times New Roman" w:hAnsi="Times New Roman" w:cs="Times New Roman"/>
          <w:noProof/>
          <w:sz w:val="24"/>
          <w:szCs w:val="24"/>
          <w:lang w:val="fr-BE"/>
        </w:rPr>
      </w:pPr>
      <w:r w:rsidRPr="00E73D96">
        <w:rPr>
          <w:rFonts w:ascii="Times New Roman" w:hAnsi="Times New Roman" w:cs="Times New Roman"/>
          <w:noProof/>
          <w:sz w:val="24"/>
          <w:szCs w:val="24"/>
          <w:lang w:val="fr-BE"/>
        </w:rPr>
        <w:t>La crise de la COVID-19 met à l’épreuve notre solidarité et notre détermination, mais elle démontre aussi avec force que n</w:t>
      </w:r>
      <w:r w:rsidRPr="00E73D96">
        <w:rPr>
          <w:rFonts w:ascii="Times New Roman" w:hAnsi="Times New Roman" w:cs="Times New Roman"/>
          <w:noProof/>
          <w:sz w:val="24"/>
          <w:szCs w:val="24"/>
          <w:lang w:val="fr-BE"/>
        </w:rPr>
        <w:t xml:space="preserve">ous autres Européens, partageant une même destinée, sommes capables de coopérer plus étroitement. </w:t>
      </w:r>
      <w:r w:rsidRPr="00E73D96">
        <w:rPr>
          <w:rFonts w:ascii="Times New Roman" w:hAnsi="Times New Roman" w:cs="Times New Roman"/>
          <w:noProof/>
          <w:sz w:val="24"/>
          <w:szCs w:val="24"/>
          <w:lang w:val="fr-BE"/>
        </w:rPr>
        <w:t>À cet égard, nous sommes conscients du fait que nos partenaires des Balkans occidentaux devront trouver leur place dans la réflexion qui sera bientôt menée su</w:t>
      </w:r>
      <w:r w:rsidRPr="00E73D96">
        <w:rPr>
          <w:rFonts w:ascii="Times New Roman" w:hAnsi="Times New Roman" w:cs="Times New Roman"/>
          <w:noProof/>
          <w:sz w:val="24"/>
          <w:szCs w:val="24"/>
          <w:lang w:val="fr-BE"/>
        </w:rPr>
        <w:t xml:space="preserve">r l’avenir de l’Europe. </w:t>
      </w:r>
      <w:r w:rsidRPr="00E73D96">
        <w:rPr>
          <w:rFonts w:ascii="Times New Roman" w:hAnsi="Times New Roman" w:cs="Times New Roman"/>
          <w:noProof/>
          <w:sz w:val="24"/>
          <w:szCs w:val="24"/>
          <w:lang w:val="fr-BE"/>
        </w:rPr>
        <w:t>Tous ensemble, nous surmonterons cette crise et nous nous relèverons. Et tous ensemble, nous continuerons à renforcer notre coopération en vue d’aider nos partenaires à satisfaire aux exigences découlant de l’adhésion à l’UE.</w:t>
      </w:r>
    </w:p>
    <w:p w:rsidR="00BD582A" w:rsidRPr="00E73D96" w:rsidRDefault="00BD582A" w:rsidP="00E73D96">
      <w:pPr>
        <w:pStyle w:val="Body"/>
        <w:spacing w:after="120" w:line="240" w:lineRule="auto"/>
        <w:jc w:val="both"/>
        <w:rPr>
          <w:rFonts w:ascii="Times New Roman" w:eastAsia="Times New Roman" w:hAnsi="Times New Roman" w:cs="Times New Roman"/>
          <w:noProof/>
          <w:sz w:val="24"/>
          <w:szCs w:val="24"/>
          <w:lang w:val="fr-BE"/>
        </w:rPr>
      </w:pPr>
    </w:p>
    <w:p w:rsidR="00BD582A" w:rsidRPr="00E73D96" w:rsidRDefault="00E73D96" w:rsidP="00E73D96">
      <w:pPr>
        <w:pStyle w:val="Body"/>
        <w:spacing w:after="120" w:line="240" w:lineRule="auto"/>
        <w:jc w:val="center"/>
        <w:rPr>
          <w:rFonts w:ascii="Times New Roman" w:hAnsi="Times New Roman" w:cs="Times New Roman"/>
          <w:b/>
          <w:bCs/>
          <w:noProof/>
          <w:sz w:val="24"/>
          <w:szCs w:val="24"/>
          <w:lang w:val="fr-BE"/>
        </w:rPr>
      </w:pPr>
      <w:r w:rsidRPr="00E73D96">
        <w:rPr>
          <w:rFonts w:ascii="Times New Roman" w:hAnsi="Times New Roman" w:cs="Times New Roman"/>
          <w:b/>
          <w:bCs/>
          <w:noProof/>
          <w:sz w:val="24"/>
          <w:szCs w:val="24"/>
          <w:lang w:val="fr-BE"/>
        </w:rPr>
        <w:t>**</w:t>
      </w:r>
    </w:p>
    <w:p w:rsidR="00BD582A" w:rsidRPr="00E73D96" w:rsidRDefault="00BD582A" w:rsidP="00E73D96">
      <w:pPr>
        <w:pStyle w:val="Body"/>
        <w:spacing w:after="120" w:line="240" w:lineRule="auto"/>
        <w:rPr>
          <w:rFonts w:ascii="Times New Roman" w:hAnsi="Times New Roman" w:cs="Times New Roman"/>
          <w:noProof/>
          <w:sz w:val="24"/>
          <w:szCs w:val="24"/>
          <w:lang w:val="fr-BE"/>
        </w:rPr>
      </w:pPr>
    </w:p>
    <w:sectPr w:rsidR="00BD582A" w:rsidRPr="00E73D96">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82A" w:rsidRDefault="00E73D96">
      <w:pPr>
        <w:spacing w:after="0" w:line="240" w:lineRule="auto"/>
      </w:pPr>
      <w:r>
        <w:separator/>
      </w:r>
    </w:p>
  </w:endnote>
  <w:endnote w:type="continuationSeparator" w:id="0">
    <w:p w:rsidR="00BD582A" w:rsidRDefault="00E73D96">
      <w:pPr>
        <w:spacing w:after="0" w:line="240" w:lineRule="auto"/>
      </w:pPr>
      <w:r>
        <w:continuationSeparator/>
      </w:r>
    </w:p>
  </w:endnote>
  <w:endnote w:type="continuationNotice" w:id="1">
    <w:p w:rsidR="00BD582A" w:rsidRDefault="00BD5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2A" w:rsidRDefault="00BD5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2A" w:rsidRDefault="00E73D96">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2A" w:rsidRDefault="00BD582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2A" w:rsidRDefault="00BD58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2A" w:rsidRDefault="00E73D96">
    <w:pPr>
      <w:pStyle w:val="Footer"/>
      <w:tabs>
        <w:tab w:val="clear" w:pos="9360"/>
        <w:tab w:val="right" w:pos="9046"/>
      </w:tabs>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2A" w:rsidRDefault="00BD5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82A" w:rsidRDefault="00E73D96">
      <w:pPr>
        <w:spacing w:after="0" w:line="240" w:lineRule="auto"/>
      </w:pPr>
      <w:r>
        <w:separator/>
      </w:r>
    </w:p>
  </w:footnote>
  <w:footnote w:type="continuationSeparator" w:id="0">
    <w:p w:rsidR="00BD582A" w:rsidRDefault="00E73D96">
      <w:pPr>
        <w:spacing w:after="0" w:line="240" w:lineRule="auto"/>
      </w:pPr>
      <w:r>
        <w:continuationSeparator/>
      </w:r>
    </w:p>
  </w:footnote>
  <w:footnote w:type="continuationNotice" w:id="1">
    <w:p w:rsidR="00BD582A" w:rsidRDefault="00BD582A">
      <w:pPr>
        <w:spacing w:after="0" w:line="240" w:lineRule="auto"/>
      </w:pPr>
    </w:p>
  </w:footnote>
  <w:footnote w:id="2">
    <w:p w:rsidR="00BD582A" w:rsidRDefault="00E73D96">
      <w:pPr>
        <w:pStyle w:val="FootnoteText"/>
        <w:jc w:val="both"/>
      </w:pPr>
      <w:r>
        <w:rPr>
          <w:rFonts w:ascii="Times New Roman" w:eastAsia="Times New Roman" w:hAnsi="Times New Roman"/>
          <w:b/>
          <w:bCs/>
          <w:vertAlign w:val="superscript"/>
          <w:lang w:val="en-US"/>
        </w:rPr>
        <w:footnoteRef/>
      </w:r>
      <w:r>
        <w:rPr>
          <w:rFonts w:ascii="Times New Roman" w:hAnsi="Times New Roman"/>
        </w:rPr>
        <w:t xml:space="preserve"> Communication de la Commission intitulée «</w:t>
      </w:r>
      <w:r>
        <w:rPr>
          <w:rFonts w:ascii="Times New Roman" w:hAnsi="Times New Roman"/>
          <w:i/>
          <w:iCs/>
        </w:rPr>
        <w:t>Renforcer le processus d’adhésion – Une perspective européenne crédible pour les Balkans occidentaux</w:t>
      </w:r>
      <w:r>
        <w:rPr>
          <w:rFonts w:ascii="Times New Roman" w:hAnsi="Times New Roman"/>
        </w:rPr>
        <w:t>»,</w:t>
      </w:r>
      <w:r>
        <w:t xml:space="preserve"> </w:t>
      </w:r>
      <w:hyperlink r:id="rId1" w:history="1">
        <w:r>
          <w:rPr>
            <w:rStyle w:val="Hyperlink0"/>
            <w:rFonts w:eastAsia="Calibri"/>
            <w:lang w:val="fr-BE"/>
          </w:rPr>
          <w:t>COM(2020) 57 final</w:t>
        </w:r>
      </w:hyperlink>
      <w:r>
        <w:rPr>
          <w:rFonts w:ascii="Times New Roman" w:hAnsi="Times New Roman"/>
        </w:rPr>
        <w:t>.</w:t>
      </w:r>
    </w:p>
  </w:footnote>
  <w:footnote w:id="3">
    <w:p w:rsidR="00BD582A" w:rsidRDefault="00E73D96">
      <w:pPr>
        <w:pStyle w:val="FootnoteText"/>
      </w:pPr>
      <w:r>
        <w:rPr>
          <w:rFonts w:ascii="Times New Roman" w:eastAsia="Times New Roman" w:hAnsi="Times New Roman"/>
          <w:b/>
          <w:bCs/>
          <w:vertAlign w:val="superscript"/>
          <w:lang w:val="en-US"/>
        </w:rPr>
        <w:footnoteRef/>
      </w:r>
      <w:r>
        <w:rPr>
          <w:rFonts w:ascii="Times New Roman" w:hAnsi="Times New Roman"/>
        </w:rPr>
        <w:t xml:space="preserve"> Fonds alloués dans le cadre du programme indicatif pluriannuel existant pour la période 2014-2020.</w:t>
      </w:r>
    </w:p>
  </w:footnote>
  <w:footnote w:id="4">
    <w:p w:rsidR="00BD582A" w:rsidRDefault="00E73D96">
      <w:pPr>
        <w:pStyle w:val="FootnoteText"/>
      </w:pPr>
      <w:r>
        <w:rPr>
          <w:rFonts w:ascii="Times New Roman" w:eastAsia="Times New Roman" w:hAnsi="Times New Roman"/>
          <w:b/>
          <w:bCs/>
          <w:vertAlign w:val="superscript"/>
          <w:lang w:val="en-US"/>
        </w:rPr>
        <w:footnoteRef/>
      </w:r>
      <w:r>
        <w:rPr>
          <w:rFonts w:ascii="Times New Roman" w:hAnsi="Times New Roman"/>
        </w:rPr>
        <w:t xml:space="preserve"> Des programmes d’aide ex</w:t>
      </w:r>
      <w:r>
        <w:rPr>
          <w:rFonts w:ascii="Times New Roman" w:hAnsi="Times New Roman"/>
        </w:rPr>
        <w:t>istants au titre de l’IAP sont également adaptés et accélérés, par exemple l’aide de préadhésion de l’UE pour le développement rural (IPARD) et pour la coopération transfrontière entre l’UE et les Balkans occidentaux (REGIO).</w:t>
      </w:r>
    </w:p>
  </w:footnote>
  <w:footnote w:id="5">
    <w:p w:rsidR="00BD582A" w:rsidRDefault="00E73D96">
      <w:pPr>
        <w:pStyle w:val="FootnoteText"/>
        <w:jc w:val="both"/>
      </w:pPr>
      <w:r>
        <w:rPr>
          <w:rFonts w:ascii="Times New Roman" w:eastAsia="Times New Roman" w:hAnsi="Times New Roman"/>
          <w:vertAlign w:val="superscript"/>
          <w:lang w:val="en-US"/>
        </w:rPr>
        <w:footnoteRef/>
      </w:r>
      <w:r>
        <w:rPr>
          <w:rFonts w:ascii="Times New Roman" w:hAnsi="Times New Roman"/>
        </w:rPr>
        <w:t xml:space="preserve"> L’UE finance la livraison de</w:t>
      </w:r>
      <w:r>
        <w:rPr>
          <w:rFonts w:ascii="Times New Roman" w:hAnsi="Times New Roman"/>
        </w:rPr>
        <w:t xml:space="preserve"> quelque 95 000 tests de dépistage de la COVID, 500 lits d’hôpitaux, 450 respirateurs, 100 moniteurs de soins intensifs, 100 conteneurs de tri, 10 ambulances, ainsi que de plus de 4,5 millions d’équipements de protection individuelle, de centaines de dispo</w:t>
      </w:r>
      <w:r>
        <w:rPr>
          <w:rFonts w:ascii="Times New Roman" w:hAnsi="Times New Roman"/>
        </w:rPr>
        <w:t xml:space="preserve">sitifs médicaux (rayons X, ECG, scanners, défibrillateurs, pompes à perfusion, etc.) et de milliers de fournitures (thermomètres, cathéters, tubes, seringues, masques, etc.). Elle a également pris en charge les coûts de 16 vols long-courriers transportant </w:t>
      </w:r>
      <w:r>
        <w:rPr>
          <w:rFonts w:ascii="Times New Roman" w:hAnsi="Times New Roman"/>
        </w:rPr>
        <w:t xml:space="preserve">750 tonnes de matériel médical provenant d’autres sources. </w:t>
      </w:r>
    </w:p>
  </w:footnote>
  <w:footnote w:id="6">
    <w:p w:rsidR="00BD582A" w:rsidRDefault="00E73D96">
      <w:pPr>
        <w:pStyle w:val="FootnoteText"/>
        <w:jc w:val="both"/>
      </w:pPr>
      <w:r>
        <w:rPr>
          <w:rFonts w:ascii="Times New Roman" w:eastAsia="Times New Roman" w:hAnsi="Times New Roman"/>
          <w:vertAlign w:val="superscript"/>
          <w:lang w:val="en-US"/>
        </w:rPr>
        <w:footnoteRef/>
      </w:r>
      <w:r>
        <w:rPr>
          <w:rFonts w:ascii="Times New Roman" w:hAnsi="Times New Roman"/>
        </w:rPr>
        <w:t xml:space="preserve"> 2020/0065 (COD) Proposition de décision du Parlement européen et du Conseil relative à l’octroi d’une assistance macrofinancière à des partenaires de l’élargissement et du voisinage dans le cont</w:t>
      </w:r>
      <w:r>
        <w:rPr>
          <w:rFonts w:ascii="Times New Roman" w:hAnsi="Times New Roman"/>
        </w:rPr>
        <w:t>exte de la crise engendrée par la pandémie de COVID-19, 22 avril 2020.</w:t>
      </w:r>
    </w:p>
  </w:footnote>
  <w:footnote w:id="7">
    <w:p w:rsidR="00BD582A" w:rsidRDefault="00E73D96">
      <w:pPr>
        <w:pStyle w:val="FootnoteText"/>
        <w:jc w:val="both"/>
      </w:pPr>
      <w:r>
        <w:rPr>
          <w:rFonts w:ascii="Times New Roman" w:eastAsia="Times New Roman" w:hAnsi="Times New Roman"/>
          <w:b/>
          <w:bCs/>
          <w:vertAlign w:val="superscript"/>
          <w:lang w:val="en-US"/>
        </w:rPr>
        <w:footnoteRef/>
      </w:r>
      <w:r>
        <w:rPr>
          <w:rFonts w:ascii="Times New Roman" w:hAnsi="Times New Roman"/>
        </w:rPr>
        <w:t xml:space="preserve"> Communication sur la réaction de l’UE au niveau mondial face à la pandémie de COVID-19, JOIN(2020) 11 final du 8.4.2020.</w:t>
      </w:r>
    </w:p>
  </w:footnote>
  <w:footnote w:id="8">
    <w:p w:rsidR="00BD582A" w:rsidRDefault="00E73D96">
      <w:pPr>
        <w:pStyle w:val="NormalWeb"/>
        <w:jc w:val="both"/>
      </w:pPr>
      <w:r>
        <w:rPr>
          <w:sz w:val="20"/>
          <w:szCs w:val="20"/>
          <w:vertAlign w:val="superscript"/>
          <w:lang w:val="en-US"/>
        </w:rPr>
        <w:footnoteRef/>
      </w:r>
      <w:r>
        <w:rPr>
          <w:sz w:val="20"/>
          <w:szCs w:val="20"/>
        </w:rPr>
        <w:t xml:space="preserve"> Règlement d’exécution (UE) 2020/568 de la Commission du 23 avril 2020 soumettant l’exportation de certains produits à la présentation d’une autorisation d’exportation, JO L 129 du 24.4.2020, p. 7.</w:t>
      </w:r>
    </w:p>
  </w:footnote>
  <w:footnote w:id="9">
    <w:p w:rsidR="00BD582A" w:rsidRPr="00E73D96" w:rsidRDefault="00E73D96">
      <w:pPr>
        <w:pStyle w:val="FootnoteText"/>
        <w:rPr>
          <w:rFonts w:ascii="Times New Roman" w:hAnsi="Times New Roman"/>
        </w:rPr>
      </w:pPr>
      <w:r>
        <w:rPr>
          <w:rStyle w:val="FootnoteReference"/>
          <w:rFonts w:ascii="Times New Roman" w:hAnsi="Times New Roman"/>
        </w:rPr>
        <w:footnoteRef/>
      </w:r>
      <w:r w:rsidRPr="00E73D96">
        <w:rPr>
          <w:rFonts w:ascii="Times New Roman" w:hAnsi="Times New Roman"/>
        </w:rPr>
        <w:t xml:space="preserve"> C(2020) 2050 final.</w:t>
      </w:r>
      <w:bookmarkStart w:id="1" w:name="_GoBack"/>
      <w:bookmarkEnd w:id="1"/>
    </w:p>
  </w:footnote>
  <w:footnote w:id="10">
    <w:p w:rsidR="00BD582A" w:rsidRDefault="00E73D96">
      <w:pPr>
        <w:pStyle w:val="FootnoteText"/>
        <w:jc w:val="both"/>
      </w:pPr>
      <w:r>
        <w:rPr>
          <w:rFonts w:ascii="Times New Roman" w:eastAsia="Times New Roman" w:hAnsi="Times New Roman"/>
          <w:vertAlign w:val="superscript"/>
          <w:lang w:val="en-US"/>
        </w:rPr>
        <w:footnoteRef/>
      </w:r>
      <w:r>
        <w:rPr>
          <w:rFonts w:ascii="Times New Roman" w:hAnsi="Times New Roman"/>
        </w:rPr>
        <w:t xml:space="preserve"> De plus, une enveloppe de 65 milli</w:t>
      </w:r>
      <w:r>
        <w:rPr>
          <w:rFonts w:ascii="Times New Roman" w:hAnsi="Times New Roman"/>
        </w:rPr>
        <w:t>ons d’EUR sera fournie pour soutenir l’élaboration et la mise en œuvre de projets relevant du cadre d'investissement en faveur des Balkans occidentaux, ce qui portera à 200 millions d’EUR le montant du paquet «connectivité» 2020 financé par l’UE.</w:t>
      </w:r>
    </w:p>
  </w:footnote>
  <w:footnote w:id="11">
    <w:p w:rsidR="00BD582A" w:rsidRDefault="00E73D96">
      <w:pPr>
        <w:pStyle w:val="FootnoteText"/>
        <w:jc w:val="both"/>
      </w:pPr>
      <w:r>
        <w:rPr>
          <w:rFonts w:ascii="Times New Roman" w:eastAsia="Times New Roman" w:hAnsi="Times New Roman"/>
          <w:vertAlign w:val="superscript"/>
          <w:lang w:val="en-US"/>
        </w:rPr>
        <w:footnoteRef/>
      </w:r>
      <w:r>
        <w:rPr>
          <w:rFonts w:ascii="Times New Roman" w:hAnsi="Times New Roman"/>
        </w:rPr>
        <w:t xml:space="preserve"> Ainsi, </w:t>
      </w:r>
      <w:r>
        <w:rPr>
          <w:rFonts w:ascii="Times New Roman" w:hAnsi="Times New Roman"/>
        </w:rPr>
        <w:t>le système d'échange des données relatives aux accises a été actualisé pour permettre une identification électronique précoce des camions transportant des biens de première nécessité, ces données étant communiquées aux points de passage frontaliers pour au</w:t>
      </w:r>
      <w:r>
        <w:rPr>
          <w:rFonts w:ascii="Times New Roman" w:hAnsi="Times New Roman"/>
        </w:rPr>
        <w:t>toriser lesdits camions à franchir la frontière via des voies réservées.</w:t>
      </w:r>
    </w:p>
  </w:footnote>
  <w:footnote w:id="12">
    <w:p w:rsidR="00BD582A" w:rsidRDefault="00E73D96">
      <w:pPr>
        <w:pStyle w:val="FootnoteText"/>
        <w:jc w:val="both"/>
        <w:rPr>
          <w:rFonts w:ascii="Times New Roman" w:eastAsia="Times New Roman" w:hAnsi="Times New Roman"/>
        </w:rPr>
      </w:pPr>
      <w:r>
        <w:rPr>
          <w:rFonts w:ascii="Times New Roman" w:eastAsia="Times New Roman" w:hAnsi="Times New Roman"/>
          <w:vertAlign w:val="superscript"/>
          <w:lang w:val="en-US"/>
        </w:rPr>
        <w:footnoteRef/>
      </w:r>
      <w:r>
        <w:rPr>
          <w:rFonts w:ascii="Times New Roman" w:hAnsi="Times New Roman"/>
        </w:rPr>
        <w:t xml:space="preserve"> À cet égard, la Commission a proposé, le 3 avril, de prolonger de cinq ans supplémentaires la durée des mesures commerciales autonomes octroyées par l’UE aux Balkans occidentaux, so</w:t>
      </w:r>
      <w:r>
        <w:rPr>
          <w:rFonts w:ascii="Times New Roman" w:hAnsi="Times New Roman"/>
        </w:rPr>
        <w:t xml:space="preserve">it jusqu’à la fin de 2025 [COM(2020) 135 final]. </w:t>
      </w:r>
    </w:p>
    <w:p w:rsidR="00BD582A" w:rsidRDefault="00E73D96">
      <w:pPr>
        <w:pStyle w:val="FootnoteText"/>
      </w:pPr>
      <w:r>
        <w:rPr>
          <w:rFonts w:ascii="Times New Roman" w:hAnsi="Times New Roman"/>
        </w:rPr>
        <w:t xml:space="preserve">2020/0051 (COD)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2A" w:rsidRDefault="00BD5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2A" w:rsidRDefault="00BD582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2A" w:rsidRDefault="00BD582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2A" w:rsidRDefault="00BD58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2A" w:rsidRDefault="00BD582A">
    <w:pPr>
      <w:pStyle w:val="Header"/>
      <w:tabs>
        <w:tab w:val="clear" w:pos="9360"/>
        <w:tab w:val="right" w:pos="9046"/>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2A" w:rsidRDefault="00BD5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03D"/>
    <w:multiLevelType w:val="hybridMultilevel"/>
    <w:tmpl w:val="50DA3C46"/>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98C6320"/>
    <w:multiLevelType w:val="hybridMultilevel"/>
    <w:tmpl w:val="34CCDB36"/>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B51692"/>
    <w:multiLevelType w:val="hybridMultilevel"/>
    <w:tmpl w:val="6628A694"/>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1B156DC"/>
    <w:multiLevelType w:val="hybridMultilevel"/>
    <w:tmpl w:val="1A942A5A"/>
    <w:lvl w:ilvl="0" w:tplc="080C0001">
      <w:start w:val="1"/>
      <w:numFmt w:val="bullet"/>
      <w:lvlText w:val=""/>
      <w:lvlJc w:val="left"/>
      <w:pPr>
        <w:ind w:left="1035" w:hanging="67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F641F9"/>
    <w:multiLevelType w:val="hybridMultilevel"/>
    <w:tmpl w:val="80584BB8"/>
    <w:lvl w:ilvl="0" w:tplc="FDEE4844">
      <w:start w:val="1"/>
      <w:numFmt w:val="bullet"/>
      <w:lvlText w:val="-"/>
      <w:lvlJc w:val="left"/>
      <w:pPr>
        <w:ind w:left="675" w:hanging="675"/>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E5B3A38"/>
    <w:multiLevelType w:val="hybridMultilevel"/>
    <w:tmpl w:val="E430A882"/>
    <w:lvl w:ilvl="0" w:tplc="C77EC6F2">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E057F"/>
    <w:multiLevelType w:val="hybridMultilevel"/>
    <w:tmpl w:val="328E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5726D"/>
    <w:multiLevelType w:val="hybridMultilevel"/>
    <w:tmpl w:val="A41C6E94"/>
    <w:lvl w:ilvl="0" w:tplc="631CBBEC">
      <w:start w:val="1"/>
      <w:numFmt w:val="upperRoman"/>
      <w:lvlText w:val="%1."/>
      <w:lvlJc w:val="left"/>
      <w:pPr>
        <w:ind w:left="7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CEA4294E">
      <w:start w:val="1"/>
      <w:numFmt w:val="lowerLetter"/>
      <w:lvlText w:val="%2."/>
      <w:lvlJc w:val="left"/>
      <w:pPr>
        <w:ind w:left="1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32A5414">
      <w:start w:val="1"/>
      <w:numFmt w:val="lowerRoman"/>
      <w:lvlText w:val="%3."/>
      <w:lvlJc w:val="left"/>
      <w:pPr>
        <w:ind w:left="22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E59C35B2">
      <w:start w:val="1"/>
      <w:numFmt w:val="decimal"/>
      <w:lvlText w:val="%4."/>
      <w:lvlJc w:val="left"/>
      <w:pPr>
        <w:ind w:left="29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CFA98EC">
      <w:start w:val="1"/>
      <w:numFmt w:val="lowerLetter"/>
      <w:lvlText w:val="%5."/>
      <w:lvlJc w:val="left"/>
      <w:pPr>
        <w:ind w:left="3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0B06812">
      <w:start w:val="1"/>
      <w:numFmt w:val="lowerRoman"/>
      <w:lvlText w:val="%6."/>
      <w:lvlJc w:val="left"/>
      <w:pPr>
        <w:ind w:left="4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0CDE07C8">
      <w:start w:val="1"/>
      <w:numFmt w:val="decimal"/>
      <w:lvlText w:val="%7."/>
      <w:lvlJc w:val="left"/>
      <w:pPr>
        <w:ind w:left="5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A7AE3C8">
      <w:start w:val="1"/>
      <w:numFmt w:val="lowerLetter"/>
      <w:lvlText w:val="%8."/>
      <w:lvlJc w:val="left"/>
      <w:pPr>
        <w:ind w:left="5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B16CDCC">
      <w:start w:val="1"/>
      <w:numFmt w:val="lowerRoman"/>
      <w:lvlText w:val="%9."/>
      <w:lvlJc w:val="left"/>
      <w:pPr>
        <w:ind w:left="65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673502D"/>
    <w:multiLevelType w:val="hybridMultilevel"/>
    <w:tmpl w:val="A41C6E94"/>
    <w:numStyleLink w:val="ImportedStyle1"/>
  </w:abstractNum>
  <w:abstractNum w:abstractNumId="9" w15:restartNumberingAfterBreak="0">
    <w:nsid w:val="2F000009"/>
    <w:multiLevelType w:val="hybridMultilevel"/>
    <w:tmpl w:val="34B116FA"/>
    <w:lvl w:ilvl="0" w:tplc="D922A03E">
      <w:start w:val="1"/>
      <w:numFmt w:val="bullet"/>
      <w:lvlText w:val="Ø"/>
      <w:lvlJc w:val="left"/>
      <w:pPr>
        <w:ind w:left="720" w:hanging="360"/>
        <w:jc w:val="both"/>
      </w:pPr>
      <w:rPr>
        <w:rFonts w:ascii="Wingdings" w:eastAsia="Wingdings" w:hAnsi="Wingdings"/>
        <w:w w:val="100"/>
        <w:sz w:val="20"/>
        <w:szCs w:val="20"/>
        <w:shd w:val="clear" w:color="auto" w:fill="auto"/>
      </w:rPr>
    </w:lvl>
    <w:lvl w:ilvl="1" w:tplc="F696803E">
      <w:start w:val="1"/>
      <w:numFmt w:val="bullet"/>
      <w:lvlText w:val="Ø"/>
      <w:lvlJc w:val="left"/>
      <w:pPr>
        <w:ind w:left="1440" w:hanging="360"/>
        <w:jc w:val="both"/>
      </w:pPr>
      <w:rPr>
        <w:rFonts w:ascii="Wingdings" w:eastAsia="Wingdings" w:hAnsi="Wingdings"/>
        <w:w w:val="100"/>
        <w:sz w:val="20"/>
        <w:szCs w:val="20"/>
        <w:shd w:val="clear" w:color="auto" w:fill="auto"/>
      </w:rPr>
    </w:lvl>
    <w:lvl w:ilvl="2" w:tplc="47F4BE3C">
      <w:start w:val="1"/>
      <w:numFmt w:val="bullet"/>
      <w:lvlText w:val="§"/>
      <w:lvlJc w:val="left"/>
      <w:pPr>
        <w:ind w:left="2160" w:hanging="360"/>
        <w:jc w:val="both"/>
      </w:pPr>
      <w:rPr>
        <w:rFonts w:ascii="Wingdings" w:eastAsia="Wingdings" w:hAnsi="Wingdings"/>
        <w:w w:val="100"/>
        <w:sz w:val="20"/>
        <w:szCs w:val="20"/>
        <w:shd w:val="clear" w:color="auto" w:fill="auto"/>
      </w:rPr>
    </w:lvl>
    <w:lvl w:ilvl="3" w:tplc="75548F68">
      <w:start w:val="1"/>
      <w:numFmt w:val="bullet"/>
      <w:lvlText w:val="·"/>
      <w:lvlJc w:val="left"/>
      <w:pPr>
        <w:ind w:left="2880" w:hanging="360"/>
        <w:jc w:val="both"/>
      </w:pPr>
      <w:rPr>
        <w:rFonts w:ascii="Symbol" w:eastAsia="Symbol" w:hAnsi="Symbol"/>
        <w:w w:val="100"/>
        <w:sz w:val="20"/>
        <w:szCs w:val="20"/>
        <w:shd w:val="clear" w:color="auto" w:fill="auto"/>
      </w:rPr>
    </w:lvl>
    <w:lvl w:ilvl="4" w:tplc="F760CF8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8A2AF56E">
      <w:start w:val="1"/>
      <w:numFmt w:val="bullet"/>
      <w:lvlText w:val="§"/>
      <w:lvlJc w:val="left"/>
      <w:pPr>
        <w:ind w:left="4320" w:hanging="360"/>
        <w:jc w:val="both"/>
      </w:pPr>
      <w:rPr>
        <w:rFonts w:ascii="Wingdings" w:eastAsia="Wingdings" w:hAnsi="Wingdings"/>
        <w:w w:val="100"/>
        <w:sz w:val="20"/>
        <w:szCs w:val="20"/>
        <w:shd w:val="clear" w:color="auto" w:fill="auto"/>
      </w:rPr>
    </w:lvl>
    <w:lvl w:ilvl="6" w:tplc="2B0CC496">
      <w:start w:val="1"/>
      <w:numFmt w:val="bullet"/>
      <w:lvlText w:val="·"/>
      <w:lvlJc w:val="left"/>
      <w:pPr>
        <w:ind w:left="5040" w:hanging="360"/>
        <w:jc w:val="both"/>
      </w:pPr>
      <w:rPr>
        <w:rFonts w:ascii="Symbol" w:eastAsia="Symbol" w:hAnsi="Symbol"/>
        <w:w w:val="100"/>
        <w:sz w:val="20"/>
        <w:szCs w:val="20"/>
        <w:shd w:val="clear" w:color="auto" w:fill="auto"/>
      </w:rPr>
    </w:lvl>
    <w:lvl w:ilvl="7" w:tplc="437A2DE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F8A2E6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0" w15:restartNumberingAfterBreak="0">
    <w:nsid w:val="2F000026"/>
    <w:multiLevelType w:val="hybridMultilevel"/>
    <w:tmpl w:val="43EE3B82"/>
    <w:lvl w:ilvl="0" w:tplc="FEE2DBB8">
      <w:start w:val="15"/>
      <w:numFmt w:val="bullet"/>
      <w:lvlText w:val="-"/>
      <w:lvlJc w:val="left"/>
      <w:pPr>
        <w:ind w:left="720" w:hanging="360"/>
        <w:jc w:val="both"/>
      </w:pPr>
      <w:rPr>
        <w:rFonts w:ascii="Times New Roman" w:eastAsia="Times New Roman" w:hAnsi="Times New Roman"/>
        <w:w w:val="100"/>
        <w:sz w:val="20"/>
        <w:szCs w:val="20"/>
        <w:shd w:val="clear" w:color="auto" w:fill="auto"/>
      </w:rPr>
    </w:lvl>
    <w:lvl w:ilvl="1" w:tplc="B55C1D74">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B2C698C">
      <w:start w:val="1"/>
      <w:numFmt w:val="bullet"/>
      <w:lvlText w:val="§"/>
      <w:lvlJc w:val="left"/>
      <w:pPr>
        <w:ind w:left="2160" w:hanging="360"/>
        <w:jc w:val="both"/>
      </w:pPr>
      <w:rPr>
        <w:rFonts w:ascii="Wingdings" w:eastAsia="Wingdings" w:hAnsi="Wingdings"/>
        <w:w w:val="100"/>
        <w:sz w:val="20"/>
        <w:szCs w:val="20"/>
        <w:shd w:val="clear" w:color="auto" w:fill="auto"/>
      </w:rPr>
    </w:lvl>
    <w:lvl w:ilvl="3" w:tplc="A1FCB008">
      <w:start w:val="1"/>
      <w:numFmt w:val="bullet"/>
      <w:lvlText w:val="·"/>
      <w:lvlJc w:val="left"/>
      <w:pPr>
        <w:ind w:left="2880" w:hanging="360"/>
        <w:jc w:val="both"/>
      </w:pPr>
      <w:rPr>
        <w:rFonts w:ascii="Symbol" w:eastAsia="Symbol" w:hAnsi="Symbol"/>
        <w:w w:val="100"/>
        <w:sz w:val="20"/>
        <w:szCs w:val="20"/>
        <w:shd w:val="clear" w:color="auto" w:fill="auto"/>
      </w:rPr>
    </w:lvl>
    <w:lvl w:ilvl="4" w:tplc="BBB254B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FB045024">
      <w:start w:val="1"/>
      <w:numFmt w:val="bullet"/>
      <w:lvlText w:val="§"/>
      <w:lvlJc w:val="left"/>
      <w:pPr>
        <w:ind w:left="4320" w:hanging="360"/>
        <w:jc w:val="both"/>
      </w:pPr>
      <w:rPr>
        <w:rFonts w:ascii="Wingdings" w:eastAsia="Wingdings" w:hAnsi="Wingdings"/>
        <w:w w:val="100"/>
        <w:sz w:val="20"/>
        <w:szCs w:val="20"/>
        <w:shd w:val="clear" w:color="auto" w:fill="auto"/>
      </w:rPr>
    </w:lvl>
    <w:lvl w:ilvl="6" w:tplc="F7F4F9F2">
      <w:start w:val="1"/>
      <w:numFmt w:val="bullet"/>
      <w:lvlText w:val="·"/>
      <w:lvlJc w:val="left"/>
      <w:pPr>
        <w:ind w:left="5040" w:hanging="360"/>
        <w:jc w:val="both"/>
      </w:pPr>
      <w:rPr>
        <w:rFonts w:ascii="Symbol" w:eastAsia="Symbol" w:hAnsi="Symbol"/>
        <w:w w:val="100"/>
        <w:sz w:val="20"/>
        <w:szCs w:val="20"/>
        <w:shd w:val="clear" w:color="auto" w:fill="auto"/>
      </w:rPr>
    </w:lvl>
    <w:lvl w:ilvl="7" w:tplc="52F609A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8A4740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1" w15:restartNumberingAfterBreak="0">
    <w:nsid w:val="2F000030"/>
    <w:multiLevelType w:val="hybridMultilevel"/>
    <w:tmpl w:val="1F34BE0E"/>
    <w:lvl w:ilvl="0" w:tplc="246A393C">
      <w:start w:val="1"/>
      <w:numFmt w:val="bullet"/>
      <w:lvlText w:val="Ø"/>
      <w:lvlJc w:val="left"/>
      <w:pPr>
        <w:ind w:left="592" w:hanging="400"/>
        <w:jc w:val="both"/>
      </w:pPr>
      <w:rPr>
        <w:rFonts w:ascii="Wingdings" w:eastAsia="Wingdings" w:hAnsi="Wingdings"/>
        <w:b w:val="0"/>
        <w:w w:val="100"/>
        <w:sz w:val="24"/>
        <w:szCs w:val="24"/>
        <w:u w:val="none"/>
        <w:shd w:val="clear" w:color="auto" w:fill="auto"/>
      </w:rPr>
    </w:lvl>
    <w:lvl w:ilvl="1" w:tplc="118EBD14">
      <w:start w:val="1"/>
      <w:numFmt w:val="bullet"/>
      <w:lvlText w:val="n"/>
      <w:lvlJc w:val="left"/>
      <w:pPr>
        <w:ind w:left="992" w:hanging="400"/>
        <w:jc w:val="both"/>
      </w:pPr>
      <w:rPr>
        <w:rFonts w:ascii="Wingdings" w:eastAsia="Wingdings" w:hAnsi="Wingdings"/>
        <w:w w:val="100"/>
        <w:sz w:val="20"/>
        <w:szCs w:val="20"/>
        <w:shd w:val="clear" w:color="auto" w:fill="auto"/>
      </w:rPr>
    </w:lvl>
    <w:lvl w:ilvl="2" w:tplc="5104660A">
      <w:start w:val="1"/>
      <w:numFmt w:val="bullet"/>
      <w:lvlText w:val="u"/>
      <w:lvlJc w:val="left"/>
      <w:pPr>
        <w:ind w:left="1392" w:hanging="400"/>
        <w:jc w:val="both"/>
      </w:pPr>
      <w:rPr>
        <w:rFonts w:ascii="Wingdings" w:eastAsia="Wingdings" w:hAnsi="Wingdings"/>
        <w:w w:val="100"/>
        <w:sz w:val="20"/>
        <w:szCs w:val="20"/>
        <w:shd w:val="clear" w:color="auto" w:fill="auto"/>
      </w:rPr>
    </w:lvl>
    <w:lvl w:ilvl="3" w:tplc="02E686DC">
      <w:start w:val="1"/>
      <w:numFmt w:val="bullet"/>
      <w:lvlText w:val="Ø"/>
      <w:lvlJc w:val="left"/>
      <w:pPr>
        <w:ind w:left="1792" w:hanging="400"/>
        <w:jc w:val="both"/>
      </w:pPr>
      <w:rPr>
        <w:rFonts w:ascii="Wingdings" w:eastAsia="Wingdings" w:hAnsi="Wingdings"/>
        <w:w w:val="100"/>
        <w:sz w:val="20"/>
        <w:szCs w:val="20"/>
        <w:shd w:val="clear" w:color="auto" w:fill="auto"/>
      </w:rPr>
    </w:lvl>
    <w:lvl w:ilvl="4" w:tplc="317603B6">
      <w:start w:val="1"/>
      <w:numFmt w:val="bullet"/>
      <w:lvlText w:val="n"/>
      <w:lvlJc w:val="left"/>
      <w:pPr>
        <w:ind w:left="2192" w:hanging="400"/>
        <w:jc w:val="both"/>
      </w:pPr>
      <w:rPr>
        <w:rFonts w:ascii="Wingdings" w:eastAsia="Wingdings" w:hAnsi="Wingdings"/>
        <w:w w:val="100"/>
        <w:sz w:val="20"/>
        <w:szCs w:val="20"/>
        <w:shd w:val="clear" w:color="auto" w:fill="auto"/>
      </w:rPr>
    </w:lvl>
    <w:lvl w:ilvl="5" w:tplc="DCC88D5E">
      <w:start w:val="1"/>
      <w:numFmt w:val="bullet"/>
      <w:lvlText w:val="u"/>
      <w:lvlJc w:val="left"/>
      <w:pPr>
        <w:ind w:left="2592" w:hanging="400"/>
        <w:jc w:val="both"/>
      </w:pPr>
      <w:rPr>
        <w:rFonts w:ascii="Wingdings" w:eastAsia="Wingdings" w:hAnsi="Wingdings"/>
        <w:w w:val="100"/>
        <w:sz w:val="20"/>
        <w:szCs w:val="20"/>
        <w:shd w:val="clear" w:color="auto" w:fill="auto"/>
      </w:rPr>
    </w:lvl>
    <w:lvl w:ilvl="6" w:tplc="C39839E8">
      <w:start w:val="1"/>
      <w:numFmt w:val="bullet"/>
      <w:lvlText w:val="Ø"/>
      <w:lvlJc w:val="left"/>
      <w:pPr>
        <w:ind w:left="2992" w:hanging="400"/>
        <w:jc w:val="both"/>
      </w:pPr>
      <w:rPr>
        <w:rFonts w:ascii="Wingdings" w:eastAsia="Wingdings" w:hAnsi="Wingdings"/>
        <w:w w:val="100"/>
        <w:sz w:val="20"/>
        <w:szCs w:val="20"/>
        <w:shd w:val="clear" w:color="auto" w:fill="auto"/>
      </w:rPr>
    </w:lvl>
    <w:lvl w:ilvl="7" w:tplc="F3442810">
      <w:start w:val="1"/>
      <w:numFmt w:val="bullet"/>
      <w:lvlText w:val="n"/>
      <w:lvlJc w:val="left"/>
      <w:pPr>
        <w:ind w:left="3392" w:hanging="400"/>
        <w:jc w:val="both"/>
      </w:pPr>
      <w:rPr>
        <w:rFonts w:ascii="Wingdings" w:eastAsia="Wingdings" w:hAnsi="Wingdings"/>
        <w:w w:val="100"/>
        <w:sz w:val="20"/>
        <w:szCs w:val="20"/>
        <w:shd w:val="clear" w:color="auto" w:fill="auto"/>
      </w:rPr>
    </w:lvl>
    <w:lvl w:ilvl="8" w:tplc="459CFE62">
      <w:start w:val="1"/>
      <w:numFmt w:val="bullet"/>
      <w:lvlText w:val="u"/>
      <w:lvlJc w:val="left"/>
      <w:pPr>
        <w:ind w:left="3792" w:hanging="400"/>
        <w:jc w:val="both"/>
      </w:pPr>
      <w:rPr>
        <w:rFonts w:ascii="Wingdings" w:eastAsia="Wingdings" w:hAnsi="Wingdings"/>
        <w:w w:val="100"/>
        <w:sz w:val="20"/>
        <w:szCs w:val="20"/>
        <w:shd w:val="clear" w:color="auto" w:fill="auto"/>
      </w:rPr>
    </w:lvl>
  </w:abstractNum>
  <w:abstractNum w:abstractNumId="12" w15:restartNumberingAfterBreak="0">
    <w:nsid w:val="3162379A"/>
    <w:multiLevelType w:val="hybridMultilevel"/>
    <w:tmpl w:val="839A3770"/>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720EBD"/>
    <w:multiLevelType w:val="hybridMultilevel"/>
    <w:tmpl w:val="215C1B9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FC751E2"/>
    <w:multiLevelType w:val="hybridMultilevel"/>
    <w:tmpl w:val="29B8FF8C"/>
    <w:lvl w:ilvl="0" w:tplc="FDEE4844">
      <w:start w:val="1"/>
      <w:numFmt w:val="bullet"/>
      <w:lvlText w:val="-"/>
      <w:lvlJc w:val="left"/>
      <w:pPr>
        <w:ind w:left="360" w:hanging="360"/>
      </w:pPr>
      <w:rPr>
        <w:rFonts w:ascii="Times New Roman" w:eastAsiaTheme="minorHAnsi"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ECF7D93"/>
    <w:multiLevelType w:val="hybridMultilevel"/>
    <w:tmpl w:val="C7CEC9F4"/>
    <w:lvl w:ilvl="0" w:tplc="FDEE4844">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E902D2"/>
    <w:multiLevelType w:val="hybridMultilevel"/>
    <w:tmpl w:val="C0061EF4"/>
    <w:lvl w:ilvl="0" w:tplc="C680B46C">
      <w:start w:val="15"/>
      <w:numFmt w:val="bullet"/>
      <w:lvlText w:val="-"/>
      <w:lvlJc w:val="left"/>
      <w:pPr>
        <w:ind w:left="360" w:hanging="360"/>
      </w:pPr>
      <w:rPr>
        <w:rFonts w:ascii="Times New Roman" w:eastAsia="Calibri"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707C0670"/>
    <w:multiLevelType w:val="hybridMultilevel"/>
    <w:tmpl w:val="5B6A7AE0"/>
    <w:lvl w:ilvl="0" w:tplc="FDEE4844">
      <w:start w:val="1"/>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73D50132"/>
    <w:multiLevelType w:val="hybridMultilevel"/>
    <w:tmpl w:val="2DC07B7E"/>
    <w:lvl w:ilvl="0" w:tplc="FDEE4844">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6962244"/>
    <w:multiLevelType w:val="hybridMultilevel"/>
    <w:tmpl w:val="A41C6E94"/>
    <w:styleLink w:val="ImportedStyle1"/>
    <w:lvl w:ilvl="0" w:tplc="826AB56E">
      <w:start w:val="1"/>
      <w:numFmt w:val="upperRoman"/>
      <w:lvlText w:val="%1."/>
      <w:lvlJc w:val="left"/>
      <w:pPr>
        <w:ind w:left="7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F62A8C">
      <w:start w:val="1"/>
      <w:numFmt w:val="lowerLetter"/>
      <w:lvlText w:val="%2."/>
      <w:lvlJc w:val="left"/>
      <w:pPr>
        <w:ind w:left="1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C6F396">
      <w:start w:val="1"/>
      <w:numFmt w:val="lowerRoman"/>
      <w:lvlText w:val="%3."/>
      <w:lvlJc w:val="left"/>
      <w:pPr>
        <w:ind w:left="22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1F852DE">
      <w:start w:val="1"/>
      <w:numFmt w:val="decimal"/>
      <w:lvlText w:val="%4."/>
      <w:lvlJc w:val="left"/>
      <w:pPr>
        <w:ind w:left="29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19C4E04">
      <w:start w:val="1"/>
      <w:numFmt w:val="lowerLetter"/>
      <w:lvlText w:val="%5."/>
      <w:lvlJc w:val="left"/>
      <w:pPr>
        <w:ind w:left="3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53CF178">
      <w:start w:val="1"/>
      <w:numFmt w:val="lowerRoman"/>
      <w:lvlText w:val="%6."/>
      <w:lvlJc w:val="left"/>
      <w:pPr>
        <w:ind w:left="4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7501B84">
      <w:start w:val="1"/>
      <w:numFmt w:val="decimal"/>
      <w:lvlText w:val="%7."/>
      <w:lvlJc w:val="left"/>
      <w:pPr>
        <w:ind w:left="5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14A7C1E">
      <w:start w:val="1"/>
      <w:numFmt w:val="lowerLetter"/>
      <w:lvlText w:val="%8."/>
      <w:lvlJc w:val="left"/>
      <w:pPr>
        <w:ind w:left="5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3C45F8">
      <w:start w:val="1"/>
      <w:numFmt w:val="lowerRoman"/>
      <w:lvlText w:val="%9."/>
      <w:lvlJc w:val="left"/>
      <w:pPr>
        <w:ind w:left="65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A8105DE"/>
    <w:multiLevelType w:val="hybridMultilevel"/>
    <w:tmpl w:val="85989ECE"/>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16"/>
  </w:num>
  <w:num w:numId="5">
    <w:abstractNumId w:val="0"/>
  </w:num>
  <w:num w:numId="6">
    <w:abstractNumId w:val="6"/>
  </w:num>
  <w:num w:numId="7">
    <w:abstractNumId w:val="15"/>
  </w:num>
  <w:num w:numId="8">
    <w:abstractNumId w:val="13"/>
  </w:num>
  <w:num w:numId="9">
    <w:abstractNumId w:val="2"/>
  </w:num>
  <w:num w:numId="10">
    <w:abstractNumId w:val="18"/>
  </w:num>
  <w:num w:numId="11">
    <w:abstractNumId w:val="17"/>
  </w:num>
  <w:num w:numId="12">
    <w:abstractNumId w:val="3"/>
  </w:num>
  <w:num w:numId="13">
    <w:abstractNumId w:val="4"/>
  </w:num>
  <w:num w:numId="14">
    <w:abstractNumId w:val="1"/>
  </w:num>
  <w:num w:numId="15">
    <w:abstractNumId w:val="14"/>
  </w:num>
  <w:num w:numId="16">
    <w:abstractNumId w:val="12"/>
  </w:num>
  <w:num w:numId="17">
    <w:abstractNumId w:val="20"/>
  </w:num>
  <w:num w:numId="18">
    <w:abstractNumId w:val="5"/>
  </w:num>
  <w:num w:numId="19">
    <w:abstractNumId w:val="19"/>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4074782-1E51-4ADC-AA05-84361FBB2C81"/>
    <w:docVar w:name="LW_COVERPAGE_TYPE" w:val="1"/>
    <w:docVar w:name="LW_CROSSREFERENCE" w:val="&lt;UNUSED&gt;"/>
    <w:docVar w:name="LW_DocType" w:val="NORMAL"/>
    <w:docVar w:name="LW_EMISSION" w:val="29.4.2020"/>
    <w:docVar w:name="LW_EMISSION_ISODATE" w:val="2020-04-29"/>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outien aux Balkans occidentaux dans la lutte contre la COVID-19 et la relance après la pandémie&lt;/FMT&gt;_x000d__x000b__x000d__x000d__x000d__x000d__x000d__x000b__x000d__x000d__x000d__x000d__x000d__x000b_Contribution de la Commission en vue de la réunion des dirigeants de l\u8217?UE et des Balkans occidentaux du 6 mai 2020"/>
    <w:docVar w:name="LW_TYPE.DOC.CP" w:val="COMMUNICATION DE LA COMMISSION AU PARLEMENT EUROPÉEN, AU CONSEIL, AU COMITÉ ÉCONOMIQUE ET SOCIAL EUROPÉEN ET AU COMITÉ DES RÉGIONS"/>
    <w:docVar w:name="LW_TYPE.DOC.CP.USERTEXT" w:val="&lt;EMPTY&gt;"/>
  </w:docVars>
  <w:rsids>
    <w:rsidRoot w:val="00BD582A"/>
    <w:rsid w:val="00BD582A"/>
    <w:rsid w:val="00E73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7DAE1EE6-631A-4342-BAE4-14C61220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Ha"/>
    <w:basedOn w:val="Normal"/>
    <w:link w:val="ListParagraphChar"/>
    <w:qFormat/>
    <w:pPr>
      <w:spacing w:after="0" w:line="240" w:lineRule="auto"/>
      <w:ind w:left="720"/>
    </w:pPr>
    <w:rPr>
      <w:rFonts w:ascii="Calibri" w:eastAsia="Calibri" w:hAnsi="Calibri" w:cs="Times New Roman"/>
      <w:lang w:val="fr-BE" w:eastAsia="fr-BE"/>
    </w:rPr>
  </w:style>
  <w:style w:type="paragraph" w:styleId="FootnoteText">
    <w:name w:val="footnote text"/>
    <w:basedOn w:val="Normal"/>
    <w:link w:val="FootnoteTextChar"/>
    <w:uiPriority w:val="99"/>
    <w:unhideWhenUsed/>
    <w:qFormat/>
    <w:pPr>
      <w:spacing w:after="0" w:line="240" w:lineRule="auto"/>
    </w:pPr>
    <w:rPr>
      <w:rFonts w:ascii="Calibri" w:eastAsia="Calibri" w:hAnsi="Calibri" w:cs="Times New Roman"/>
      <w:sz w:val="20"/>
      <w:szCs w:val="20"/>
      <w:lang w:val="fr-BE" w:eastAsia="fr-BE"/>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fr-BE"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w w:val="100"/>
      <w:sz w:val="20"/>
      <w:szCs w:val="20"/>
      <w:shd w:val="clear" w:color="auto" w:fill="auto"/>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lang w:val="fr-BE" w:eastAsia="fr-B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BE" w:eastAsia="fr-BE"/>
    </w:rPr>
  </w:style>
  <w:style w:type="paragraph" w:styleId="NormalWeb">
    <w:name w:val="Normal (Web)"/>
    <w:basedOn w:val="Normal"/>
    <w:unhideWhenUsed/>
    <w:pPr>
      <w:spacing w:after="0" w:line="240" w:lineRule="auto"/>
    </w:pPr>
    <w:rPr>
      <w:rFonts w:ascii="Times New Roman" w:eastAsia="Times New Roman" w:hAnsi="Times New Roman" w:cs="Times New Roman"/>
      <w:sz w:val="24"/>
      <w:szCs w:val="24"/>
      <w:lang w:val="fr-BE"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qFormat/>
    <w:rPr>
      <w:rFonts w:ascii="Calibri" w:eastAsia="Calibri" w:hAnsi="Calibri" w:cs="Times New Roman"/>
      <w:lang w:val="fr-BE"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val="cs-CZ"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BE" w:eastAsia="fr-BE"/>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0"/>
      <w:szCs w:val="20"/>
      <w:vertAlign w:val="superscript"/>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val="en-GB" w:eastAsia="en-GB"/>
      <w14:textOutline w14:w="0" w14:cap="flat" w14:cmpd="sng" w14:algn="ctr">
        <w14:noFill/>
        <w14:prstDash w14:val="solid"/>
        <w14:bevel/>
      </w14:textOutline>
    </w:rPr>
  </w:style>
  <w:style w:type="numbering" w:customStyle="1" w:styleId="ImportedStyle1">
    <w:name w:val="Imported Style 1"/>
    <w:pPr>
      <w:numPr>
        <w:numId w:val="19"/>
      </w:numPr>
    </w:pPr>
  </w:style>
  <w:style w:type="character" w:customStyle="1" w:styleId="Hyperlink0">
    <w:name w:val="Hyperlink.0"/>
    <w:basedOn w:val="DefaultParagraphFont"/>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8462">
      <w:bodyDiv w:val="1"/>
      <w:marLeft w:val="0"/>
      <w:marRight w:val="0"/>
      <w:marTop w:val="0"/>
      <w:marBottom w:val="0"/>
      <w:divBdr>
        <w:top w:val="none" w:sz="0" w:space="0" w:color="auto"/>
        <w:left w:val="none" w:sz="0" w:space="0" w:color="auto"/>
        <w:bottom w:val="none" w:sz="0" w:space="0" w:color="auto"/>
        <w:right w:val="none" w:sz="0" w:space="0" w:color="auto"/>
      </w:divBdr>
    </w:div>
    <w:div w:id="193353803">
      <w:bodyDiv w:val="1"/>
      <w:marLeft w:val="0"/>
      <w:marRight w:val="0"/>
      <w:marTop w:val="0"/>
      <w:marBottom w:val="0"/>
      <w:divBdr>
        <w:top w:val="none" w:sz="0" w:space="0" w:color="auto"/>
        <w:left w:val="none" w:sz="0" w:space="0" w:color="auto"/>
        <w:bottom w:val="none" w:sz="0" w:space="0" w:color="auto"/>
        <w:right w:val="none" w:sz="0" w:space="0" w:color="auto"/>
      </w:divBdr>
    </w:div>
    <w:div w:id="452789347">
      <w:bodyDiv w:val="1"/>
      <w:marLeft w:val="0"/>
      <w:marRight w:val="0"/>
      <w:marTop w:val="0"/>
      <w:marBottom w:val="0"/>
      <w:divBdr>
        <w:top w:val="none" w:sz="0" w:space="0" w:color="auto"/>
        <w:left w:val="none" w:sz="0" w:space="0" w:color="auto"/>
        <w:bottom w:val="none" w:sz="0" w:space="0" w:color="auto"/>
        <w:right w:val="none" w:sz="0" w:space="0" w:color="auto"/>
      </w:divBdr>
    </w:div>
    <w:div w:id="676232197">
      <w:bodyDiv w:val="1"/>
      <w:marLeft w:val="0"/>
      <w:marRight w:val="0"/>
      <w:marTop w:val="0"/>
      <w:marBottom w:val="0"/>
      <w:divBdr>
        <w:top w:val="none" w:sz="0" w:space="0" w:color="auto"/>
        <w:left w:val="none" w:sz="0" w:space="0" w:color="auto"/>
        <w:bottom w:val="none" w:sz="0" w:space="0" w:color="auto"/>
        <w:right w:val="none" w:sz="0" w:space="0" w:color="auto"/>
      </w:divBdr>
    </w:div>
    <w:div w:id="700055688">
      <w:bodyDiv w:val="1"/>
      <w:marLeft w:val="0"/>
      <w:marRight w:val="0"/>
      <w:marTop w:val="0"/>
      <w:marBottom w:val="0"/>
      <w:divBdr>
        <w:top w:val="none" w:sz="0" w:space="0" w:color="auto"/>
        <w:left w:val="none" w:sz="0" w:space="0" w:color="auto"/>
        <w:bottom w:val="none" w:sz="0" w:space="0" w:color="auto"/>
        <w:right w:val="none" w:sz="0" w:space="0" w:color="auto"/>
      </w:divBdr>
    </w:div>
    <w:div w:id="736166459">
      <w:bodyDiv w:val="1"/>
      <w:marLeft w:val="0"/>
      <w:marRight w:val="0"/>
      <w:marTop w:val="0"/>
      <w:marBottom w:val="0"/>
      <w:divBdr>
        <w:top w:val="none" w:sz="0" w:space="0" w:color="auto"/>
        <w:left w:val="none" w:sz="0" w:space="0" w:color="auto"/>
        <w:bottom w:val="none" w:sz="0" w:space="0" w:color="auto"/>
        <w:right w:val="none" w:sz="0" w:space="0" w:color="auto"/>
      </w:divBdr>
    </w:div>
    <w:div w:id="756904911">
      <w:bodyDiv w:val="1"/>
      <w:marLeft w:val="0"/>
      <w:marRight w:val="0"/>
      <w:marTop w:val="0"/>
      <w:marBottom w:val="0"/>
      <w:divBdr>
        <w:top w:val="none" w:sz="0" w:space="0" w:color="auto"/>
        <w:left w:val="none" w:sz="0" w:space="0" w:color="auto"/>
        <w:bottom w:val="none" w:sz="0" w:space="0" w:color="auto"/>
        <w:right w:val="none" w:sz="0" w:space="0" w:color="auto"/>
      </w:divBdr>
    </w:div>
    <w:div w:id="911962017">
      <w:bodyDiv w:val="1"/>
      <w:marLeft w:val="0"/>
      <w:marRight w:val="0"/>
      <w:marTop w:val="0"/>
      <w:marBottom w:val="0"/>
      <w:divBdr>
        <w:top w:val="none" w:sz="0" w:space="0" w:color="auto"/>
        <w:left w:val="none" w:sz="0" w:space="0" w:color="auto"/>
        <w:bottom w:val="none" w:sz="0" w:space="0" w:color="auto"/>
        <w:right w:val="none" w:sz="0" w:space="0" w:color="auto"/>
      </w:divBdr>
    </w:div>
    <w:div w:id="938295663">
      <w:bodyDiv w:val="1"/>
      <w:marLeft w:val="0"/>
      <w:marRight w:val="0"/>
      <w:marTop w:val="0"/>
      <w:marBottom w:val="0"/>
      <w:divBdr>
        <w:top w:val="none" w:sz="0" w:space="0" w:color="auto"/>
        <w:left w:val="none" w:sz="0" w:space="0" w:color="auto"/>
        <w:bottom w:val="none" w:sz="0" w:space="0" w:color="auto"/>
        <w:right w:val="none" w:sz="0" w:space="0" w:color="auto"/>
      </w:divBdr>
    </w:div>
    <w:div w:id="1168449821">
      <w:bodyDiv w:val="1"/>
      <w:marLeft w:val="0"/>
      <w:marRight w:val="0"/>
      <w:marTop w:val="0"/>
      <w:marBottom w:val="0"/>
      <w:divBdr>
        <w:top w:val="none" w:sz="0" w:space="0" w:color="auto"/>
        <w:left w:val="none" w:sz="0" w:space="0" w:color="auto"/>
        <w:bottom w:val="none" w:sz="0" w:space="0" w:color="auto"/>
        <w:right w:val="none" w:sz="0" w:space="0" w:color="auto"/>
      </w:divBdr>
    </w:div>
    <w:div w:id="1331561304">
      <w:bodyDiv w:val="1"/>
      <w:marLeft w:val="0"/>
      <w:marRight w:val="0"/>
      <w:marTop w:val="0"/>
      <w:marBottom w:val="0"/>
      <w:divBdr>
        <w:top w:val="none" w:sz="0" w:space="0" w:color="auto"/>
        <w:left w:val="none" w:sz="0" w:space="0" w:color="auto"/>
        <w:bottom w:val="none" w:sz="0" w:space="0" w:color="auto"/>
        <w:right w:val="none" w:sz="0" w:space="0" w:color="auto"/>
      </w:divBdr>
    </w:div>
    <w:div w:id="1403748287">
      <w:bodyDiv w:val="1"/>
      <w:marLeft w:val="0"/>
      <w:marRight w:val="0"/>
      <w:marTop w:val="0"/>
      <w:marBottom w:val="0"/>
      <w:divBdr>
        <w:top w:val="none" w:sz="0" w:space="0" w:color="auto"/>
        <w:left w:val="none" w:sz="0" w:space="0" w:color="auto"/>
        <w:bottom w:val="none" w:sz="0" w:space="0" w:color="auto"/>
        <w:right w:val="none" w:sz="0" w:space="0" w:color="auto"/>
      </w:divBdr>
    </w:div>
    <w:div w:id="1974796326">
      <w:bodyDiv w:val="1"/>
      <w:marLeft w:val="0"/>
      <w:marRight w:val="0"/>
      <w:marTop w:val="0"/>
      <w:marBottom w:val="0"/>
      <w:divBdr>
        <w:top w:val="none" w:sz="0" w:space="0" w:color="auto"/>
        <w:left w:val="none" w:sz="0" w:space="0" w:color="auto"/>
        <w:bottom w:val="none" w:sz="0" w:space="0" w:color="auto"/>
        <w:right w:val="none" w:sz="0" w:space="0" w:color="auto"/>
      </w:divBdr>
    </w:div>
    <w:div w:id="21413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neighbourhood-enlargement/sites/near/files/enlargement-methodology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1C36F-CEA1-468A-A1C5-6FBB76A1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3192</Words>
  <Characters>17589</Characters>
  <Application>Microsoft Office Word</Application>
  <DocSecurity>0</DocSecurity>
  <Lines>732</Lines>
  <Paragraphs>593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HEILEMANN Stefanie (SG)</cp:lastModifiedBy>
  <cp:revision>25</cp:revision>
  <cp:lastPrinted>2020-04-28T19:27:00Z</cp:lastPrinted>
  <dcterms:created xsi:type="dcterms:W3CDTF">2020-04-28T19:14:00Z</dcterms:created>
  <dcterms:modified xsi:type="dcterms:W3CDTF">2020-04-29T11:04:00Z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ies>
</file>