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98" w:rsidRPr="008C2D78" w:rsidRDefault="00322CB5">
      <w:pPr>
        <w:pStyle w:val="Pagedecouverture"/>
        <w:rPr>
          <w:noProof/>
          <w:szCs w:val="24"/>
          <w:lang w:val="en-GB"/>
        </w:rPr>
      </w:pPr>
      <w:bookmarkStart w:id="0" w:name="LW_BM_COVERPAGE"/>
      <w:r>
        <w:rPr>
          <w:noProof/>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B3B6EE-0648-47A8-9707-48C34AF553BE" style="width:450pt;height:362pt">
            <v:imagedata r:id="rId8" o:title=""/>
          </v:shape>
        </w:pict>
      </w:r>
    </w:p>
    <w:bookmarkEnd w:id="0"/>
    <w:p w:rsidR="009F1698" w:rsidRPr="008C2D78" w:rsidRDefault="009F1698">
      <w:pPr>
        <w:spacing w:after="120" w:line="240" w:lineRule="auto"/>
        <w:rPr>
          <w:rFonts w:ascii="Times New Roman" w:hAnsi="Times New Roman" w:cs="Times New Roman"/>
          <w:noProof/>
          <w:sz w:val="24"/>
          <w:szCs w:val="24"/>
          <w:lang w:val="en-GB"/>
        </w:rPr>
        <w:sectPr w:rsidR="009F1698" w:rsidRPr="008C2D78">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9F1698" w:rsidRPr="008C2D78" w:rsidRDefault="008C2D78">
      <w:pPr>
        <w:pStyle w:val="Body"/>
        <w:spacing w:after="120" w:line="240" w:lineRule="auto"/>
        <w:jc w:val="center"/>
        <w:rPr>
          <w:rFonts w:ascii="Times New Roman" w:eastAsia="Times New Roman" w:hAnsi="Times New Roman" w:cs="Times New Roman"/>
          <w:b/>
          <w:bCs/>
          <w:noProof/>
          <w:sz w:val="24"/>
          <w:szCs w:val="24"/>
        </w:rPr>
      </w:pPr>
      <w:r w:rsidRPr="008C2D78">
        <w:rPr>
          <w:rFonts w:ascii="Times New Roman" w:hAnsi="Times New Roman" w:cs="Times New Roman"/>
          <w:b/>
          <w:bCs/>
          <w:noProof/>
          <w:sz w:val="24"/>
          <w:szCs w:val="24"/>
          <w:lang w:val="en-US"/>
        </w:rPr>
        <w:lastRenderedPageBreak/>
        <w:t xml:space="preserve">Commission Communication on </w:t>
      </w:r>
    </w:p>
    <w:p w:rsidR="009F1698" w:rsidRPr="008C2D78" w:rsidRDefault="008C2D78">
      <w:pPr>
        <w:pStyle w:val="Body"/>
        <w:jc w:val="center"/>
        <w:rPr>
          <w:rFonts w:ascii="Times New Roman" w:eastAsia="Times New Roman" w:hAnsi="Times New Roman" w:cs="Times New Roman"/>
          <w:b/>
          <w:bCs/>
          <w:noProof/>
          <w:sz w:val="24"/>
          <w:szCs w:val="24"/>
        </w:rPr>
      </w:pPr>
      <w:r w:rsidRPr="008C2D78">
        <w:rPr>
          <w:rFonts w:ascii="Times New Roman" w:hAnsi="Times New Roman" w:cs="Times New Roman"/>
          <w:b/>
          <w:bCs/>
          <w:noProof/>
          <w:sz w:val="24"/>
          <w:szCs w:val="24"/>
          <w:lang w:val="en-US"/>
        </w:rPr>
        <w:t xml:space="preserve">Support to the Western Balkans in tackling COVID-19 and the post-pandemic recovery </w:t>
      </w:r>
    </w:p>
    <w:p w:rsidR="009F1698" w:rsidRPr="008C2D78" w:rsidRDefault="009F1698">
      <w:pPr>
        <w:pStyle w:val="Body"/>
        <w:spacing w:after="120" w:line="240" w:lineRule="auto"/>
        <w:rPr>
          <w:rFonts w:ascii="Times New Roman" w:eastAsia="Times New Roman" w:hAnsi="Times New Roman" w:cs="Times New Roman"/>
          <w:noProof/>
          <w:sz w:val="24"/>
          <w:szCs w:val="24"/>
          <w:lang w:val="en-US"/>
        </w:rPr>
      </w:pPr>
    </w:p>
    <w:p w:rsidR="009F1698" w:rsidRPr="008C2D78" w:rsidRDefault="008C2D78">
      <w:pPr>
        <w:pStyle w:val="ListParagraph"/>
        <w:numPr>
          <w:ilvl w:val="0"/>
          <w:numId w:val="20"/>
        </w:numPr>
        <w:pBdr>
          <w:top w:val="nil"/>
          <w:left w:val="nil"/>
          <w:bottom w:val="nil"/>
          <w:right w:val="nil"/>
          <w:between w:val="nil"/>
          <w:bar w:val="nil"/>
        </w:pBdr>
        <w:spacing w:after="120"/>
        <w:jc w:val="both"/>
        <w:rPr>
          <w:rFonts w:ascii="Times New Roman" w:hAnsi="Times New Roman"/>
          <w:b/>
          <w:bCs/>
          <w:noProof/>
          <w:sz w:val="24"/>
          <w:szCs w:val="24"/>
          <w:lang w:val="en-US"/>
        </w:rPr>
      </w:pPr>
      <w:r w:rsidRPr="008C2D78">
        <w:rPr>
          <w:rFonts w:ascii="Times New Roman" w:hAnsi="Times New Roman"/>
          <w:b/>
          <w:bCs/>
          <w:noProof/>
          <w:sz w:val="24"/>
          <w:szCs w:val="24"/>
          <w:lang w:val="en-US"/>
        </w:rPr>
        <w:t xml:space="preserve">Introduction </w:t>
      </w: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w:t>
      </w:r>
      <w:r w:rsidRPr="008C2D78">
        <w:rPr>
          <w:rFonts w:ascii="Times New Roman" w:hAnsi="Times New Roman" w:cs="Times New Roman"/>
          <w:b/>
          <w:bCs/>
          <w:noProof/>
          <w:sz w:val="24"/>
          <w:szCs w:val="24"/>
          <w:lang w:val="en-US"/>
        </w:rPr>
        <w:t>Western Balkans are an integral part of Europe</w:t>
      </w:r>
      <w:r w:rsidRPr="008C2D78">
        <w:rPr>
          <w:rFonts w:ascii="Times New Roman" w:hAnsi="Times New Roman" w:cs="Times New Roman"/>
          <w:noProof/>
          <w:sz w:val="24"/>
          <w:szCs w:val="24"/>
          <w:lang w:val="en-US"/>
        </w:rPr>
        <w:t xml:space="preserve"> and a geostrategic priority for the European Union. The European perspective of the entire region was confirmed again in March 2020, when the Member States endorsed the Commission‘s proposals for a </w:t>
      </w:r>
      <w:r w:rsidRPr="008C2D78">
        <w:rPr>
          <w:rFonts w:ascii="Times New Roman" w:hAnsi="Times New Roman" w:cs="Times New Roman"/>
          <w:b/>
          <w:bCs/>
          <w:noProof/>
          <w:sz w:val="24"/>
          <w:szCs w:val="24"/>
          <w:lang w:val="en-US"/>
        </w:rPr>
        <w:t>strengthened methodology</w:t>
      </w:r>
      <w:r w:rsidRPr="008C2D78">
        <w:rPr>
          <w:rFonts w:ascii="Times New Roman" w:eastAsia="Times New Roman" w:hAnsi="Times New Roman" w:cs="Times New Roman"/>
          <w:b/>
          <w:bCs/>
          <w:noProof/>
          <w:sz w:val="24"/>
          <w:szCs w:val="24"/>
          <w:vertAlign w:val="superscript"/>
          <w:lang w:val="en-US"/>
        </w:rPr>
        <w:footnoteReference w:id="2"/>
      </w:r>
      <w:r w:rsidRPr="008C2D78">
        <w:rPr>
          <w:rFonts w:ascii="Times New Roman" w:hAnsi="Times New Roman" w:cs="Times New Roman"/>
          <w:noProof/>
          <w:sz w:val="24"/>
          <w:szCs w:val="24"/>
          <w:lang w:val="en-US"/>
        </w:rPr>
        <w:t xml:space="preserve"> for the accession process and decided to open accession negotiations with the</w:t>
      </w:r>
      <w:r w:rsidRPr="008C2D78">
        <w:rPr>
          <w:rFonts w:ascii="Times New Roman" w:hAnsi="Times New Roman" w:cs="Times New Roman"/>
          <w:b/>
          <w:bCs/>
          <w:noProof/>
          <w:sz w:val="24"/>
          <w:szCs w:val="24"/>
          <w:lang w:val="en-US"/>
        </w:rPr>
        <w:t xml:space="preserve"> Republic of</w:t>
      </w:r>
      <w:r w:rsidRPr="008C2D78">
        <w:rPr>
          <w:rFonts w:ascii="Times New Roman" w:hAnsi="Times New Roman" w:cs="Times New Roman"/>
          <w:noProof/>
          <w:sz w:val="24"/>
          <w:szCs w:val="24"/>
          <w:lang w:val="en-US"/>
        </w:rPr>
        <w:t xml:space="preserve"> </w:t>
      </w:r>
      <w:r w:rsidRPr="008C2D78">
        <w:rPr>
          <w:rFonts w:ascii="Times New Roman" w:hAnsi="Times New Roman" w:cs="Times New Roman"/>
          <w:b/>
          <w:bCs/>
          <w:noProof/>
          <w:sz w:val="24"/>
          <w:szCs w:val="24"/>
          <w:lang w:val="en-US"/>
        </w:rPr>
        <w:t xml:space="preserve">Albania and </w:t>
      </w:r>
      <w:r w:rsidRPr="008C2D78">
        <w:rPr>
          <w:rFonts w:ascii="Times New Roman" w:hAnsi="Times New Roman" w:cs="Times New Roman"/>
          <w:noProof/>
          <w:sz w:val="24"/>
          <w:szCs w:val="24"/>
          <w:lang w:val="en-US"/>
        </w:rPr>
        <w:t>the</w:t>
      </w:r>
      <w:r w:rsidRPr="008C2D78">
        <w:rPr>
          <w:rFonts w:ascii="Times New Roman" w:hAnsi="Times New Roman" w:cs="Times New Roman"/>
          <w:b/>
          <w:bCs/>
          <w:noProof/>
          <w:sz w:val="24"/>
          <w:szCs w:val="24"/>
          <w:lang w:val="en-US"/>
        </w:rPr>
        <w:t xml:space="preserve"> Republic of North Macedonia</w:t>
      </w:r>
      <w:r w:rsidRPr="008C2D78">
        <w:rPr>
          <w:rFonts w:ascii="Times New Roman" w:hAnsi="Times New Roman" w:cs="Times New Roman"/>
          <w:noProof/>
          <w:sz w:val="24"/>
          <w:szCs w:val="24"/>
          <w:lang w:val="en-US"/>
        </w:rPr>
        <w:t xml:space="preserve">. It is of key importance to the European Union to continue fostering the stability and prosperity of this region, and build on our shared strategic interests. </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 xml:space="preserve">Despite the determined measures Western Balkans partners have taken themselves, the </w:t>
      </w:r>
      <w:r w:rsidRPr="008C2D78">
        <w:rPr>
          <w:rFonts w:ascii="Times New Roman" w:hAnsi="Times New Roman"/>
          <w:b/>
          <w:bCs/>
          <w:noProof/>
          <w:sz w:val="24"/>
          <w:szCs w:val="24"/>
          <w:lang w:val="en-US"/>
        </w:rPr>
        <w:t>COVID-19 pandemic,</w:t>
      </w:r>
      <w:r w:rsidRPr="008C2D78">
        <w:rPr>
          <w:rFonts w:ascii="Times New Roman" w:hAnsi="Times New Roman"/>
          <w:noProof/>
          <w:sz w:val="24"/>
          <w:szCs w:val="24"/>
          <w:lang w:val="en-US"/>
        </w:rPr>
        <w:t xml:space="preserve"> in addition to its immediate human impact, is </w:t>
      </w:r>
      <w:r w:rsidRPr="008C2D78">
        <w:rPr>
          <w:rFonts w:ascii="Times New Roman" w:hAnsi="Times New Roman"/>
          <w:b/>
          <w:bCs/>
          <w:noProof/>
          <w:sz w:val="24"/>
          <w:szCs w:val="24"/>
          <w:lang w:val="en-US"/>
        </w:rPr>
        <w:t>having a disruptive effect on the economies of the region and on people’s lives</w:t>
      </w:r>
      <w:r w:rsidRPr="008C2D78">
        <w:rPr>
          <w:rFonts w:ascii="Times New Roman" w:hAnsi="Times New Roman"/>
          <w:noProof/>
          <w:sz w:val="24"/>
          <w:szCs w:val="24"/>
          <w:lang w:val="en-US"/>
        </w:rPr>
        <w:t xml:space="preserve">. It represents an unprecedented burden on their health and social protection systems. Thousands of citizens are at risk of losing their jobs, and temporary government support measures (unemployment benefits, deferrals/waivers to tax and social security contributions, etc.) have an important fiscal impact. Governments also have to rapidly expand the coverage of social protection systems. The pandemic has also affected the common efforts related to migration.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While the EU itself is heavily affected by the pandemic, it has a particular </w:t>
      </w:r>
      <w:r w:rsidRPr="008C2D78">
        <w:rPr>
          <w:rFonts w:ascii="Times New Roman" w:hAnsi="Times New Roman" w:cs="Times New Roman"/>
          <w:b/>
          <w:bCs/>
          <w:noProof/>
          <w:sz w:val="24"/>
          <w:szCs w:val="24"/>
          <w:lang w:val="en-US"/>
        </w:rPr>
        <w:t>responsibility and interest to lead the global response</w:t>
      </w:r>
      <w:r w:rsidRPr="008C2D78">
        <w:rPr>
          <w:rFonts w:ascii="Times New Roman" w:hAnsi="Times New Roman" w:cs="Times New Roman"/>
          <w:noProof/>
          <w:sz w:val="24"/>
          <w:szCs w:val="24"/>
          <w:lang w:val="en-US"/>
        </w:rPr>
        <w:t xml:space="preserve"> and provide assistance to partners in need, all the more in its immediate neighborhood. As part of its international efforts, the EU is </w:t>
      </w:r>
      <w:r w:rsidRPr="008C2D78">
        <w:rPr>
          <w:rFonts w:ascii="Times New Roman" w:hAnsi="Times New Roman" w:cs="Times New Roman"/>
          <w:b/>
          <w:bCs/>
          <w:noProof/>
          <w:sz w:val="24"/>
          <w:szCs w:val="24"/>
          <w:lang w:val="en-US"/>
        </w:rPr>
        <w:t>providing essential and unparalleled support to the Western Balkans</w:t>
      </w:r>
      <w:r w:rsidRPr="008C2D78">
        <w:rPr>
          <w:rFonts w:ascii="Times New Roman" w:hAnsi="Times New Roman" w:cs="Times New Roman"/>
          <w:noProof/>
          <w:sz w:val="24"/>
          <w:szCs w:val="24"/>
          <w:lang w:val="en-US"/>
        </w:rPr>
        <w:t xml:space="preserve">. The EU is securing financial support of more than EUR 3.3 billion for countries in the region to address the immediate health crisis and resulting humanitarian needs, as well as longer term and structural impact on their societies and economies. Given their European perspective, it is also treating the Western Balkans as privileged partners by granting them access to many initiatives and instruments reserved for EU Member States.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EU leaders and those of the region will gather on 6 May 2020 to reflect on the challenges they are facing together. To feed into these discussions, this Communication sets out the </w:t>
      </w:r>
      <w:r w:rsidRPr="008C2D78">
        <w:rPr>
          <w:rFonts w:ascii="Times New Roman" w:hAnsi="Times New Roman" w:cs="Times New Roman"/>
          <w:b/>
          <w:bCs/>
          <w:noProof/>
          <w:sz w:val="24"/>
          <w:szCs w:val="24"/>
          <w:lang w:val="en-US"/>
        </w:rPr>
        <w:t xml:space="preserve">solidarity of the European Union with the Western Balkans </w:t>
      </w:r>
      <w:r w:rsidRPr="008C2D78">
        <w:rPr>
          <w:rFonts w:ascii="Times New Roman" w:hAnsi="Times New Roman" w:cs="Times New Roman"/>
          <w:noProof/>
          <w:sz w:val="24"/>
          <w:szCs w:val="24"/>
          <w:lang w:val="en-US"/>
        </w:rPr>
        <w:t xml:space="preserve">as they address the immediate impact of COVID-19, and lays out the areas of mutual cooperation. It looks ahead to longer term support by the EU for economic recovery, </w:t>
      </w:r>
      <w:r w:rsidRPr="008C2D78">
        <w:rPr>
          <w:rFonts w:ascii="Times New Roman" w:hAnsi="Times New Roman" w:cs="Times New Roman"/>
          <w:b/>
          <w:bCs/>
          <w:noProof/>
          <w:sz w:val="24"/>
          <w:szCs w:val="24"/>
          <w:lang w:val="en-US"/>
        </w:rPr>
        <w:t xml:space="preserve">setting the scene for a more detailed economic and investment plan for the region to be presented by the Commission </w:t>
      </w:r>
      <w:r w:rsidRPr="008C2D78">
        <w:rPr>
          <w:rFonts w:ascii="Times New Roman" w:hAnsi="Times New Roman" w:cs="Times New Roman"/>
          <w:noProof/>
          <w:sz w:val="24"/>
          <w:szCs w:val="24"/>
          <w:lang w:val="en-US"/>
        </w:rPr>
        <w:t xml:space="preserve">later this year. It also looks ahead to further intensified EU engagement and support to realise the European perspective of the region by supporting all the partners in </w:t>
      </w:r>
      <w:r w:rsidRPr="008C2D78">
        <w:rPr>
          <w:rFonts w:ascii="Times New Roman" w:hAnsi="Times New Roman" w:cs="Times New Roman"/>
          <w:b/>
          <w:bCs/>
          <w:noProof/>
          <w:sz w:val="24"/>
          <w:szCs w:val="24"/>
          <w:lang w:val="en-US"/>
        </w:rPr>
        <w:t xml:space="preserve">addressing the required fundamental </w:t>
      </w:r>
      <w:r w:rsidRPr="008C2D78">
        <w:rPr>
          <w:rFonts w:ascii="Times New Roman" w:hAnsi="Times New Roman" w:cs="Times New Roman"/>
          <w:b/>
          <w:noProof/>
          <w:sz w:val="24"/>
          <w:szCs w:val="24"/>
        </w:rPr>
        <w:t xml:space="preserve">democratic, rule of law and economic </w:t>
      </w:r>
      <w:r w:rsidRPr="008C2D78">
        <w:rPr>
          <w:rFonts w:ascii="Times New Roman" w:hAnsi="Times New Roman" w:cs="Times New Roman"/>
          <w:b/>
          <w:bCs/>
          <w:noProof/>
          <w:sz w:val="24"/>
          <w:szCs w:val="24"/>
          <w:lang w:val="en-US"/>
        </w:rPr>
        <w:t>reforms</w:t>
      </w:r>
      <w:r w:rsidRPr="008C2D78">
        <w:rPr>
          <w:rFonts w:ascii="Times New Roman" w:hAnsi="Times New Roman" w:cs="Times New Roman"/>
          <w:noProof/>
          <w:sz w:val="24"/>
          <w:szCs w:val="24"/>
          <w:lang w:val="en-US"/>
        </w:rPr>
        <w:t xml:space="preserve"> with even greater vigour, as foreseen in the strengthened methodology. </w:t>
      </w: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8C2D78">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lang w:val="en-US"/>
        </w:rPr>
      </w:pPr>
      <w:r w:rsidRPr="008C2D78">
        <w:rPr>
          <w:rFonts w:ascii="Times New Roman" w:hAnsi="Times New Roman"/>
          <w:b/>
          <w:bCs/>
          <w:noProof/>
          <w:sz w:val="24"/>
          <w:szCs w:val="24"/>
          <w:lang w:val="en-US"/>
        </w:rPr>
        <w:lastRenderedPageBreak/>
        <w:t>EU support to the</w:t>
      </w:r>
      <w:r w:rsidRPr="008C2D78">
        <w:rPr>
          <w:rFonts w:ascii="Times New Roman" w:hAnsi="Times New Roman"/>
          <w:noProof/>
          <w:sz w:val="24"/>
          <w:szCs w:val="24"/>
          <w:lang w:val="en-US"/>
        </w:rPr>
        <w:t xml:space="preserve"> </w:t>
      </w:r>
      <w:r w:rsidRPr="008C2D78">
        <w:rPr>
          <w:rFonts w:ascii="Times New Roman" w:hAnsi="Times New Roman"/>
          <w:b/>
          <w:bCs/>
          <w:noProof/>
          <w:sz w:val="24"/>
          <w:szCs w:val="24"/>
          <w:lang w:val="en-US"/>
        </w:rPr>
        <w:t xml:space="preserve">Western Balkans in tackling COVID-19 </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In its response to the crisis, the EU decided to provide substantial financial support but also to include, to the greatest possible extent, the Western Balkans in its own response. While support has also been extended by other partners to the region, flexible procedures and timely decisions resulted in the EU being once again the region’s most effective and reliable partner.</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 xml:space="preserve">The EU has mobilised </w:t>
      </w:r>
      <w:r w:rsidRPr="008C2D78">
        <w:rPr>
          <w:rFonts w:ascii="Times New Roman" w:hAnsi="Times New Roman"/>
          <w:b/>
          <w:bCs/>
          <w:noProof/>
          <w:sz w:val="24"/>
          <w:szCs w:val="24"/>
          <w:lang w:val="en-US"/>
        </w:rPr>
        <w:t xml:space="preserve">a package of over EUR 3.3 billion </w:t>
      </w:r>
      <w:r w:rsidRPr="008C2D78">
        <w:rPr>
          <w:rFonts w:ascii="Times New Roman" w:hAnsi="Times New Roman"/>
          <w:bCs/>
          <w:noProof/>
          <w:sz w:val="24"/>
          <w:szCs w:val="24"/>
          <w:lang w:val="en-US"/>
        </w:rPr>
        <w:t>to the benefit of Western Balkans</w:t>
      </w:r>
      <w:r w:rsidRPr="008C2D78">
        <w:rPr>
          <w:rFonts w:ascii="Times New Roman" w:hAnsi="Times New Roman"/>
          <w:b/>
          <w:bCs/>
          <w:noProof/>
          <w:sz w:val="24"/>
          <w:szCs w:val="24"/>
          <w:lang w:val="en-US"/>
        </w:rPr>
        <w:t xml:space="preserve"> citizens</w:t>
      </w:r>
      <w:r w:rsidRPr="008C2D78">
        <w:rPr>
          <w:rFonts w:ascii="Times New Roman" w:eastAsia="Times New Roman" w:hAnsi="Times New Roman"/>
          <w:b/>
          <w:bCs/>
          <w:noProof/>
          <w:sz w:val="24"/>
          <w:szCs w:val="24"/>
          <w:vertAlign w:val="superscript"/>
          <w:lang w:val="en-US"/>
        </w:rPr>
        <w:footnoteReference w:id="3"/>
      </w:r>
      <w:r w:rsidRPr="008C2D78">
        <w:rPr>
          <w:rFonts w:ascii="Times New Roman" w:hAnsi="Times New Roman"/>
          <w:noProof/>
          <w:sz w:val="24"/>
          <w:szCs w:val="24"/>
          <w:lang w:val="en-US"/>
        </w:rPr>
        <w:t xml:space="preserve">. This includes reallocations from the </w:t>
      </w:r>
      <w:r w:rsidRPr="008C2D78">
        <w:rPr>
          <w:rFonts w:ascii="Times New Roman" w:hAnsi="Times New Roman"/>
          <w:b/>
          <w:bCs/>
          <w:noProof/>
          <w:sz w:val="24"/>
          <w:szCs w:val="24"/>
          <w:lang w:val="en-US"/>
        </w:rPr>
        <w:t>Instrument for Pre-accession Assistance</w:t>
      </w:r>
      <w:r w:rsidRPr="008C2D78">
        <w:rPr>
          <w:rFonts w:ascii="Times New Roman" w:eastAsia="Times New Roman" w:hAnsi="Times New Roman"/>
          <w:b/>
          <w:bCs/>
          <w:noProof/>
          <w:sz w:val="24"/>
          <w:szCs w:val="24"/>
          <w:vertAlign w:val="superscript"/>
          <w:lang w:val="en-US"/>
        </w:rPr>
        <w:footnoteReference w:id="4"/>
      </w:r>
      <w:r w:rsidRPr="008C2D78">
        <w:rPr>
          <w:rFonts w:ascii="Times New Roman" w:hAnsi="Times New Roman"/>
          <w:b/>
          <w:bCs/>
          <w:noProof/>
          <w:sz w:val="24"/>
          <w:szCs w:val="24"/>
          <w:lang w:val="en-US"/>
        </w:rPr>
        <w:t xml:space="preserve"> of EUR 38 million </w:t>
      </w:r>
      <w:r w:rsidRPr="008C2D78">
        <w:rPr>
          <w:rFonts w:ascii="Times New Roman" w:hAnsi="Times New Roman"/>
          <w:bCs/>
          <w:noProof/>
          <w:sz w:val="24"/>
          <w:szCs w:val="24"/>
          <w:lang w:val="en-US"/>
        </w:rPr>
        <w:t>of immediate support for the health sector</w:t>
      </w:r>
      <w:r w:rsidRPr="008C2D78">
        <w:rPr>
          <w:rFonts w:ascii="Times New Roman" w:hAnsi="Times New Roman"/>
          <w:noProof/>
          <w:sz w:val="24"/>
          <w:szCs w:val="24"/>
          <w:lang w:val="en-US"/>
        </w:rPr>
        <w:t>, in particular through delivering essential supplies to save lives such as personal protective equipment, tests and ventilators</w:t>
      </w:r>
      <w:r w:rsidRPr="008C2D78">
        <w:rPr>
          <w:rFonts w:ascii="Times New Roman" w:eastAsia="Times New Roman" w:hAnsi="Times New Roman"/>
          <w:noProof/>
          <w:sz w:val="24"/>
          <w:szCs w:val="24"/>
          <w:vertAlign w:val="superscript"/>
          <w:lang w:val="en-US"/>
        </w:rPr>
        <w:footnoteReference w:id="5"/>
      </w:r>
      <w:r w:rsidRPr="008C2D78">
        <w:rPr>
          <w:rFonts w:ascii="Times New Roman" w:hAnsi="Times New Roman"/>
          <w:noProof/>
          <w:sz w:val="24"/>
          <w:szCs w:val="24"/>
          <w:lang w:val="en-US"/>
        </w:rPr>
        <w:t xml:space="preserve">, </w:t>
      </w:r>
      <w:r w:rsidRPr="008C2D78">
        <w:rPr>
          <w:rFonts w:ascii="Times New Roman" w:hAnsi="Times New Roman"/>
          <w:b/>
          <w:bCs/>
          <w:noProof/>
          <w:sz w:val="24"/>
          <w:szCs w:val="24"/>
          <w:lang w:val="en-US"/>
        </w:rPr>
        <w:t>EUR 389 million</w:t>
      </w:r>
      <w:r w:rsidRPr="008C2D78">
        <w:rPr>
          <w:rFonts w:ascii="Times New Roman" w:hAnsi="Times New Roman"/>
          <w:noProof/>
          <w:sz w:val="24"/>
          <w:szCs w:val="24"/>
          <w:lang w:val="en-US"/>
        </w:rPr>
        <w:t xml:space="preserve"> to address </w:t>
      </w:r>
      <w:r w:rsidRPr="008C2D78">
        <w:rPr>
          <w:rFonts w:ascii="Times New Roman" w:hAnsi="Times New Roman"/>
          <w:b/>
          <w:bCs/>
          <w:noProof/>
          <w:sz w:val="24"/>
          <w:szCs w:val="24"/>
          <w:lang w:val="en-US"/>
        </w:rPr>
        <w:t>social and economic recovery needs</w:t>
      </w:r>
      <w:r w:rsidRPr="008C2D78">
        <w:rPr>
          <w:rFonts w:ascii="Times New Roman" w:hAnsi="Times New Roman"/>
          <w:noProof/>
          <w:sz w:val="24"/>
          <w:szCs w:val="24"/>
          <w:lang w:val="en-US"/>
        </w:rPr>
        <w:t xml:space="preserve"> and a further </w:t>
      </w:r>
      <w:r w:rsidRPr="008C2D78">
        <w:rPr>
          <w:rFonts w:ascii="Times New Roman" w:hAnsi="Times New Roman"/>
          <w:b/>
          <w:bCs/>
          <w:noProof/>
          <w:sz w:val="24"/>
          <w:szCs w:val="24"/>
          <w:lang w:val="en-US"/>
        </w:rPr>
        <w:t>EUR 455</w:t>
      </w:r>
      <w:r w:rsidRPr="008C2D78">
        <w:rPr>
          <w:rFonts w:ascii="Times New Roman" w:hAnsi="Times New Roman"/>
          <w:noProof/>
          <w:sz w:val="24"/>
          <w:szCs w:val="24"/>
          <w:lang w:val="en-US"/>
        </w:rPr>
        <w:t xml:space="preserve"> </w:t>
      </w:r>
      <w:r w:rsidRPr="008C2D78">
        <w:rPr>
          <w:rFonts w:ascii="Times New Roman" w:hAnsi="Times New Roman"/>
          <w:b/>
          <w:bCs/>
          <w:noProof/>
          <w:sz w:val="24"/>
          <w:szCs w:val="24"/>
          <w:lang w:val="en-US"/>
        </w:rPr>
        <w:t>million</w:t>
      </w:r>
      <w:r w:rsidRPr="008C2D78">
        <w:rPr>
          <w:rFonts w:ascii="Times New Roman" w:hAnsi="Times New Roman"/>
          <w:noProof/>
          <w:sz w:val="24"/>
          <w:szCs w:val="24"/>
          <w:lang w:val="en-US"/>
        </w:rPr>
        <w:t xml:space="preserve"> </w:t>
      </w:r>
      <w:r w:rsidRPr="008C2D78">
        <w:rPr>
          <w:rFonts w:ascii="Times New Roman" w:hAnsi="Times New Roman"/>
          <w:b/>
          <w:bCs/>
          <w:noProof/>
          <w:sz w:val="24"/>
          <w:szCs w:val="24"/>
          <w:lang w:val="en-US"/>
        </w:rPr>
        <w:t>economic reactivation package</w:t>
      </w:r>
      <w:r w:rsidRPr="008C2D78">
        <w:rPr>
          <w:rFonts w:ascii="Times New Roman" w:hAnsi="Times New Roman"/>
          <w:noProof/>
          <w:sz w:val="24"/>
          <w:szCs w:val="24"/>
          <w:lang w:val="en-US"/>
        </w:rPr>
        <w:t xml:space="preserve"> for the region in close cooperation with the International Financial Institutions, as well as a proposal</w:t>
      </w:r>
      <w:r w:rsidRPr="008C2D78">
        <w:rPr>
          <w:rFonts w:ascii="Times New Roman" w:eastAsia="Times New Roman" w:hAnsi="Times New Roman"/>
          <w:noProof/>
          <w:sz w:val="24"/>
          <w:szCs w:val="24"/>
          <w:vertAlign w:val="superscript"/>
          <w:lang w:val="en-US"/>
        </w:rPr>
        <w:footnoteReference w:id="6"/>
      </w:r>
      <w:r w:rsidRPr="008C2D78">
        <w:rPr>
          <w:rFonts w:ascii="Times New Roman" w:hAnsi="Times New Roman"/>
          <w:noProof/>
          <w:sz w:val="24"/>
          <w:szCs w:val="24"/>
          <w:lang w:val="en-US"/>
        </w:rPr>
        <w:t xml:space="preserve"> for </w:t>
      </w:r>
      <w:r w:rsidRPr="008C2D78">
        <w:rPr>
          <w:rFonts w:ascii="Times New Roman" w:hAnsi="Times New Roman"/>
          <w:b/>
          <w:bCs/>
          <w:noProof/>
          <w:sz w:val="24"/>
          <w:szCs w:val="24"/>
          <w:lang w:val="en-US"/>
        </w:rPr>
        <w:t xml:space="preserve">EUR 750 million </w:t>
      </w:r>
      <w:r w:rsidRPr="008C2D78">
        <w:rPr>
          <w:rFonts w:ascii="Times New Roman" w:hAnsi="Times New Roman"/>
          <w:noProof/>
          <w:sz w:val="24"/>
          <w:szCs w:val="24"/>
          <w:lang w:val="en-US"/>
        </w:rPr>
        <w:t xml:space="preserve">of </w:t>
      </w:r>
      <w:r w:rsidRPr="008C2D78">
        <w:rPr>
          <w:rFonts w:ascii="Times New Roman" w:hAnsi="Times New Roman"/>
          <w:b/>
          <w:bCs/>
          <w:noProof/>
          <w:sz w:val="24"/>
          <w:szCs w:val="24"/>
          <w:lang w:val="en-US"/>
        </w:rPr>
        <w:t>Macro-Financial Assistance</w:t>
      </w:r>
      <w:r w:rsidRPr="008C2D78">
        <w:rPr>
          <w:rFonts w:ascii="Times New Roman" w:hAnsi="Times New Roman"/>
          <w:noProof/>
          <w:sz w:val="24"/>
          <w:szCs w:val="24"/>
          <w:lang w:val="en-US"/>
        </w:rPr>
        <w:t xml:space="preserve"> and a </w:t>
      </w:r>
      <w:r w:rsidRPr="008C2D78">
        <w:rPr>
          <w:rFonts w:ascii="Times New Roman" w:hAnsi="Times New Roman"/>
          <w:b/>
          <w:bCs/>
          <w:noProof/>
          <w:sz w:val="24"/>
          <w:szCs w:val="24"/>
          <w:lang w:val="en-US"/>
        </w:rPr>
        <w:t>EUR 1.7 billion package</w:t>
      </w:r>
      <w:r w:rsidRPr="008C2D78">
        <w:rPr>
          <w:rFonts w:ascii="Times New Roman" w:hAnsi="Times New Roman"/>
          <w:noProof/>
          <w:sz w:val="24"/>
          <w:szCs w:val="24"/>
          <w:lang w:val="en-US"/>
        </w:rPr>
        <w:t xml:space="preserve"> of assistance from the </w:t>
      </w:r>
      <w:r w:rsidRPr="008C2D78">
        <w:rPr>
          <w:rFonts w:ascii="Times New Roman" w:hAnsi="Times New Roman"/>
          <w:b/>
          <w:bCs/>
          <w:noProof/>
          <w:sz w:val="24"/>
          <w:szCs w:val="24"/>
          <w:lang w:val="en-US"/>
        </w:rPr>
        <w:t>European Investment Bank</w:t>
      </w:r>
      <w:r w:rsidRPr="008C2D78">
        <w:rPr>
          <w:rFonts w:ascii="Times New Roman" w:hAnsi="Times New Roman"/>
          <w:noProof/>
          <w:sz w:val="24"/>
          <w:szCs w:val="24"/>
          <w:lang w:val="en-US"/>
        </w:rPr>
        <w:t xml:space="preserve">. The EU is also providing </w:t>
      </w:r>
      <w:r w:rsidRPr="008C2D78">
        <w:rPr>
          <w:rFonts w:ascii="Times New Roman" w:hAnsi="Times New Roman"/>
          <w:b/>
          <w:bCs/>
          <w:noProof/>
          <w:sz w:val="24"/>
          <w:szCs w:val="24"/>
          <w:lang w:val="en-US"/>
        </w:rPr>
        <w:t>immediate humanitarian assistance to vulnerable refugees and migrants amounting to EUR 4.5 million</w:t>
      </w:r>
      <w:r w:rsidRPr="008C2D78">
        <w:rPr>
          <w:rFonts w:ascii="Times New Roman" w:hAnsi="Times New Roman"/>
          <w:noProof/>
          <w:sz w:val="24"/>
          <w:szCs w:val="24"/>
          <w:lang w:val="en-US"/>
        </w:rPr>
        <w:t xml:space="preserve"> for protection, support to unaccompanied minors and health care, including COVID-19 preparedness and </w:t>
      </w:r>
      <w:r w:rsidRPr="008C2D78">
        <w:rPr>
          <w:rFonts w:ascii="Times New Roman" w:hAnsi="Times New Roman"/>
          <w:b/>
          <w:bCs/>
          <w:noProof/>
          <w:sz w:val="24"/>
          <w:szCs w:val="24"/>
          <w:lang w:val="en-US"/>
        </w:rPr>
        <w:t>EUR 8 million</w:t>
      </w:r>
      <w:r w:rsidRPr="008C2D78">
        <w:rPr>
          <w:rFonts w:ascii="Times New Roman" w:hAnsi="Times New Roman"/>
          <w:noProof/>
          <w:sz w:val="24"/>
          <w:szCs w:val="24"/>
          <w:lang w:val="en-US"/>
        </w:rPr>
        <w:t xml:space="preserve"> of emergency support to migrants and refugees stranded in the Western Balkans from the </w:t>
      </w:r>
      <w:r w:rsidRPr="008C2D78">
        <w:rPr>
          <w:rFonts w:ascii="Times New Roman" w:hAnsi="Times New Roman"/>
          <w:b/>
          <w:bCs/>
          <w:noProof/>
          <w:sz w:val="24"/>
          <w:szCs w:val="24"/>
          <w:lang w:val="en-US"/>
        </w:rPr>
        <w:t>Instrument contributing to Stability and Peace</w:t>
      </w:r>
      <w:r w:rsidRPr="008C2D78">
        <w:rPr>
          <w:rFonts w:ascii="Times New Roman" w:hAnsi="Times New Roman"/>
          <w:noProof/>
          <w:sz w:val="24"/>
          <w:szCs w:val="24"/>
          <w:lang w:val="en-US"/>
        </w:rPr>
        <w:t xml:space="preserve">. Furthermore, the EU’s </w:t>
      </w:r>
      <w:r w:rsidRPr="008C2D78">
        <w:rPr>
          <w:rFonts w:ascii="Times New Roman" w:hAnsi="Times New Roman"/>
          <w:b/>
          <w:bCs/>
          <w:noProof/>
          <w:sz w:val="24"/>
          <w:szCs w:val="24"/>
          <w:lang w:val="en-US"/>
        </w:rPr>
        <w:t>Solidarity Fund</w:t>
      </w:r>
      <w:r w:rsidRPr="008C2D78">
        <w:rPr>
          <w:rFonts w:ascii="Times New Roman" w:hAnsi="Times New Roman"/>
          <w:noProof/>
          <w:sz w:val="24"/>
          <w:szCs w:val="24"/>
          <w:lang w:val="en-US"/>
        </w:rPr>
        <w:t>, open to those countries of the Western Balkans that have started to negotiate their accession, now also covers public health crises.</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 xml:space="preserve">An important part of the EU’s economic support will </w:t>
      </w:r>
      <w:r w:rsidRPr="008C2D78">
        <w:rPr>
          <w:rFonts w:ascii="Times New Roman" w:hAnsi="Times New Roman"/>
          <w:b/>
          <w:bCs/>
          <w:noProof/>
          <w:sz w:val="24"/>
          <w:szCs w:val="24"/>
          <w:lang w:val="en-US"/>
        </w:rPr>
        <w:t xml:space="preserve">help the private sector address the liquidity and financial challenges </w:t>
      </w:r>
      <w:r w:rsidRPr="008C2D78">
        <w:rPr>
          <w:rFonts w:ascii="Times New Roman" w:hAnsi="Times New Roman"/>
          <w:noProof/>
          <w:sz w:val="24"/>
          <w:szCs w:val="24"/>
          <w:lang w:val="en-US"/>
        </w:rPr>
        <w:t xml:space="preserve">by mobilising EU-funded guarantee schemes, in cooperation with International Financial Institutions. </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 xml:space="preserve">The EU’s response follows a </w:t>
      </w:r>
      <w:r w:rsidRPr="008C2D78">
        <w:rPr>
          <w:rFonts w:ascii="Times New Roman" w:hAnsi="Times New Roman"/>
          <w:b/>
          <w:bCs/>
          <w:noProof/>
          <w:sz w:val="24"/>
          <w:szCs w:val="24"/>
          <w:lang w:val="en-US"/>
        </w:rPr>
        <w:t>‘Team Europe’ approach</w:t>
      </w:r>
      <w:r w:rsidRPr="008C2D78">
        <w:rPr>
          <w:rFonts w:ascii="Times New Roman" w:eastAsia="Times New Roman" w:hAnsi="Times New Roman"/>
          <w:b/>
          <w:bCs/>
          <w:noProof/>
          <w:sz w:val="24"/>
          <w:szCs w:val="24"/>
          <w:vertAlign w:val="superscript"/>
          <w:lang w:val="en-US"/>
        </w:rPr>
        <w:footnoteReference w:id="7"/>
      </w:r>
      <w:r w:rsidRPr="008C2D78">
        <w:rPr>
          <w:rFonts w:ascii="Times New Roman" w:hAnsi="Times New Roman"/>
          <w:noProof/>
          <w:sz w:val="24"/>
          <w:szCs w:val="24"/>
          <w:lang w:val="en-US"/>
        </w:rPr>
        <w:t>: our quick and targeted support combines resources from the EU institutions, Member States and financial institutions, in particular the European Investment Bank and the European Bank for Reconstruction and Development. Together with our partners, we are making sure that the substantial EU funding already allocated to them is targeted to help them address the impact of the pandemic. In parallel, some EU Member States are also providing bilateral support, whether financial or donations of supplies.</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As a result of COVID-19 outbreak, the Western Balkans have also </w:t>
      </w:r>
      <w:r w:rsidRPr="008C2D78">
        <w:rPr>
          <w:rFonts w:ascii="Times New Roman" w:hAnsi="Times New Roman" w:cs="Times New Roman"/>
          <w:b/>
          <w:bCs/>
          <w:noProof/>
          <w:sz w:val="24"/>
          <w:szCs w:val="24"/>
          <w:lang w:val="en-US"/>
        </w:rPr>
        <w:t xml:space="preserve">activated the Union Civil Protection Mechanism (UCPM) </w:t>
      </w:r>
      <w:r w:rsidRPr="008C2D78">
        <w:rPr>
          <w:rFonts w:ascii="Times New Roman" w:hAnsi="Times New Roman" w:cs="Times New Roman"/>
          <w:noProof/>
          <w:sz w:val="24"/>
          <w:szCs w:val="24"/>
          <w:lang w:val="en-US"/>
        </w:rPr>
        <w:t xml:space="preserve">and have already started to receive assistance from the UCPM Member States and Participating States. </w:t>
      </w:r>
      <w:r w:rsidRPr="008C2D78">
        <w:rPr>
          <w:rFonts w:ascii="Times New Roman" w:hAnsi="Times New Roman" w:cs="Times New Roman"/>
          <w:b/>
          <w:bCs/>
          <w:noProof/>
          <w:sz w:val="24"/>
          <w:szCs w:val="24"/>
          <w:lang w:val="en-US"/>
        </w:rPr>
        <w:t>Serbia, North Macedonia and Montenegro</w:t>
      </w:r>
      <w:r w:rsidRPr="008C2D78">
        <w:rPr>
          <w:rFonts w:ascii="Times New Roman" w:hAnsi="Times New Roman" w:cs="Times New Roman"/>
          <w:noProof/>
          <w:sz w:val="24"/>
          <w:szCs w:val="24"/>
          <w:lang w:val="en-US"/>
        </w:rPr>
        <w:t xml:space="preserve"> as participating States in the Mechanism, are able to contribute and request support of rescEU, including stockpiling of medical countermeasures and equipment. Stranded citizens from the Western Balkans have been among persons repatriated to Europe thanks to flights </w:t>
      </w:r>
      <w:r w:rsidRPr="008C2D78">
        <w:rPr>
          <w:rFonts w:ascii="Times New Roman" w:hAnsi="Times New Roman" w:cs="Times New Roman"/>
          <w:noProof/>
          <w:sz w:val="24"/>
          <w:szCs w:val="24"/>
          <w:lang w:val="en-US"/>
        </w:rPr>
        <w:lastRenderedPageBreak/>
        <w:t xml:space="preserve">organised and co-financed by the UCPM. Civil protection authorities of the Western Balkans will continue to participate in UCPM training, exercises and exchange of experts. The EU also </w:t>
      </w:r>
      <w:r w:rsidRPr="008C2D78">
        <w:rPr>
          <w:rFonts w:ascii="Times New Roman" w:hAnsi="Times New Roman" w:cs="Times New Roman"/>
          <w:b/>
          <w:bCs/>
          <w:noProof/>
          <w:sz w:val="24"/>
          <w:szCs w:val="24"/>
          <w:lang w:val="en-US"/>
        </w:rPr>
        <w:t>appreciates the valuable support</w:t>
      </w:r>
      <w:r w:rsidRPr="008C2D78">
        <w:rPr>
          <w:rFonts w:ascii="Times New Roman" w:hAnsi="Times New Roman" w:cs="Times New Roman"/>
          <w:noProof/>
          <w:sz w:val="24"/>
          <w:szCs w:val="24"/>
          <w:lang w:val="en-US"/>
        </w:rPr>
        <w:t xml:space="preserve"> the Western Balkans have given to the EU and to their immediate neighbors, in terms of medical personnel and equipment. This reflects the solidarity and fundamental values the EU is built on. </w:t>
      </w:r>
    </w:p>
    <w:p w:rsidR="009F1698" w:rsidRPr="008C2D78" w:rsidRDefault="008C2D78">
      <w:pPr>
        <w:pStyle w:val="FootnoteText"/>
        <w:spacing w:after="120"/>
        <w:jc w:val="both"/>
        <w:rPr>
          <w:rFonts w:ascii="Times New Roman" w:hAnsi="Times New Roman"/>
          <w:b/>
          <w:bCs/>
          <w:noProof/>
          <w:sz w:val="24"/>
          <w:szCs w:val="24"/>
          <w:lang w:val="en-US"/>
        </w:rPr>
      </w:pPr>
      <w:r w:rsidRPr="008C2D78">
        <w:rPr>
          <w:rFonts w:ascii="Times New Roman" w:hAnsi="Times New Roman"/>
          <w:noProof/>
          <w:sz w:val="24"/>
          <w:szCs w:val="24"/>
          <w:lang w:val="en-US"/>
        </w:rPr>
        <w:t>The ongoing pandemic thus clearly demonstrates how the EU and the Western Balkans are</w:t>
      </w:r>
      <w:r w:rsidRPr="008C2D78">
        <w:rPr>
          <w:rFonts w:ascii="Times New Roman" w:hAnsi="Times New Roman"/>
          <w:b/>
          <w:bCs/>
          <w:noProof/>
          <w:sz w:val="24"/>
          <w:szCs w:val="24"/>
          <w:lang w:val="en-US"/>
        </w:rPr>
        <w:t xml:space="preserve"> tackling common challenges together</w:t>
      </w:r>
      <w:r w:rsidRPr="008C2D78">
        <w:rPr>
          <w:rFonts w:ascii="Times New Roman" w:hAnsi="Times New Roman"/>
          <w:noProof/>
          <w:sz w:val="24"/>
          <w:szCs w:val="24"/>
          <w:lang w:val="en-US"/>
        </w:rPr>
        <w:t xml:space="preserve">. This includes </w:t>
      </w:r>
      <w:r w:rsidRPr="008C2D78">
        <w:rPr>
          <w:rFonts w:ascii="Times New Roman" w:hAnsi="Times New Roman"/>
          <w:b/>
          <w:bCs/>
          <w:noProof/>
          <w:sz w:val="24"/>
          <w:szCs w:val="24"/>
          <w:lang w:val="en-US"/>
        </w:rPr>
        <w:t>joint procurement of medical equipment</w:t>
      </w:r>
      <w:r w:rsidRPr="008C2D78">
        <w:rPr>
          <w:rFonts w:ascii="Times New Roman" w:hAnsi="Times New Roman"/>
          <w:noProof/>
          <w:sz w:val="24"/>
          <w:szCs w:val="24"/>
          <w:lang w:val="en-US"/>
        </w:rPr>
        <w:t xml:space="preserve">, exempting the region from the EU’s </w:t>
      </w:r>
      <w:r w:rsidRPr="008C2D78">
        <w:rPr>
          <w:rFonts w:ascii="Times New Roman" w:hAnsi="Times New Roman"/>
          <w:b/>
          <w:bCs/>
          <w:noProof/>
          <w:sz w:val="24"/>
          <w:szCs w:val="24"/>
          <w:lang w:val="en-US"/>
        </w:rPr>
        <w:t>export authorisation scheme</w:t>
      </w:r>
      <w:r w:rsidRPr="008C2D78">
        <w:rPr>
          <w:rFonts w:ascii="Times New Roman" w:hAnsi="Times New Roman"/>
          <w:noProof/>
          <w:sz w:val="24"/>
          <w:szCs w:val="24"/>
          <w:lang w:val="en-US"/>
        </w:rPr>
        <w:t xml:space="preserve"> for personal protective equipment</w:t>
      </w:r>
      <w:r w:rsidRPr="008C2D78">
        <w:rPr>
          <w:rFonts w:ascii="Times New Roman" w:eastAsia="Times New Roman" w:hAnsi="Times New Roman"/>
          <w:noProof/>
          <w:sz w:val="24"/>
          <w:szCs w:val="24"/>
          <w:vertAlign w:val="superscript"/>
          <w:lang w:val="en-US"/>
        </w:rPr>
        <w:footnoteReference w:id="8"/>
      </w:r>
      <w:r w:rsidRPr="008C2D78">
        <w:rPr>
          <w:rFonts w:ascii="Times New Roman" w:hAnsi="Times New Roman"/>
          <w:noProof/>
          <w:sz w:val="24"/>
          <w:szCs w:val="24"/>
          <w:lang w:val="en-US"/>
        </w:rPr>
        <w:t xml:space="preserve"> and the </w:t>
      </w:r>
      <w:r w:rsidRPr="008C2D78">
        <w:rPr>
          <w:rFonts w:ascii="Times New Roman" w:hAnsi="Times New Roman"/>
          <w:b/>
          <w:bCs/>
          <w:noProof/>
          <w:sz w:val="24"/>
          <w:szCs w:val="24"/>
          <w:lang w:val="en-US"/>
        </w:rPr>
        <w:t>supply by the EU of testing material</w:t>
      </w:r>
      <w:r w:rsidRPr="008C2D78">
        <w:rPr>
          <w:rFonts w:ascii="Times New Roman" w:hAnsi="Times New Roman"/>
          <w:noProof/>
          <w:sz w:val="24"/>
          <w:szCs w:val="24"/>
          <w:lang w:val="en-US"/>
        </w:rPr>
        <w:t xml:space="preserve"> developed by the European Commission’s Joint Research Centre to ensure the correct functioning of coronavirus tests in the Western Balkans. </w:t>
      </w:r>
      <w:r w:rsidRPr="008C2D78">
        <w:rPr>
          <w:rFonts w:ascii="Times New Roman" w:hAnsi="Times New Roman"/>
          <w:noProof/>
          <w:sz w:val="24"/>
          <w:szCs w:val="24"/>
          <w:lang w:val="en-GB"/>
        </w:rPr>
        <w:t xml:space="preserve">Stakeholders across the region are fully integrated in European COVID-19 </w:t>
      </w:r>
      <w:r w:rsidRPr="008C2D78">
        <w:rPr>
          <w:rFonts w:ascii="Times New Roman" w:hAnsi="Times New Roman"/>
          <w:b/>
          <w:noProof/>
          <w:sz w:val="24"/>
          <w:szCs w:val="24"/>
          <w:lang w:val="en-GB"/>
        </w:rPr>
        <w:t>research and innovation</w:t>
      </w:r>
      <w:r w:rsidRPr="008C2D78">
        <w:rPr>
          <w:rFonts w:ascii="Times New Roman" w:hAnsi="Times New Roman"/>
          <w:noProof/>
          <w:sz w:val="24"/>
          <w:szCs w:val="24"/>
          <w:lang w:val="en-GB"/>
        </w:rPr>
        <w:t xml:space="preserve"> efforts. </w:t>
      </w:r>
      <w:r w:rsidRPr="008C2D78">
        <w:rPr>
          <w:rFonts w:ascii="Times New Roman" w:hAnsi="Times New Roman"/>
          <w:noProof/>
          <w:sz w:val="24"/>
          <w:szCs w:val="24"/>
          <w:lang w:val="en-US"/>
        </w:rPr>
        <w:t xml:space="preserve">The whole region is also benefitting from technical assistance and information exchange facilitated by the </w:t>
      </w:r>
      <w:r w:rsidRPr="008C2D78">
        <w:rPr>
          <w:rFonts w:ascii="Times New Roman" w:hAnsi="Times New Roman"/>
          <w:b/>
          <w:bCs/>
          <w:noProof/>
          <w:sz w:val="24"/>
          <w:szCs w:val="24"/>
          <w:lang w:val="en-US"/>
        </w:rPr>
        <w:t>European Centre for Disease Prevention and Control</w:t>
      </w:r>
      <w:r w:rsidRPr="008C2D78">
        <w:rPr>
          <w:rFonts w:ascii="Times New Roman" w:hAnsi="Times New Roman"/>
          <w:noProof/>
          <w:sz w:val="24"/>
          <w:szCs w:val="24"/>
          <w:lang w:val="en-US"/>
        </w:rPr>
        <w:t xml:space="preserve">, while the candidate countries in the Western Balkans have been invited as observers to the </w:t>
      </w:r>
      <w:r w:rsidRPr="008C2D78">
        <w:rPr>
          <w:rFonts w:ascii="Times New Roman" w:hAnsi="Times New Roman"/>
          <w:b/>
          <w:bCs/>
          <w:noProof/>
          <w:sz w:val="24"/>
          <w:szCs w:val="24"/>
          <w:lang w:val="en-US"/>
        </w:rPr>
        <w:t>EU Health Security Committee</w:t>
      </w:r>
      <w:r w:rsidRPr="008C2D78">
        <w:rPr>
          <w:rFonts w:ascii="Times New Roman" w:hAnsi="Times New Roman"/>
          <w:noProof/>
          <w:sz w:val="24"/>
          <w:szCs w:val="24"/>
          <w:lang w:val="en-US"/>
        </w:rPr>
        <w:t xml:space="preserve"> and are given access to the related </w:t>
      </w:r>
      <w:r w:rsidRPr="008C2D78">
        <w:rPr>
          <w:rFonts w:ascii="Times New Roman" w:hAnsi="Times New Roman"/>
          <w:b/>
          <w:bCs/>
          <w:noProof/>
          <w:sz w:val="24"/>
          <w:szCs w:val="24"/>
          <w:lang w:val="en-US"/>
        </w:rPr>
        <w:t>Early Warning and Response System.</w:t>
      </w:r>
    </w:p>
    <w:p w:rsidR="009F1698" w:rsidRPr="008C2D78" w:rsidRDefault="008C2D78" w:rsidP="008C2D78">
      <w:pPr>
        <w:spacing w:line="240" w:lineRule="auto"/>
        <w:jc w:val="both"/>
        <w:rPr>
          <w:rFonts w:ascii="Times New Roman" w:hAnsi="Times New Roman" w:cs="Times New Roman"/>
          <w:noProof/>
          <w:sz w:val="24"/>
          <w:szCs w:val="24"/>
        </w:rPr>
      </w:pPr>
      <w:r w:rsidRPr="008C2D78">
        <w:rPr>
          <w:rFonts w:ascii="Times New Roman" w:hAnsi="Times New Roman" w:cs="Times New Roman"/>
          <w:noProof/>
          <w:sz w:val="24"/>
          <w:szCs w:val="24"/>
        </w:rPr>
        <w:t xml:space="preserve">The joint proposal of the Permanent Secretariat of the Transport Community and CEFTA secured that the concept of “green lanes” has been extended to the Western Balkans ensuring the fast flow of essential goods within the region. The Commission is ready to associate the region closely with the implementation of its </w:t>
      </w:r>
      <w:r w:rsidRPr="008C2D78">
        <w:rPr>
          <w:rFonts w:ascii="Times New Roman" w:hAnsi="Times New Roman" w:cs="Times New Roman"/>
          <w:b/>
          <w:noProof/>
          <w:sz w:val="24"/>
          <w:szCs w:val="24"/>
        </w:rPr>
        <w:t>“Joint European Roadmap</w:t>
      </w:r>
      <w:r w:rsidRPr="008C2D78">
        <w:rPr>
          <w:rFonts w:ascii="Times New Roman" w:hAnsi="Times New Roman" w:cs="Times New Roman"/>
          <w:noProof/>
          <w:sz w:val="24"/>
          <w:szCs w:val="24"/>
        </w:rPr>
        <w:t xml:space="preserve"> towards lifting COVID-19 containment measures”. Beyond this sanitary emergency </w:t>
      </w:r>
      <w:r w:rsidRPr="008C2D78">
        <w:rPr>
          <w:rFonts w:ascii="Times New Roman" w:eastAsia="Calibri" w:hAnsi="Times New Roman" w:cs="Times New Roman"/>
          <w:noProof/>
          <w:color w:val="000000"/>
          <w:sz w:val="24"/>
          <w:szCs w:val="24"/>
          <w:u w:color="000000"/>
          <w:lang w:eastAsia="en-GB"/>
          <w14:textOutline w14:w="0" w14:cap="flat" w14:cmpd="sng" w14:algn="ctr">
            <w14:noFill/>
            <w14:prstDash w14:val="solid"/>
            <w14:bevel/>
          </w14:textOutline>
        </w:rPr>
        <w:t xml:space="preserve">and its related restrictions on the movement of goods and passengers, the </w:t>
      </w:r>
      <w:r w:rsidRPr="008C2D78">
        <w:rPr>
          <w:rFonts w:ascii="Times New Roman" w:eastAsia="Calibri" w:hAnsi="Times New Roman" w:cs="Times New Roman"/>
          <w:noProof/>
          <w:color w:val="000000"/>
          <w:sz w:val="24"/>
          <w:szCs w:val="24"/>
          <w:u w:color="000000"/>
          <w:lang w:val="en-GB" w:eastAsia="en-GB"/>
          <w14:textOutline w14:w="0" w14:cap="flat" w14:cmpd="sng" w14:algn="ctr">
            <w14:noFill/>
            <w14:prstDash w14:val="solid"/>
            <w14:bevel/>
          </w14:textOutline>
        </w:rPr>
        <w:t>Commission is also committed in the long-term to contribute to better connectivity to the Western Balkans, addressing the structural bottlenecks at EU/Western Balkans borders.</w:t>
      </w:r>
      <w:r w:rsidRPr="008C2D78">
        <w:rPr>
          <w:rFonts w:ascii="Times New Roman" w:hAnsi="Times New Roman" w:cs="Times New Roman"/>
          <w:noProof/>
          <w:sz w:val="24"/>
          <w:szCs w:val="24"/>
        </w:rPr>
        <w:t xml:space="preserve"> The Commission has also issued Guidance</w:t>
      </w:r>
      <w:r w:rsidRPr="008C2D78">
        <w:rPr>
          <w:rStyle w:val="FootnoteReference"/>
          <w:rFonts w:ascii="Times New Roman" w:hAnsi="Times New Roman" w:cs="Times New Roman"/>
          <w:noProof/>
          <w:sz w:val="24"/>
          <w:szCs w:val="24"/>
        </w:rPr>
        <w:footnoteReference w:id="9"/>
      </w:r>
      <w:r w:rsidRPr="008C2D78">
        <w:rPr>
          <w:rFonts w:ascii="Times New Roman" w:hAnsi="Times New Roman" w:cs="Times New Roman"/>
          <w:noProof/>
          <w:sz w:val="24"/>
          <w:szCs w:val="24"/>
        </w:rPr>
        <w:t xml:space="preserve"> on how to implement the introduction of </w:t>
      </w:r>
      <w:r w:rsidRPr="008C2D78">
        <w:rPr>
          <w:rFonts w:ascii="Times New Roman" w:hAnsi="Times New Roman" w:cs="Times New Roman"/>
          <w:b/>
          <w:noProof/>
          <w:sz w:val="24"/>
          <w:szCs w:val="24"/>
        </w:rPr>
        <w:t xml:space="preserve">temporary travel restrictions </w:t>
      </w:r>
      <w:r w:rsidRPr="008C2D78">
        <w:rPr>
          <w:rFonts w:ascii="Times New Roman" w:hAnsi="Times New Roman" w:cs="Times New Roman"/>
          <w:noProof/>
          <w:sz w:val="24"/>
          <w:szCs w:val="24"/>
        </w:rPr>
        <w:t>applying to all non-essential travel from third countries to the EU, including on dealing with those compelled to stay in the EU longer than they are authorised</w:t>
      </w:r>
      <w:r w:rsidRPr="008C2D78">
        <w:rPr>
          <w:rFonts w:ascii="Times New Roman" w:hAnsi="Times New Roman" w:cs="Times New Roman"/>
          <w:b/>
          <w:noProof/>
          <w:sz w:val="24"/>
          <w:szCs w:val="24"/>
        </w:rPr>
        <w:t>.</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This EU-Western Balkans cooperation and support from the EU </w:t>
      </w:r>
      <w:r w:rsidRPr="008C2D78">
        <w:rPr>
          <w:rFonts w:ascii="Times New Roman" w:hAnsi="Times New Roman" w:cs="Times New Roman"/>
          <w:b/>
          <w:bCs/>
          <w:noProof/>
          <w:sz w:val="24"/>
          <w:szCs w:val="24"/>
          <w:lang w:val="en-US"/>
        </w:rPr>
        <w:t>goes far beyond what any other partner has provided to the region</w:t>
      </w:r>
      <w:r w:rsidRPr="008C2D78">
        <w:rPr>
          <w:rFonts w:ascii="Times New Roman" w:hAnsi="Times New Roman" w:cs="Times New Roman"/>
          <w:noProof/>
          <w:sz w:val="24"/>
          <w:szCs w:val="24"/>
          <w:lang w:val="en-US"/>
        </w:rPr>
        <w:t xml:space="preserve"> reflecting the region’s strategic anchoring. EU Institutions have engaged in intensive communication campaigns, covering the delivery of EU assistance, as well as publishing joint op-eds with EU Member States on the ground, supporting “stay at home” campaigns and contributing to the dissemination of factual information on COVID-19.</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In this regard, attempts to misrepresent the origins of the crisis and the efforts to tackle it must be countered publicly and strongly, while stepping up cooperation to uphold freedom of expression and media freedom.</w:t>
      </w: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8C2D78">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lang w:val="en-US"/>
        </w:rPr>
      </w:pPr>
      <w:r w:rsidRPr="008C2D78">
        <w:rPr>
          <w:rFonts w:ascii="Times New Roman" w:hAnsi="Times New Roman"/>
          <w:b/>
          <w:bCs/>
          <w:noProof/>
          <w:sz w:val="24"/>
          <w:szCs w:val="24"/>
          <w:lang w:val="en-US"/>
        </w:rPr>
        <w:t xml:space="preserve">Beyond COVID-19 – an Economic and Investment Plan for recovery </w:t>
      </w:r>
    </w:p>
    <w:p w:rsidR="009F1698" w:rsidRPr="008C2D78" w:rsidRDefault="008C2D78">
      <w:pPr>
        <w:pStyle w:val="FootnoteText"/>
        <w:spacing w:after="120"/>
        <w:jc w:val="both"/>
        <w:rPr>
          <w:rFonts w:ascii="Times New Roman" w:eastAsia="Times New Roman" w:hAnsi="Times New Roman"/>
          <w:noProof/>
          <w:sz w:val="24"/>
          <w:szCs w:val="24"/>
          <w:lang w:val="en-US"/>
        </w:rPr>
      </w:pPr>
      <w:r w:rsidRPr="008C2D78">
        <w:rPr>
          <w:rFonts w:ascii="Times New Roman" w:hAnsi="Times New Roman"/>
          <w:noProof/>
          <w:sz w:val="24"/>
          <w:szCs w:val="24"/>
          <w:lang w:val="en-US"/>
        </w:rPr>
        <w:t xml:space="preserve">The Western Balkans will require continued support to </w:t>
      </w:r>
      <w:r w:rsidRPr="008C2D78">
        <w:rPr>
          <w:rFonts w:ascii="Times New Roman" w:hAnsi="Times New Roman"/>
          <w:b/>
          <w:bCs/>
          <w:noProof/>
          <w:sz w:val="24"/>
          <w:szCs w:val="24"/>
          <w:lang w:val="en-US"/>
        </w:rPr>
        <w:t xml:space="preserve">address the impact of the COVID-19 crisis. </w:t>
      </w:r>
      <w:r w:rsidRPr="008C2D78">
        <w:rPr>
          <w:rFonts w:ascii="Times New Roman" w:hAnsi="Times New Roman"/>
          <w:noProof/>
          <w:sz w:val="24"/>
          <w:szCs w:val="24"/>
          <w:lang w:val="en-US"/>
        </w:rPr>
        <w:t xml:space="preserve">Once the immediate measures to contain the COVID-19 pandemic are eased, a new phase of close cooperation will begin in order to tackle the hard socio-economic impact of the crisis. The European Commission will come forward later this year with an </w:t>
      </w:r>
      <w:r w:rsidRPr="008C2D78">
        <w:rPr>
          <w:rFonts w:ascii="Times New Roman" w:hAnsi="Times New Roman"/>
          <w:b/>
          <w:bCs/>
          <w:noProof/>
          <w:sz w:val="24"/>
          <w:szCs w:val="24"/>
          <w:lang w:val="en-US"/>
        </w:rPr>
        <w:t>Economic and Investment Plan for the region</w:t>
      </w:r>
      <w:r w:rsidRPr="008C2D78">
        <w:rPr>
          <w:rFonts w:ascii="Times New Roman" w:hAnsi="Times New Roman"/>
          <w:noProof/>
          <w:sz w:val="24"/>
          <w:szCs w:val="24"/>
          <w:lang w:val="en-US"/>
        </w:rPr>
        <w:t xml:space="preserve">.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plan will include a </w:t>
      </w:r>
      <w:r w:rsidRPr="008C2D78">
        <w:rPr>
          <w:rFonts w:ascii="Times New Roman" w:hAnsi="Times New Roman" w:cs="Times New Roman"/>
          <w:b/>
          <w:bCs/>
          <w:noProof/>
          <w:sz w:val="24"/>
          <w:szCs w:val="24"/>
          <w:lang w:val="en-US"/>
        </w:rPr>
        <w:t>substantial investment package for the region</w:t>
      </w:r>
      <w:r w:rsidRPr="008C2D78">
        <w:rPr>
          <w:rFonts w:ascii="Times New Roman" w:hAnsi="Times New Roman" w:cs="Times New Roman"/>
          <w:noProof/>
          <w:sz w:val="24"/>
          <w:szCs w:val="24"/>
          <w:lang w:val="en-US"/>
        </w:rPr>
        <w:t xml:space="preserve">. For the </w:t>
      </w:r>
      <w:r w:rsidRPr="008C2D78">
        <w:rPr>
          <w:rFonts w:ascii="Times New Roman" w:hAnsi="Times New Roman" w:cs="Times New Roman"/>
          <w:b/>
          <w:bCs/>
          <w:noProof/>
          <w:sz w:val="24"/>
          <w:szCs w:val="24"/>
          <w:lang w:val="en-US"/>
        </w:rPr>
        <w:t>2021-2027 period</w:t>
      </w:r>
      <w:r w:rsidRPr="008C2D78">
        <w:rPr>
          <w:rFonts w:ascii="Times New Roman" w:hAnsi="Times New Roman" w:cs="Times New Roman"/>
          <w:noProof/>
          <w:sz w:val="24"/>
          <w:szCs w:val="24"/>
          <w:lang w:val="en-US"/>
        </w:rPr>
        <w:t xml:space="preserve">, the Commission proposed on 2 May 2018 a total envelope for the Pre-Accession Instrument III of EUR 14.5 billion, of which the lion’s share is destined for the Western Balkans. The Commission foresees a </w:t>
      </w:r>
      <w:r w:rsidRPr="008C2D78">
        <w:rPr>
          <w:rFonts w:ascii="Times New Roman" w:hAnsi="Times New Roman" w:cs="Times New Roman"/>
          <w:b/>
          <w:bCs/>
          <w:noProof/>
          <w:sz w:val="24"/>
          <w:szCs w:val="24"/>
          <w:lang w:val="en-US"/>
        </w:rPr>
        <w:t>doubling in the provision of grants</w:t>
      </w:r>
      <w:r w:rsidRPr="008C2D78">
        <w:rPr>
          <w:rFonts w:ascii="Times New Roman" w:hAnsi="Times New Roman" w:cs="Times New Roman"/>
          <w:noProof/>
          <w:sz w:val="24"/>
          <w:szCs w:val="24"/>
          <w:lang w:val="en-US"/>
        </w:rPr>
        <w:t xml:space="preserve"> through the Western Balkans Investment Framework to support private sector development, connectivity, digitalisation, green agenda and social investments. It also foresees substantially increasing the</w:t>
      </w:r>
      <w:r w:rsidRPr="008C2D78">
        <w:rPr>
          <w:rFonts w:ascii="Times New Roman" w:hAnsi="Times New Roman" w:cs="Times New Roman"/>
          <w:b/>
          <w:bCs/>
          <w:noProof/>
          <w:sz w:val="24"/>
          <w:szCs w:val="24"/>
          <w:lang w:val="en-US"/>
        </w:rPr>
        <w:t xml:space="preserve"> financial guarantees to support public and private investment </w:t>
      </w:r>
      <w:r w:rsidRPr="008C2D78">
        <w:rPr>
          <w:rFonts w:ascii="Times New Roman" w:hAnsi="Times New Roman" w:cs="Times New Roman"/>
          <w:noProof/>
          <w:sz w:val="24"/>
          <w:szCs w:val="24"/>
          <w:lang w:val="en-US"/>
        </w:rPr>
        <w:t>in the region</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 xml:space="preserve">through the dedicated </w:t>
      </w:r>
      <w:r w:rsidRPr="008C2D78">
        <w:rPr>
          <w:rFonts w:ascii="Times New Roman" w:hAnsi="Times New Roman" w:cs="Times New Roman"/>
          <w:b/>
          <w:bCs/>
          <w:noProof/>
          <w:sz w:val="24"/>
          <w:szCs w:val="24"/>
          <w:lang w:val="en-US"/>
        </w:rPr>
        <w:t>Guarantee Instrument under the Western Balkans Investment Framework</w:t>
      </w:r>
      <w:r w:rsidRPr="008C2D78">
        <w:rPr>
          <w:rFonts w:ascii="Times New Roman" w:hAnsi="Times New Roman" w:cs="Times New Roman"/>
          <w:noProof/>
          <w:sz w:val="24"/>
          <w:szCs w:val="24"/>
          <w:lang w:val="en-US"/>
        </w:rPr>
        <w:t xml:space="preserve">.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w:t>
      </w:r>
      <w:r w:rsidRPr="008C2D78">
        <w:rPr>
          <w:rFonts w:ascii="Times New Roman" w:hAnsi="Times New Roman" w:cs="Times New Roman"/>
          <w:b/>
          <w:bCs/>
          <w:noProof/>
          <w:sz w:val="24"/>
          <w:szCs w:val="24"/>
          <w:lang w:val="en-US"/>
        </w:rPr>
        <w:t>Green transition and the Digital transformation</w:t>
      </w:r>
      <w:r w:rsidRPr="008C2D78">
        <w:rPr>
          <w:rFonts w:ascii="Times New Roman" w:hAnsi="Times New Roman" w:cs="Times New Roman"/>
          <w:noProof/>
          <w:sz w:val="24"/>
          <w:szCs w:val="24"/>
          <w:lang w:val="en-US"/>
        </w:rPr>
        <w:t xml:space="preserve"> will play a central role in relaunching and modernising the economies of the Western Balkans. Investing in clean and digital technologies and capacities, together with a circular economy, will help create jobs and growth. Support will also be provided to improve the </w:t>
      </w:r>
      <w:r w:rsidRPr="008C2D78">
        <w:rPr>
          <w:rFonts w:ascii="Times New Roman" w:hAnsi="Times New Roman" w:cs="Times New Roman"/>
          <w:b/>
          <w:bCs/>
          <w:noProof/>
          <w:sz w:val="24"/>
          <w:szCs w:val="24"/>
          <w:lang w:val="en-US"/>
        </w:rPr>
        <w:t>competitiveness</w:t>
      </w:r>
      <w:r w:rsidRPr="008C2D78">
        <w:rPr>
          <w:rFonts w:ascii="Times New Roman" w:hAnsi="Times New Roman" w:cs="Times New Roman"/>
          <w:noProof/>
          <w:sz w:val="24"/>
          <w:szCs w:val="24"/>
          <w:lang w:val="en-US"/>
        </w:rPr>
        <w:t xml:space="preserve"> of the economies of the Western Balkans, to </w:t>
      </w:r>
      <w:r w:rsidRPr="008C2D78">
        <w:rPr>
          <w:rFonts w:ascii="Times New Roman" w:hAnsi="Times New Roman" w:cs="Times New Roman"/>
          <w:b/>
          <w:bCs/>
          <w:noProof/>
          <w:sz w:val="24"/>
          <w:szCs w:val="24"/>
          <w:lang w:val="en-US"/>
        </w:rPr>
        <w:t>better connect them within the region and with the EU</w:t>
      </w:r>
      <w:r w:rsidRPr="008C2D78">
        <w:rPr>
          <w:rFonts w:ascii="Times New Roman" w:hAnsi="Times New Roman" w:cs="Times New Roman"/>
          <w:noProof/>
          <w:sz w:val="24"/>
          <w:szCs w:val="24"/>
          <w:lang w:val="en-US"/>
        </w:rPr>
        <w:t xml:space="preserve">, and to help make the Western Balkans </w:t>
      </w:r>
      <w:r w:rsidRPr="008C2D78">
        <w:rPr>
          <w:rFonts w:ascii="Times New Roman" w:hAnsi="Times New Roman" w:cs="Times New Roman"/>
          <w:b/>
          <w:bCs/>
          <w:noProof/>
          <w:sz w:val="24"/>
          <w:szCs w:val="24"/>
          <w:lang w:val="en-US"/>
        </w:rPr>
        <w:t>fit for the digital age</w:t>
      </w:r>
      <w:r w:rsidRPr="008C2D78">
        <w:rPr>
          <w:rFonts w:ascii="Times New Roman" w:hAnsi="Times New Roman" w:cs="Times New Roman"/>
          <w:noProof/>
          <w:sz w:val="24"/>
          <w:szCs w:val="24"/>
          <w:lang w:val="en-US"/>
        </w:rPr>
        <w:t xml:space="preserve">. Support will be provided for an economy that works for people, including through cooperation on </w:t>
      </w:r>
      <w:r w:rsidRPr="008C2D78">
        <w:rPr>
          <w:rFonts w:ascii="Times New Roman" w:hAnsi="Times New Roman" w:cs="Times New Roman"/>
          <w:b/>
          <w:bCs/>
          <w:noProof/>
          <w:sz w:val="24"/>
          <w:szCs w:val="24"/>
          <w:lang w:val="en-US"/>
        </w:rPr>
        <w:t>education</w:t>
      </w:r>
      <w:r w:rsidRPr="008C2D78">
        <w:rPr>
          <w:rFonts w:ascii="Times New Roman" w:hAnsi="Times New Roman" w:cs="Times New Roman"/>
          <w:noProof/>
          <w:sz w:val="24"/>
          <w:szCs w:val="24"/>
          <w:lang w:val="en-US"/>
        </w:rPr>
        <w:t xml:space="preserve"> and</w:t>
      </w:r>
      <w:r w:rsidRPr="008C2D78">
        <w:rPr>
          <w:rFonts w:ascii="Times New Roman" w:hAnsi="Times New Roman" w:cs="Times New Roman"/>
          <w:b/>
          <w:bCs/>
          <w:noProof/>
          <w:sz w:val="24"/>
          <w:szCs w:val="24"/>
          <w:lang w:val="en-US"/>
        </w:rPr>
        <w:t xml:space="preserve"> health</w:t>
      </w:r>
      <w:r w:rsidRPr="008C2D78">
        <w:rPr>
          <w:rFonts w:ascii="Times New Roman" w:hAnsi="Times New Roman" w:cs="Times New Roman"/>
          <w:bCs/>
          <w:noProof/>
          <w:sz w:val="24"/>
          <w:szCs w:val="24"/>
          <w:lang w:val="en-US"/>
        </w:rPr>
        <w:t>,</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not least to build resilience of health systems</w:t>
      </w:r>
      <w:r w:rsidRPr="008C2D78">
        <w:rPr>
          <w:rFonts w:ascii="Times New Roman" w:hAnsi="Times New Roman" w:cs="Times New Roman"/>
          <w:bCs/>
          <w:noProof/>
          <w:sz w:val="24"/>
          <w:szCs w:val="24"/>
          <w:lang w:val="en-US"/>
        </w:rPr>
        <w:t xml:space="preserve">, </w:t>
      </w:r>
      <w:r w:rsidRPr="008C2D78">
        <w:rPr>
          <w:rFonts w:ascii="Times New Roman" w:hAnsi="Times New Roman" w:cs="Times New Roman"/>
          <w:b/>
          <w:bCs/>
          <w:noProof/>
          <w:sz w:val="24"/>
          <w:szCs w:val="24"/>
          <w:lang w:val="en-US"/>
        </w:rPr>
        <w:t>on social protection and inclusion</w:t>
      </w:r>
      <w:r w:rsidRPr="008C2D78">
        <w:rPr>
          <w:rFonts w:ascii="Times New Roman" w:hAnsi="Times New Roman" w:cs="Times New Roman"/>
          <w:noProof/>
          <w:sz w:val="24"/>
          <w:szCs w:val="24"/>
          <w:lang w:val="en-US"/>
        </w:rPr>
        <w:t xml:space="preserve">, equal opportunities, </w:t>
      </w:r>
      <w:r w:rsidRPr="008C2D78">
        <w:rPr>
          <w:rFonts w:ascii="Times New Roman" w:hAnsi="Times New Roman" w:cs="Times New Roman"/>
          <w:noProof/>
          <w:sz w:val="24"/>
          <w:szCs w:val="24"/>
        </w:rPr>
        <w:t xml:space="preserve">access to the labour market, especially through an increased provision of active labour market policies, </w:t>
      </w:r>
      <w:r w:rsidRPr="008C2D78">
        <w:rPr>
          <w:rFonts w:ascii="Times New Roman" w:hAnsi="Times New Roman" w:cs="Times New Roman"/>
          <w:b/>
          <w:noProof/>
          <w:sz w:val="24"/>
          <w:szCs w:val="24"/>
        </w:rPr>
        <w:t>fair working conditions</w:t>
      </w:r>
      <w:r w:rsidRPr="008C2D78">
        <w:rPr>
          <w:rFonts w:ascii="Times New Roman" w:hAnsi="Times New Roman" w:cs="Times New Roman"/>
          <w:noProof/>
          <w:sz w:val="24"/>
          <w:szCs w:val="24"/>
        </w:rPr>
        <w:t xml:space="preserve"> inter alia through support to the strengthening of social dialogue, </w:t>
      </w:r>
      <w:r w:rsidRPr="008C2D78">
        <w:rPr>
          <w:rFonts w:ascii="Times New Roman" w:hAnsi="Times New Roman" w:cs="Times New Roman"/>
          <w:noProof/>
          <w:sz w:val="24"/>
          <w:szCs w:val="24"/>
          <w:lang w:val="en-US"/>
        </w:rPr>
        <w:t>culture, and research and innovation.</w:t>
      </w:r>
    </w:p>
    <w:p w:rsidR="009F1698" w:rsidRPr="008C2D78" w:rsidRDefault="008C2D78" w:rsidP="008C2D78">
      <w:pPr>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rPr>
        <w:t>A strong focus will be put on</w:t>
      </w:r>
      <w:r w:rsidRPr="008C2D78">
        <w:rPr>
          <w:rFonts w:ascii="Times New Roman" w:hAnsi="Times New Roman" w:cs="Times New Roman"/>
          <w:b/>
          <w:bCs/>
          <w:noProof/>
          <w:sz w:val="24"/>
          <w:szCs w:val="24"/>
        </w:rPr>
        <w:t xml:space="preserve"> the transport and energy links, </w:t>
      </w:r>
      <w:r w:rsidRPr="008C2D78">
        <w:rPr>
          <w:rFonts w:ascii="Times New Roman" w:hAnsi="Times New Roman" w:cs="Times New Roman"/>
          <w:noProof/>
          <w:sz w:val="24"/>
          <w:szCs w:val="24"/>
        </w:rPr>
        <w:t>which are crucial for the economic development of the region and the EU alike. This year, the EU intends to propose a package of EUR 135 million</w:t>
      </w:r>
      <w:r w:rsidRPr="008C2D78">
        <w:rPr>
          <w:rFonts w:ascii="Times New Roman" w:eastAsia="Times New Roman" w:hAnsi="Times New Roman" w:cs="Times New Roman"/>
          <w:noProof/>
          <w:sz w:val="24"/>
          <w:szCs w:val="24"/>
          <w:vertAlign w:val="superscript"/>
        </w:rPr>
        <w:footnoteReference w:id="10"/>
      </w:r>
      <w:r w:rsidRPr="008C2D78">
        <w:rPr>
          <w:rFonts w:ascii="Times New Roman" w:hAnsi="Times New Roman" w:cs="Times New Roman"/>
          <w:noProof/>
          <w:sz w:val="24"/>
          <w:szCs w:val="24"/>
        </w:rPr>
        <w:t xml:space="preserve"> to fund six additional infrastructure investment projects under the connectivity agenda for the Western Balkans. With this funding, the </w:t>
      </w:r>
      <w:r w:rsidRPr="008C2D78">
        <w:rPr>
          <w:rFonts w:ascii="Times New Roman" w:hAnsi="Times New Roman" w:cs="Times New Roman"/>
          <w:b/>
          <w:bCs/>
          <w:noProof/>
          <w:sz w:val="24"/>
          <w:szCs w:val="24"/>
        </w:rPr>
        <w:t>EU will exceed the pledge it made in 2015 to provide EUR 1 billion in EU grants to the connectivity agenda by 2020</w:t>
      </w:r>
      <w:r w:rsidRPr="008C2D78">
        <w:rPr>
          <w:rFonts w:ascii="Times New Roman" w:hAnsi="Times New Roman" w:cs="Times New Roman"/>
          <w:noProof/>
          <w:sz w:val="24"/>
          <w:szCs w:val="24"/>
        </w:rPr>
        <w:t xml:space="preserve"> which will in turn leverage almost EUR 4 billion for 45 infrastructure investments connecting the region to the Trans-European Networks (TEN-T) priority axes and in Projects of the Energy Community of Mutual Interest. </w:t>
      </w:r>
      <w:r w:rsidRPr="008C2D78">
        <w:rPr>
          <w:rFonts w:ascii="Times New Roman" w:hAnsi="Times New Roman" w:cs="Times New Roman"/>
          <w:noProof/>
          <w:sz w:val="24"/>
          <w:szCs w:val="24"/>
          <w:lang w:val="en-GB"/>
        </w:rPr>
        <w:t>The active regional cooperation in the context of the Energy Community and the Central South-East Europe Energy Connectivity initiative is a good basis to accelerate investment in these energy connections as well as in renewable energy and energy efficiency projects.</w:t>
      </w:r>
    </w:p>
    <w:p w:rsidR="009F1698" w:rsidRPr="008C2D78" w:rsidRDefault="008C2D78">
      <w:pPr>
        <w:pStyle w:val="Body"/>
        <w:spacing w:after="120" w:line="240" w:lineRule="auto"/>
        <w:jc w:val="both"/>
        <w:rPr>
          <w:rFonts w:ascii="Times New Roman" w:hAnsi="Times New Roman" w:cs="Times New Roman"/>
          <w:noProof/>
          <w:sz w:val="24"/>
          <w:szCs w:val="24"/>
        </w:rPr>
      </w:pPr>
      <w:r w:rsidRPr="008C2D78">
        <w:rPr>
          <w:rFonts w:ascii="Times New Roman" w:hAnsi="Times New Roman" w:cs="Times New Roman"/>
          <w:noProof/>
          <w:sz w:val="24"/>
          <w:szCs w:val="24"/>
          <w:lang w:val="en-US"/>
        </w:rPr>
        <w:t xml:space="preserve">The EU will continue to pay particular attention to the </w:t>
      </w:r>
      <w:r w:rsidRPr="008C2D78">
        <w:rPr>
          <w:rFonts w:ascii="Times New Roman" w:hAnsi="Times New Roman" w:cs="Times New Roman"/>
          <w:b/>
          <w:bCs/>
          <w:noProof/>
          <w:sz w:val="24"/>
          <w:szCs w:val="24"/>
          <w:lang w:val="en-US"/>
        </w:rPr>
        <w:t>challenges faced by young people</w:t>
      </w:r>
      <w:r w:rsidRPr="008C2D78">
        <w:rPr>
          <w:rFonts w:ascii="Times New Roman" w:hAnsi="Times New Roman" w:cs="Times New Roman"/>
          <w:noProof/>
          <w:sz w:val="24"/>
          <w:szCs w:val="24"/>
          <w:lang w:val="en-US"/>
        </w:rPr>
        <w:t xml:space="preserve">, especially regarding job prospects, inequality and retaining young talent in the region </w:t>
      </w:r>
      <w:r w:rsidRPr="008C2D78">
        <w:rPr>
          <w:rFonts w:ascii="Times New Roman" w:hAnsi="Times New Roman" w:cs="Times New Roman"/>
          <w:b/>
          <w:bCs/>
          <w:noProof/>
          <w:sz w:val="24"/>
          <w:szCs w:val="24"/>
          <w:lang w:val="en-US"/>
        </w:rPr>
        <w:t>to tackle the brain drain</w:t>
      </w:r>
      <w:r w:rsidRPr="008C2D78">
        <w:rPr>
          <w:rFonts w:ascii="Times New Roman" w:hAnsi="Times New Roman" w:cs="Times New Roman"/>
          <w:b/>
          <w:noProof/>
          <w:color w:val="000000" w:themeColor="text1"/>
          <w:sz w:val="24"/>
          <w:szCs w:val="24"/>
        </w:rPr>
        <w:t xml:space="preserve"> and other demographic challenges </w:t>
      </w:r>
      <w:r w:rsidRPr="008C2D78">
        <w:rPr>
          <w:rFonts w:ascii="Times New Roman" w:hAnsi="Times New Roman" w:cs="Times New Roman"/>
          <w:noProof/>
          <w:color w:val="000000" w:themeColor="text1"/>
          <w:sz w:val="24"/>
          <w:szCs w:val="24"/>
        </w:rPr>
        <w:t>facing the region</w:t>
      </w:r>
      <w:r w:rsidRPr="008C2D78">
        <w:rPr>
          <w:rFonts w:ascii="Times New Roman" w:hAnsi="Times New Roman" w:cs="Times New Roman"/>
          <w:noProof/>
          <w:sz w:val="24"/>
          <w:szCs w:val="24"/>
          <w:lang w:val="en-US"/>
        </w:rPr>
        <w:t xml:space="preserve">. Funding from </w:t>
      </w:r>
      <w:r w:rsidRPr="008C2D78">
        <w:rPr>
          <w:rFonts w:ascii="Times New Roman" w:hAnsi="Times New Roman" w:cs="Times New Roman"/>
          <w:b/>
          <w:bCs/>
          <w:noProof/>
          <w:sz w:val="24"/>
          <w:szCs w:val="24"/>
          <w:lang w:val="en-US"/>
        </w:rPr>
        <w:t>Erasmus+ for the region has been doubled since 2018</w:t>
      </w:r>
      <w:r w:rsidRPr="008C2D78">
        <w:rPr>
          <w:rFonts w:ascii="Times New Roman" w:hAnsi="Times New Roman" w:cs="Times New Roman"/>
          <w:noProof/>
          <w:sz w:val="24"/>
          <w:szCs w:val="24"/>
          <w:lang w:val="en-US"/>
        </w:rPr>
        <w:t xml:space="preserve"> (to over EUR 65 million), along with increased emphasis on vocational education. Focus on digitals skills, as well as research and entrepreneurial skills, will be further strengthened in the future with a view to equip young people to become economically successful and thrive in the digital age. </w:t>
      </w:r>
    </w:p>
    <w:p w:rsidR="009F1698" w:rsidRPr="008C2D78" w:rsidRDefault="008C2D78">
      <w:pPr>
        <w:pStyle w:val="Body"/>
        <w:spacing w:after="120" w:line="240" w:lineRule="auto"/>
        <w:jc w:val="both"/>
        <w:rPr>
          <w:rFonts w:ascii="Times New Roman" w:eastAsia="Times New Roman" w:hAnsi="Times New Roman" w:cs="Times New Roman"/>
          <w:b/>
          <w:bCs/>
          <w:noProof/>
          <w:sz w:val="24"/>
          <w:szCs w:val="24"/>
        </w:rPr>
      </w:pPr>
      <w:r w:rsidRPr="008C2D78">
        <w:rPr>
          <w:rFonts w:ascii="Times New Roman" w:hAnsi="Times New Roman" w:cs="Times New Roman"/>
          <w:noProof/>
          <w:sz w:val="24"/>
          <w:szCs w:val="24"/>
          <w:lang w:val="en-US"/>
        </w:rPr>
        <w:t xml:space="preserve">The COVID-19 pandemic has drawn into sharp relief the importance of the proper functioning of the EU’s </w:t>
      </w:r>
      <w:r w:rsidRPr="008C2D78">
        <w:rPr>
          <w:rFonts w:ascii="Times New Roman" w:hAnsi="Times New Roman" w:cs="Times New Roman"/>
          <w:b/>
          <w:bCs/>
          <w:noProof/>
          <w:sz w:val="24"/>
          <w:szCs w:val="24"/>
          <w:lang w:val="en-US"/>
        </w:rPr>
        <w:t>single market</w:t>
      </w:r>
      <w:r w:rsidRPr="008C2D78">
        <w:rPr>
          <w:rFonts w:ascii="Times New Roman" w:hAnsi="Times New Roman" w:cs="Times New Roman"/>
          <w:noProof/>
          <w:sz w:val="24"/>
          <w:szCs w:val="24"/>
          <w:lang w:val="en-US"/>
        </w:rPr>
        <w:t xml:space="preserve"> as a key component of our </w:t>
      </w:r>
      <w:r w:rsidRPr="008C2D78">
        <w:rPr>
          <w:rFonts w:ascii="Times New Roman" w:hAnsi="Times New Roman" w:cs="Times New Roman"/>
          <w:b/>
          <w:bCs/>
          <w:noProof/>
          <w:sz w:val="24"/>
          <w:szCs w:val="24"/>
          <w:lang w:val="en-US"/>
        </w:rPr>
        <w:t>prosperity</w:t>
      </w:r>
      <w:r w:rsidRPr="008C2D78">
        <w:rPr>
          <w:rFonts w:ascii="Times New Roman" w:hAnsi="Times New Roman" w:cs="Times New Roman"/>
          <w:noProof/>
          <w:sz w:val="24"/>
          <w:szCs w:val="24"/>
          <w:lang w:val="en-US"/>
        </w:rPr>
        <w:t xml:space="preserve"> and </w:t>
      </w:r>
      <w:r w:rsidRPr="008C2D78">
        <w:rPr>
          <w:rFonts w:ascii="Times New Roman" w:hAnsi="Times New Roman" w:cs="Times New Roman"/>
          <w:b/>
          <w:bCs/>
          <w:noProof/>
          <w:sz w:val="24"/>
          <w:szCs w:val="24"/>
          <w:lang w:val="en-US"/>
        </w:rPr>
        <w:t xml:space="preserve">resilience. </w:t>
      </w:r>
      <w:r w:rsidRPr="008C2D78">
        <w:rPr>
          <w:rFonts w:ascii="Times New Roman" w:hAnsi="Times New Roman" w:cs="Times New Roman"/>
          <w:noProof/>
          <w:sz w:val="24"/>
          <w:szCs w:val="24"/>
          <w:lang w:val="en-US"/>
        </w:rPr>
        <w:t xml:space="preserve">Equally, it has underlined the high level of socio-economic inter-dependence between the EU and the Western Balkans economies, and within the region itself. It will therefore be crucial to </w:t>
      </w:r>
      <w:r w:rsidRPr="008C2D78">
        <w:rPr>
          <w:rFonts w:ascii="Times New Roman" w:hAnsi="Times New Roman" w:cs="Times New Roman"/>
          <w:b/>
          <w:bCs/>
          <w:noProof/>
          <w:sz w:val="24"/>
          <w:szCs w:val="24"/>
          <w:lang w:val="en-US"/>
        </w:rPr>
        <w:t>connect the economies of the Western Balkans more effectively - within the region and with the EU</w:t>
      </w:r>
      <w:r w:rsidRPr="008C2D78">
        <w:rPr>
          <w:rFonts w:ascii="Times New Roman" w:hAnsi="Times New Roman" w:cs="Times New Roman"/>
          <w:noProof/>
          <w:sz w:val="24"/>
          <w:szCs w:val="24"/>
          <w:lang w:val="en-US"/>
        </w:rPr>
        <w:t xml:space="preserve">. This requires a stronger commitment from all Western Balkans partners to deepening inclusive regional economic integration and </w:t>
      </w:r>
      <w:r w:rsidRPr="008C2D78">
        <w:rPr>
          <w:rFonts w:ascii="Times New Roman" w:hAnsi="Times New Roman" w:cs="Times New Roman"/>
          <w:b/>
          <w:bCs/>
          <w:noProof/>
          <w:sz w:val="24"/>
          <w:szCs w:val="24"/>
          <w:lang w:val="en-US"/>
        </w:rPr>
        <w:t xml:space="preserve">developing a common regional market, </w:t>
      </w:r>
      <w:r w:rsidRPr="008C2D78">
        <w:rPr>
          <w:rFonts w:ascii="Times New Roman" w:hAnsi="Times New Roman" w:cs="Times New Roman"/>
          <w:noProof/>
          <w:sz w:val="24"/>
          <w:szCs w:val="24"/>
          <w:lang w:val="en-US"/>
        </w:rPr>
        <w:t xml:space="preserve">as agreed, on the basis of the EU </w:t>
      </w:r>
      <w:r w:rsidRPr="008C2D78">
        <w:rPr>
          <w:rFonts w:ascii="Times New Roman" w:hAnsi="Times New Roman" w:cs="Times New Roman"/>
          <w:i/>
          <w:iCs/>
          <w:noProof/>
          <w:sz w:val="24"/>
          <w:szCs w:val="24"/>
          <w:lang w:val="en-US"/>
        </w:rPr>
        <w:t>acquis,</w:t>
      </w:r>
      <w:r w:rsidRPr="008C2D78">
        <w:rPr>
          <w:rFonts w:ascii="Times New Roman" w:hAnsi="Times New Roman" w:cs="Times New Roman"/>
          <w:noProof/>
          <w:sz w:val="24"/>
          <w:szCs w:val="24"/>
          <w:lang w:val="en-US"/>
        </w:rPr>
        <w:t xml:space="preserve"> and respecting EU commitments which will also </w:t>
      </w:r>
      <w:r w:rsidRPr="008C2D78">
        <w:rPr>
          <w:rFonts w:ascii="Times New Roman" w:hAnsi="Times New Roman" w:cs="Times New Roman"/>
          <w:b/>
          <w:bCs/>
          <w:noProof/>
          <w:sz w:val="24"/>
          <w:szCs w:val="24"/>
          <w:lang w:val="en-US"/>
        </w:rPr>
        <w:t xml:space="preserve">make the region a more attractive investment area.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w:t>
      </w:r>
      <w:r w:rsidRPr="008C2D78">
        <w:rPr>
          <w:rFonts w:ascii="Times New Roman" w:hAnsi="Times New Roman" w:cs="Times New Roman"/>
          <w:b/>
          <w:bCs/>
          <w:noProof/>
          <w:sz w:val="24"/>
          <w:szCs w:val="24"/>
          <w:lang w:val="en-US"/>
        </w:rPr>
        <w:t>regional organisations</w:t>
      </w:r>
      <w:r w:rsidRPr="008C2D78">
        <w:rPr>
          <w:rFonts w:ascii="Times New Roman" w:hAnsi="Times New Roman" w:cs="Times New Roman"/>
          <w:noProof/>
          <w:sz w:val="24"/>
          <w:szCs w:val="24"/>
          <w:lang w:val="en-US"/>
        </w:rPr>
        <w:t xml:space="preserve"> - the Regional Cooperation Council, the Transport Community, the Energy Community and the Central European Free Trade Area - are instrumental in this regard. EU funded projects have also played a key role in reducing obstacles to trade.</w:t>
      </w:r>
      <w:r w:rsidRPr="008C2D78">
        <w:rPr>
          <w:rFonts w:ascii="Times New Roman" w:eastAsia="Times New Roman" w:hAnsi="Times New Roman" w:cs="Times New Roman"/>
          <w:noProof/>
          <w:sz w:val="24"/>
          <w:szCs w:val="24"/>
          <w:vertAlign w:val="superscript"/>
          <w:lang w:val="en-US"/>
        </w:rPr>
        <w:footnoteReference w:id="11"/>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All these support measures have the same objectives: to transform the Western Balkans into </w:t>
      </w:r>
      <w:r w:rsidRPr="008C2D78">
        <w:rPr>
          <w:rFonts w:ascii="Times New Roman" w:hAnsi="Times New Roman" w:cs="Times New Roman"/>
          <w:b/>
          <w:bCs/>
          <w:noProof/>
          <w:sz w:val="24"/>
          <w:szCs w:val="24"/>
          <w:lang w:val="en-US"/>
        </w:rPr>
        <w:t>functioning market economies able to integrate fully into the EU’s single market</w:t>
      </w:r>
      <w:r w:rsidRPr="008C2D78">
        <w:rPr>
          <w:rFonts w:ascii="Times New Roman" w:hAnsi="Times New Roman" w:cs="Times New Roman"/>
          <w:noProof/>
          <w:sz w:val="24"/>
          <w:szCs w:val="24"/>
          <w:lang w:val="en-US"/>
        </w:rPr>
        <w:t>, to improve the business and investment climate, thus contributing to increased trade flows within the region and with the EU</w:t>
      </w:r>
      <w:r w:rsidRPr="008C2D78">
        <w:rPr>
          <w:rFonts w:ascii="Times New Roman" w:eastAsia="Times New Roman" w:hAnsi="Times New Roman" w:cs="Times New Roman"/>
          <w:noProof/>
          <w:sz w:val="24"/>
          <w:szCs w:val="24"/>
          <w:vertAlign w:val="superscript"/>
          <w:lang w:val="en-US"/>
        </w:rPr>
        <w:footnoteReference w:id="12"/>
      </w:r>
      <w:r w:rsidRPr="008C2D78">
        <w:rPr>
          <w:rFonts w:ascii="Times New Roman" w:hAnsi="Times New Roman" w:cs="Times New Roman"/>
          <w:noProof/>
          <w:sz w:val="24"/>
          <w:szCs w:val="24"/>
          <w:lang w:val="en-US"/>
        </w:rPr>
        <w:t xml:space="preserve">, to create jobs and opportunities, thus reducing the brain drain from the region. The current crisis must thus not deflect attention from key structural weaknesses, such as high unemployment (in particular among youth), low labour market participation (in particular for women); a mismatch between skills and labour market needs; insufficient social protection; low agricultural productivity and competitiveness and undiversified energy supply and low energy efficiency. The well-established Economic and Financial Dialogue, based on the partners’ </w:t>
      </w:r>
      <w:r w:rsidRPr="008C2D78">
        <w:rPr>
          <w:rFonts w:ascii="Times New Roman" w:hAnsi="Times New Roman" w:cs="Times New Roman"/>
          <w:b/>
          <w:bCs/>
          <w:noProof/>
          <w:sz w:val="24"/>
          <w:szCs w:val="24"/>
          <w:lang w:val="en-US"/>
        </w:rPr>
        <w:t>Economic Reform Programs</w:t>
      </w:r>
      <w:r w:rsidRPr="008C2D78">
        <w:rPr>
          <w:rFonts w:ascii="Times New Roman" w:hAnsi="Times New Roman" w:cs="Times New Roman"/>
          <w:noProof/>
          <w:sz w:val="24"/>
          <w:szCs w:val="24"/>
          <w:lang w:val="en-US"/>
        </w:rPr>
        <w:t xml:space="preserve">, remains an important framework for guiding and supporting macroeconomic and structural reforms.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aim of the Economic and Investment Plan will be </w:t>
      </w:r>
      <w:r w:rsidRPr="008C2D78">
        <w:rPr>
          <w:rFonts w:ascii="Times New Roman" w:hAnsi="Times New Roman" w:cs="Times New Roman"/>
          <w:b/>
          <w:bCs/>
          <w:noProof/>
          <w:sz w:val="24"/>
          <w:szCs w:val="24"/>
          <w:lang w:val="en-US"/>
        </w:rPr>
        <w:t>to spur the long-term recovery</w:t>
      </w:r>
      <w:r w:rsidRPr="008C2D78">
        <w:rPr>
          <w:rFonts w:ascii="Times New Roman" w:hAnsi="Times New Roman" w:cs="Times New Roman"/>
          <w:noProof/>
          <w:sz w:val="24"/>
          <w:szCs w:val="24"/>
          <w:lang w:val="en-US"/>
        </w:rPr>
        <w:t>, boost economic growth and support reforms required to move forward on the EU path. Thi</w:t>
      </w:r>
      <w:r w:rsidR="00322CB5">
        <w:rPr>
          <w:rFonts w:ascii="Times New Roman" w:hAnsi="Times New Roman" w:cs="Times New Roman"/>
          <w:noProof/>
          <w:sz w:val="24"/>
          <w:szCs w:val="24"/>
          <w:lang w:val="en-US"/>
        </w:rPr>
        <w:t xml:space="preserve">s </w:t>
      </w:r>
      <w:bookmarkStart w:id="1" w:name="_GoBack"/>
      <w:bookmarkEnd w:id="1"/>
      <w:r w:rsidRPr="008C2D78">
        <w:rPr>
          <w:rFonts w:ascii="Times New Roman" w:hAnsi="Times New Roman" w:cs="Times New Roman"/>
          <w:noProof/>
          <w:sz w:val="24"/>
          <w:szCs w:val="24"/>
          <w:lang w:val="en-US"/>
        </w:rPr>
        <w:t>Economic and Investment Plan</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will be</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 xml:space="preserve">inspired by and aligned with the priorities set by the European Commission for its own work in the period 2019-2024. </w:t>
      </w: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8C2D78">
      <w:pPr>
        <w:pStyle w:val="ListParagraph"/>
        <w:keepNext/>
        <w:numPr>
          <w:ilvl w:val="0"/>
          <w:numId w:val="20"/>
        </w:numPr>
        <w:pBdr>
          <w:top w:val="nil"/>
          <w:left w:val="nil"/>
          <w:bottom w:val="nil"/>
          <w:right w:val="nil"/>
          <w:between w:val="nil"/>
          <w:bar w:val="nil"/>
        </w:pBdr>
        <w:spacing w:after="120"/>
        <w:ind w:left="783" w:hanging="482"/>
        <w:jc w:val="both"/>
        <w:rPr>
          <w:rFonts w:ascii="Times New Roman" w:hAnsi="Times New Roman"/>
          <w:b/>
          <w:bCs/>
          <w:noProof/>
          <w:sz w:val="24"/>
          <w:szCs w:val="24"/>
          <w:lang w:val="en-US"/>
        </w:rPr>
      </w:pPr>
      <w:r w:rsidRPr="008C2D78">
        <w:rPr>
          <w:rFonts w:ascii="Times New Roman" w:hAnsi="Times New Roman"/>
          <w:b/>
          <w:bCs/>
          <w:noProof/>
          <w:sz w:val="24"/>
          <w:szCs w:val="24"/>
          <w:lang w:val="en-US"/>
        </w:rPr>
        <w:t xml:space="preserve">Tackling  fundamental reforms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recovery from the current crisis will only work effectively if </w:t>
      </w:r>
      <w:r w:rsidRPr="008C2D78">
        <w:rPr>
          <w:rFonts w:ascii="Times New Roman" w:hAnsi="Times New Roman" w:cs="Times New Roman"/>
          <w:b/>
          <w:bCs/>
          <w:noProof/>
          <w:sz w:val="24"/>
          <w:szCs w:val="24"/>
          <w:lang w:val="en-US"/>
        </w:rPr>
        <w:t>the countries keep delivering on their reform commitments</w:t>
      </w:r>
      <w:r w:rsidRPr="008C2D78">
        <w:rPr>
          <w:rFonts w:ascii="Times New Roman" w:hAnsi="Times New Roman" w:cs="Times New Roman"/>
          <w:noProof/>
          <w:sz w:val="24"/>
          <w:szCs w:val="24"/>
          <w:lang w:val="en-US"/>
        </w:rPr>
        <w:t xml:space="preserve"> and produce tangible results in their implementation. This is key to realising their European perspective. In addition to continued economic reforms, this requires a </w:t>
      </w:r>
      <w:r w:rsidRPr="008C2D78">
        <w:rPr>
          <w:rFonts w:ascii="Times New Roman" w:hAnsi="Times New Roman" w:cs="Times New Roman"/>
          <w:b/>
          <w:bCs/>
          <w:noProof/>
          <w:sz w:val="24"/>
          <w:szCs w:val="24"/>
          <w:lang w:val="en-US"/>
        </w:rPr>
        <w:t>stronger focus on the rule of law, the functioning of democratic institutions and public administration</w:t>
      </w:r>
      <w:r w:rsidRPr="008C2D78">
        <w:rPr>
          <w:rFonts w:ascii="Times New Roman" w:hAnsi="Times New Roman" w:cs="Times New Roman"/>
          <w:noProof/>
          <w:sz w:val="24"/>
          <w:szCs w:val="24"/>
          <w:lang w:val="en-US"/>
        </w:rPr>
        <w:t xml:space="preserve">.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Strengthening the </w:t>
      </w:r>
      <w:r w:rsidRPr="008C2D78">
        <w:rPr>
          <w:rFonts w:ascii="Times New Roman" w:hAnsi="Times New Roman" w:cs="Times New Roman"/>
          <w:b/>
          <w:bCs/>
          <w:noProof/>
          <w:sz w:val="24"/>
          <w:szCs w:val="24"/>
          <w:lang w:val="en-US"/>
        </w:rPr>
        <w:t xml:space="preserve">rule of law in all its aspects </w:t>
      </w:r>
      <w:r w:rsidRPr="008C2D78">
        <w:rPr>
          <w:rFonts w:ascii="Times New Roman" w:hAnsi="Times New Roman" w:cs="Times New Roman"/>
          <w:noProof/>
          <w:sz w:val="24"/>
          <w:szCs w:val="24"/>
          <w:lang w:val="en-US"/>
        </w:rPr>
        <w:t>is crucial. It requires an independent and efficient judiciary, robust results in the fight against corruption, organised crime and terrorism, and effective protection of fundamental rights including freedom of expression and of the media. More specifically, it is of utmost importance that emergency measures taken during the crisis are not at the expense of fundamental principles and values</w:t>
      </w:r>
      <w:r w:rsidRPr="008C2D78">
        <w:rPr>
          <w:rFonts w:ascii="Times New Roman" w:hAnsi="Times New Roman" w:cs="Times New Roman"/>
          <w:noProof/>
          <w:sz w:val="24"/>
          <w:szCs w:val="24"/>
        </w:rPr>
        <w:t xml:space="preserve"> and that such measures remain proportionate, time-bound and subject to democratic oversight</w:t>
      </w:r>
      <w:r w:rsidRPr="008C2D78">
        <w:rPr>
          <w:rFonts w:ascii="Times New Roman" w:hAnsi="Times New Roman" w:cs="Times New Roman"/>
          <w:noProof/>
          <w:sz w:val="24"/>
          <w:szCs w:val="24"/>
          <w:lang w:val="en-US"/>
        </w:rPr>
        <w:t xml:space="preserve">. </w:t>
      </w:r>
    </w:p>
    <w:p w:rsidR="009F1698" w:rsidRPr="008C2D78" w:rsidRDefault="008C2D78">
      <w:pPr>
        <w:pStyle w:val="Body"/>
        <w:spacing w:after="120" w:line="240" w:lineRule="auto"/>
        <w:jc w:val="both"/>
        <w:rPr>
          <w:rFonts w:ascii="Times New Roman" w:eastAsia="Times New Roman" w:hAnsi="Times New Roman" w:cs="Times New Roman"/>
          <w:b/>
          <w:bCs/>
          <w:noProof/>
          <w:sz w:val="24"/>
          <w:szCs w:val="24"/>
        </w:rPr>
      </w:pPr>
      <w:r w:rsidRPr="008C2D78">
        <w:rPr>
          <w:rFonts w:ascii="Times New Roman" w:hAnsi="Times New Roman" w:cs="Times New Roman"/>
          <w:noProof/>
          <w:sz w:val="24"/>
          <w:szCs w:val="24"/>
          <w:lang w:val="en-US"/>
        </w:rPr>
        <w:t xml:space="preserve">Building on the extensive cooperation that already exists, it is essential to ensure continued active engagement through joint and mutually agreed actions on </w:t>
      </w:r>
      <w:r w:rsidRPr="008C2D78">
        <w:rPr>
          <w:rFonts w:ascii="Times New Roman" w:hAnsi="Times New Roman" w:cs="Times New Roman"/>
          <w:b/>
          <w:bCs/>
          <w:noProof/>
          <w:sz w:val="24"/>
          <w:szCs w:val="24"/>
          <w:lang w:val="en-US"/>
        </w:rPr>
        <w:t xml:space="preserve">security, </w:t>
      </w:r>
      <w:r w:rsidRPr="008C2D78">
        <w:rPr>
          <w:rFonts w:ascii="Times New Roman" w:hAnsi="Times New Roman" w:cs="Times New Roman"/>
          <w:noProof/>
          <w:sz w:val="24"/>
          <w:szCs w:val="24"/>
          <w:lang w:val="en-US"/>
        </w:rPr>
        <w:t>including against money laundering and terrorist financing risks, and on</w:t>
      </w:r>
      <w:r w:rsidRPr="008C2D78">
        <w:rPr>
          <w:rFonts w:ascii="Times New Roman" w:hAnsi="Times New Roman" w:cs="Times New Roman"/>
          <w:b/>
          <w:bCs/>
          <w:noProof/>
          <w:sz w:val="24"/>
          <w:szCs w:val="24"/>
          <w:lang w:val="en-US"/>
        </w:rPr>
        <w:t xml:space="preserve"> migration and border management. Stronger democratic institutions and more inclusive democratic processes </w:t>
      </w:r>
      <w:r w:rsidRPr="008C2D78">
        <w:rPr>
          <w:rFonts w:ascii="Times New Roman" w:hAnsi="Times New Roman" w:cs="Times New Roman"/>
          <w:noProof/>
          <w:sz w:val="24"/>
          <w:szCs w:val="24"/>
          <w:lang w:val="en-US"/>
        </w:rPr>
        <w:t xml:space="preserve">remain key priorities. </w:t>
      </w:r>
      <w:r w:rsidRPr="008C2D78">
        <w:rPr>
          <w:rFonts w:ascii="Times New Roman" w:hAnsi="Times New Roman" w:cs="Times New Roman"/>
          <w:b/>
          <w:bCs/>
          <w:noProof/>
          <w:sz w:val="24"/>
          <w:szCs w:val="24"/>
          <w:lang w:val="en-US"/>
        </w:rPr>
        <w:t>Public administration reform</w:t>
      </w:r>
      <w:r w:rsidRPr="008C2D78">
        <w:rPr>
          <w:rFonts w:ascii="Times New Roman" w:hAnsi="Times New Roman" w:cs="Times New Roman"/>
          <w:noProof/>
          <w:sz w:val="24"/>
          <w:szCs w:val="24"/>
          <w:lang w:val="en-US"/>
        </w:rPr>
        <w:t xml:space="preserve"> is essential for improving governance at all levels.</w:t>
      </w:r>
      <w:r w:rsidRPr="008C2D78">
        <w:rPr>
          <w:rFonts w:ascii="Times New Roman" w:hAnsi="Times New Roman" w:cs="Times New Roman"/>
          <w:b/>
          <w:bCs/>
          <w:noProof/>
          <w:sz w:val="24"/>
          <w:szCs w:val="24"/>
          <w:lang w:val="en-US"/>
        </w:rPr>
        <w:t xml:space="preserve"> </w:t>
      </w:r>
      <w:r w:rsidRPr="008C2D78">
        <w:rPr>
          <w:rFonts w:ascii="Times New Roman" w:hAnsi="Times New Roman" w:cs="Times New Roman"/>
          <w:noProof/>
          <w:sz w:val="24"/>
          <w:szCs w:val="24"/>
          <w:lang w:val="en-US"/>
        </w:rPr>
        <w:t>This includes increased transparency and accountability, sound public financial management and more professional administrations. Taken together, the above form the bedrock for a sustained economic recovery.</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Commission remains firmly committed to supporting the region in addressing these reforms. Further measures will be set out in a Commission Communication later this year.  </w:t>
      </w:r>
    </w:p>
    <w:p w:rsidR="009F1698" w:rsidRPr="008C2D78" w:rsidRDefault="008C2D78">
      <w:pPr>
        <w:pStyle w:val="Body"/>
        <w:spacing w:after="120" w:line="240" w:lineRule="auto"/>
        <w:jc w:val="both"/>
        <w:rPr>
          <w:rFonts w:ascii="Times New Roman" w:eastAsia="Times New Roman" w:hAnsi="Times New Roman" w:cs="Times New Roman"/>
          <w:noProof/>
          <w:sz w:val="24"/>
          <w:szCs w:val="24"/>
        </w:rPr>
      </w:pPr>
      <w:r w:rsidRPr="008C2D78">
        <w:rPr>
          <w:rFonts w:ascii="Times New Roman" w:hAnsi="Times New Roman" w:cs="Times New Roman"/>
          <w:noProof/>
          <w:sz w:val="24"/>
          <w:szCs w:val="24"/>
          <w:lang w:val="en-US"/>
        </w:rPr>
        <w:t xml:space="preserve">The COVID-19 crisis is a test for our solidarity and resolve, but also a strong demonstration of us working closer together as Europeans with a common destiny. </w:t>
      </w:r>
      <w:r w:rsidRPr="008C2D78">
        <w:rPr>
          <w:rFonts w:ascii="Times New Roman" w:hAnsi="Times New Roman" w:cs="Times New Roman"/>
          <w:noProof/>
          <w:sz w:val="24"/>
          <w:szCs w:val="24"/>
        </w:rPr>
        <w:t xml:space="preserve">In this regard, we acknowledge that the partners of the Western Balkans will need to find their place in our forthcoming reflection on the future of Europe. </w:t>
      </w:r>
      <w:r w:rsidRPr="008C2D78">
        <w:rPr>
          <w:rFonts w:ascii="Times New Roman" w:hAnsi="Times New Roman" w:cs="Times New Roman"/>
          <w:noProof/>
          <w:sz w:val="24"/>
          <w:szCs w:val="24"/>
          <w:lang w:val="en-US"/>
        </w:rPr>
        <w:t>Together we will overcome this crisis and recover. And together we will further strengthen our cooperation to help our partners meet the requirements of EU membership.</w:t>
      </w:r>
    </w:p>
    <w:p w:rsidR="009F1698" w:rsidRPr="008C2D78" w:rsidRDefault="009F1698">
      <w:pPr>
        <w:pStyle w:val="Body"/>
        <w:spacing w:after="120" w:line="240" w:lineRule="auto"/>
        <w:jc w:val="both"/>
        <w:rPr>
          <w:rFonts w:ascii="Times New Roman" w:eastAsia="Times New Roman" w:hAnsi="Times New Roman" w:cs="Times New Roman"/>
          <w:noProof/>
          <w:sz w:val="24"/>
          <w:szCs w:val="24"/>
          <w:lang w:val="en-US"/>
        </w:rPr>
      </w:pPr>
    </w:p>
    <w:p w:rsidR="009F1698" w:rsidRPr="008C2D78" w:rsidRDefault="008C2D78">
      <w:pPr>
        <w:pStyle w:val="Body"/>
        <w:spacing w:after="120"/>
        <w:jc w:val="center"/>
        <w:rPr>
          <w:rFonts w:ascii="Times New Roman" w:hAnsi="Times New Roman" w:cs="Times New Roman"/>
          <w:noProof/>
          <w:sz w:val="24"/>
          <w:szCs w:val="24"/>
        </w:rPr>
      </w:pPr>
      <w:r w:rsidRPr="008C2D78">
        <w:rPr>
          <w:rFonts w:ascii="Times New Roman" w:hAnsi="Times New Roman" w:cs="Times New Roman"/>
          <w:b/>
          <w:bCs/>
          <w:noProof/>
          <w:sz w:val="24"/>
          <w:szCs w:val="24"/>
          <w:lang w:val="en-US"/>
        </w:rPr>
        <w:t>**</w:t>
      </w:r>
    </w:p>
    <w:p w:rsidR="009F1698" w:rsidRPr="008C2D78" w:rsidRDefault="009F1698">
      <w:pPr>
        <w:spacing w:after="120" w:line="240" w:lineRule="auto"/>
        <w:rPr>
          <w:rFonts w:ascii="Times New Roman" w:hAnsi="Times New Roman" w:cs="Times New Roman"/>
          <w:b/>
          <w:noProof/>
          <w:sz w:val="24"/>
          <w:szCs w:val="24"/>
          <w:lang w:val="en-GB"/>
        </w:rPr>
      </w:pPr>
    </w:p>
    <w:sectPr w:rsidR="009F1698" w:rsidRPr="008C2D78">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98" w:rsidRDefault="008C2D78">
      <w:pPr>
        <w:spacing w:after="0" w:line="240" w:lineRule="auto"/>
      </w:pPr>
      <w:r>
        <w:separator/>
      </w:r>
    </w:p>
  </w:endnote>
  <w:endnote w:type="continuationSeparator" w:id="0">
    <w:p w:rsidR="009F1698" w:rsidRDefault="008C2D78">
      <w:pPr>
        <w:spacing w:after="0" w:line="240" w:lineRule="auto"/>
      </w:pPr>
      <w:r>
        <w:continuationSeparator/>
      </w:r>
    </w:p>
  </w:endnote>
  <w:endnote w:type="continuationNotice" w:id="1">
    <w:p w:rsidR="009F1698" w:rsidRDefault="009F16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8C2D78">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8C2D78">
    <w:pPr>
      <w:pStyle w:val="Footer"/>
      <w:tabs>
        <w:tab w:val="clear" w:pos="9360"/>
        <w:tab w:val="right" w:pos="9046"/>
      </w:tabs>
      <w:jc w:val="cente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322CB5">
      <w:rPr>
        <w:rFonts w:ascii="Times New Roman" w:eastAsia="Times New Roman" w:hAnsi="Times New Roman" w:cs="Times New Roman"/>
        <w:noProof/>
      </w:rPr>
      <w:t>5</w:t>
    </w:r>
    <w:r>
      <w:rPr>
        <w:rFonts w:ascii="Times New Roman" w:eastAsia="Times New Roman" w:hAnsi="Times New Roman"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98" w:rsidRDefault="008C2D78">
      <w:pPr>
        <w:spacing w:after="0" w:line="240" w:lineRule="auto"/>
      </w:pPr>
      <w:r>
        <w:separator/>
      </w:r>
    </w:p>
  </w:footnote>
  <w:footnote w:type="continuationSeparator" w:id="0">
    <w:p w:rsidR="009F1698" w:rsidRDefault="008C2D78">
      <w:pPr>
        <w:spacing w:after="0" w:line="240" w:lineRule="auto"/>
      </w:pPr>
      <w:r>
        <w:continuationSeparator/>
      </w:r>
    </w:p>
  </w:footnote>
  <w:footnote w:type="continuationNotice" w:id="1">
    <w:p w:rsidR="009F1698" w:rsidRDefault="009F1698">
      <w:pPr>
        <w:spacing w:after="0" w:line="240" w:lineRule="auto"/>
      </w:pPr>
    </w:p>
  </w:footnote>
  <w:footnote w:id="2">
    <w:p w:rsidR="009F1698" w:rsidRDefault="008C2D78">
      <w:pPr>
        <w:pStyle w:val="FootnoteText"/>
        <w:jc w:val="both"/>
        <w:rPr>
          <w:lang w:val="en-GB"/>
        </w:rPr>
      </w:pPr>
      <w:r>
        <w:rPr>
          <w:rFonts w:ascii="Times New Roman" w:eastAsia="Times New Roman" w:hAnsi="Times New Roman"/>
          <w:b/>
          <w:bCs/>
          <w:vertAlign w:val="superscript"/>
          <w:lang w:val="en-US"/>
        </w:rPr>
        <w:footnoteRef/>
      </w:r>
      <w:r>
        <w:rPr>
          <w:rFonts w:ascii="Times New Roman" w:hAnsi="Times New Roman"/>
          <w:lang w:val="en-US"/>
        </w:rPr>
        <w:t xml:space="preserve"> Commission Communication</w:t>
      </w:r>
      <w:r>
        <w:rPr>
          <w:rFonts w:ascii="Times New Roman" w:hAnsi="Times New Roman"/>
          <w:i/>
          <w:iCs/>
          <w:lang w:val="en-US"/>
        </w:rPr>
        <w:t xml:space="preserve"> “Enhancing the accession process - A credible EU perspective for the Western Balkans</w:t>
      </w:r>
      <w:r>
        <w:rPr>
          <w:rFonts w:ascii="Times New Roman" w:hAnsi="Times New Roman"/>
          <w:lang w:val="en-US"/>
        </w:rPr>
        <w:t xml:space="preserve">” </w:t>
      </w:r>
      <w:hyperlink r:id="rId1" w:history="1">
        <w:r>
          <w:rPr>
            <w:rStyle w:val="Hyperlink0"/>
            <w:rFonts w:eastAsia="Calibri"/>
          </w:rPr>
          <w:t>COM(2020) 57 final</w:t>
        </w:r>
      </w:hyperlink>
    </w:p>
  </w:footnote>
  <w:footnote w:id="3">
    <w:p w:rsidR="009F1698" w:rsidRDefault="008C2D78">
      <w:pPr>
        <w:pStyle w:val="FootnoteText"/>
        <w:rPr>
          <w:lang w:val="en-GB"/>
        </w:rPr>
      </w:pPr>
      <w:r>
        <w:rPr>
          <w:rFonts w:ascii="Times New Roman" w:eastAsia="Times New Roman" w:hAnsi="Times New Roman"/>
          <w:b/>
          <w:bCs/>
          <w:vertAlign w:val="superscript"/>
          <w:lang w:val="en-US"/>
        </w:rPr>
        <w:footnoteRef/>
      </w:r>
      <w:r>
        <w:rPr>
          <w:rFonts w:ascii="Times New Roman" w:hAnsi="Times New Roman"/>
          <w:lang w:val="en-US"/>
        </w:rPr>
        <w:t xml:space="preserve"> Funding allocated within the existing Multi-annual Indicative Program 2014-2020</w:t>
      </w:r>
    </w:p>
  </w:footnote>
  <w:footnote w:id="4">
    <w:p w:rsidR="009F1698" w:rsidRDefault="008C2D78">
      <w:pPr>
        <w:pStyle w:val="FootnoteText"/>
        <w:rPr>
          <w:lang w:val="en-GB"/>
        </w:rPr>
      </w:pPr>
      <w:r>
        <w:rPr>
          <w:rFonts w:ascii="Times New Roman" w:eastAsia="Times New Roman" w:hAnsi="Times New Roman"/>
          <w:b/>
          <w:bCs/>
          <w:vertAlign w:val="superscript"/>
          <w:lang w:val="en-US"/>
        </w:rPr>
        <w:footnoteRef/>
      </w:r>
      <w:r>
        <w:rPr>
          <w:lang w:val="en-US"/>
        </w:rPr>
        <w:t xml:space="preserve"> </w:t>
      </w:r>
      <w:r>
        <w:rPr>
          <w:rFonts w:ascii="Times New Roman" w:hAnsi="Times New Roman"/>
          <w:lang w:val="en-US"/>
        </w:rPr>
        <w:t>Existing IPA support programs are also being adapted and accelerated e.g. EU pre-accession assistance for rural development (IPARD) and for EU-Western Balkans cross-border cooperation (REGIO).</w:t>
      </w:r>
    </w:p>
  </w:footnote>
  <w:footnote w:id="5">
    <w:p w:rsidR="009F1698" w:rsidRDefault="008C2D78">
      <w:pPr>
        <w:pStyle w:val="FootnoteText"/>
        <w:jc w:val="both"/>
        <w:rPr>
          <w:lang w:val="en-GB"/>
        </w:rPr>
      </w:pPr>
      <w:r>
        <w:rPr>
          <w:rFonts w:ascii="Times New Roman" w:eastAsia="Times New Roman" w:hAnsi="Times New Roman"/>
          <w:vertAlign w:val="superscript"/>
          <w:lang w:val="en-US"/>
        </w:rPr>
        <w:footnoteRef/>
      </w:r>
      <w:r>
        <w:rPr>
          <w:rFonts w:ascii="Times New Roman" w:hAnsi="Times New Roman"/>
          <w:lang w:val="en-US"/>
        </w:rPr>
        <w:t xml:space="preserve"> The EU is funding the delivery of some 95.000 COVID tests, 500 hospital beds, 450 ventilators, 100 intensive care monitors, 100 containers for triage, 10 ambulances, as well as more than 4.5 million pieces of protective equipment as well as hundreds of medical devices (such as x-rays, ECGs, CT scanners, defibrillators, infusion pumps) and thousands of supplies (such as thermometers, catheters, tubes, syringes, masks). The EU has also covered the cost of 16 long-haul flights carrying 750 tons of medical supplies purchased from other sources. </w:t>
      </w:r>
    </w:p>
  </w:footnote>
  <w:footnote w:id="6">
    <w:p w:rsidR="009F1698" w:rsidRDefault="008C2D78">
      <w:pPr>
        <w:pStyle w:val="FootnoteText"/>
        <w:jc w:val="both"/>
        <w:rPr>
          <w:lang w:val="en-GB"/>
        </w:rPr>
      </w:pPr>
      <w:r>
        <w:rPr>
          <w:rFonts w:ascii="Times New Roman" w:eastAsia="Times New Roman" w:hAnsi="Times New Roman"/>
          <w:vertAlign w:val="superscript"/>
          <w:lang w:val="en-US"/>
        </w:rPr>
        <w:footnoteRef/>
      </w:r>
      <w:r>
        <w:rPr>
          <w:rFonts w:ascii="Times New Roman" w:hAnsi="Times New Roman"/>
          <w:lang w:val="en-US"/>
        </w:rPr>
        <w:t xml:space="preserve"> 2020/0065 (COD) Proposal for a Decision of the European Parliament and of the Council on providing Macro-Financial Assistance to enlargement and neighborhood partners in the context of the COVID-19 pandemic crisis. 22 April 2020.</w:t>
      </w:r>
    </w:p>
  </w:footnote>
  <w:footnote w:id="7">
    <w:p w:rsidR="009F1698" w:rsidRDefault="008C2D78">
      <w:pPr>
        <w:pStyle w:val="FootnoteText"/>
        <w:jc w:val="both"/>
        <w:rPr>
          <w:lang w:val="en-GB"/>
        </w:rPr>
      </w:pPr>
      <w:r>
        <w:rPr>
          <w:rFonts w:ascii="Times New Roman" w:eastAsia="Times New Roman" w:hAnsi="Times New Roman"/>
          <w:b/>
          <w:bCs/>
          <w:vertAlign w:val="superscript"/>
          <w:lang w:val="en-US"/>
        </w:rPr>
        <w:footnoteRef/>
      </w:r>
      <w:r>
        <w:rPr>
          <w:rFonts w:ascii="Times New Roman" w:hAnsi="Times New Roman"/>
          <w:lang w:val="en-US"/>
        </w:rPr>
        <w:t xml:space="preserve"> Communication on the Global EU response to COVID-19 (JOIN(2020)11 final) of 8.4.2020</w:t>
      </w:r>
    </w:p>
  </w:footnote>
  <w:footnote w:id="8">
    <w:p w:rsidR="009F1698" w:rsidRDefault="008C2D78">
      <w:pPr>
        <w:pStyle w:val="NormalWeb"/>
        <w:jc w:val="both"/>
        <w:rPr>
          <w:lang w:val="en-GB"/>
        </w:rPr>
      </w:pPr>
      <w:r>
        <w:rPr>
          <w:sz w:val="20"/>
          <w:szCs w:val="20"/>
          <w:vertAlign w:val="superscript"/>
          <w:lang w:val="en-US"/>
        </w:rPr>
        <w:footnoteRef/>
      </w:r>
      <w:r>
        <w:rPr>
          <w:sz w:val="20"/>
          <w:szCs w:val="20"/>
          <w:lang w:val="en-US"/>
        </w:rPr>
        <w:t xml:space="preserve"> Commission Implementing Regulation (EU) 2020/568 of 23 April 2020 making the exportation of certain products subject to the production of an export authorisation (OJ L129, 24.4.20)</w:t>
      </w:r>
    </w:p>
  </w:footnote>
  <w:footnote w:id="9">
    <w:p w:rsidR="009F1698" w:rsidRDefault="008C2D78">
      <w:pPr>
        <w:pStyle w:val="FootnoteText"/>
        <w:rPr>
          <w:rFonts w:ascii="Times New Roman" w:hAnsi="Times New Roman"/>
          <w:lang w:val="en-IE"/>
        </w:rPr>
      </w:pPr>
      <w:r>
        <w:rPr>
          <w:rStyle w:val="FootnoteReference"/>
          <w:rFonts w:ascii="Times New Roman" w:hAnsi="Times New Roman"/>
        </w:rPr>
        <w:footnoteRef/>
      </w:r>
      <w:r>
        <w:rPr>
          <w:rFonts w:ascii="Times New Roman" w:hAnsi="Times New Roman"/>
          <w:lang w:val="en-IE"/>
        </w:rPr>
        <w:t xml:space="preserve"> C(2020) 2050 final.</w:t>
      </w:r>
    </w:p>
  </w:footnote>
  <w:footnote w:id="10">
    <w:p w:rsidR="009F1698" w:rsidRDefault="008C2D78">
      <w:pPr>
        <w:pStyle w:val="FootnoteText"/>
        <w:jc w:val="both"/>
        <w:rPr>
          <w:lang w:val="en-GB"/>
        </w:rPr>
      </w:pPr>
      <w:r>
        <w:rPr>
          <w:rFonts w:ascii="Times New Roman" w:eastAsia="Times New Roman" w:hAnsi="Times New Roman"/>
          <w:vertAlign w:val="superscript"/>
          <w:lang w:val="en-US"/>
        </w:rPr>
        <w:footnoteRef/>
      </w:r>
      <w:r>
        <w:rPr>
          <w:rFonts w:ascii="Times New Roman" w:hAnsi="Times New Roman"/>
          <w:lang w:val="en-US"/>
        </w:rPr>
        <w:t xml:space="preserve"> In addition, EUR 65 million will be provided to support project preparation and implementation under the Western Balkans Investment Framework (WBIF).This will bring the 2020 Connectivity Package funded by the EU to EUR 200 million.</w:t>
      </w:r>
    </w:p>
  </w:footnote>
  <w:footnote w:id="11">
    <w:p w:rsidR="009F1698" w:rsidRDefault="008C2D78">
      <w:pPr>
        <w:pStyle w:val="FootnoteText"/>
        <w:jc w:val="both"/>
        <w:rPr>
          <w:lang w:val="en-GB"/>
        </w:rPr>
      </w:pPr>
      <w:r>
        <w:rPr>
          <w:rFonts w:ascii="Times New Roman" w:eastAsia="Times New Roman" w:hAnsi="Times New Roman"/>
          <w:vertAlign w:val="superscript"/>
          <w:lang w:val="en-US"/>
        </w:rPr>
        <w:footnoteRef/>
      </w:r>
      <w:r>
        <w:rPr>
          <w:rFonts w:ascii="Times New Roman" w:hAnsi="Times New Roman"/>
          <w:lang w:val="en-US"/>
        </w:rPr>
        <w:t xml:space="preserve"> For example, the System for Exchange of Excise Data was upgraded to ensure an early electronic identification of trucks carrying essential goods, communicated to the border crossing points to allow the trucks to cross the border through the green lanes).</w:t>
      </w:r>
    </w:p>
  </w:footnote>
  <w:footnote w:id="12">
    <w:p w:rsidR="009F1698" w:rsidRDefault="008C2D78">
      <w:pPr>
        <w:pStyle w:val="FootnoteText"/>
        <w:jc w:val="both"/>
        <w:rPr>
          <w:rFonts w:ascii="Times New Roman" w:eastAsia="Times New Roman" w:hAnsi="Times New Roman"/>
          <w:lang w:val="en-US"/>
        </w:rPr>
      </w:pPr>
      <w:r>
        <w:rPr>
          <w:rFonts w:ascii="Times New Roman" w:eastAsia="Times New Roman" w:hAnsi="Times New Roman"/>
          <w:vertAlign w:val="superscript"/>
          <w:lang w:val="en-US"/>
        </w:rPr>
        <w:footnoteRef/>
      </w:r>
      <w:r>
        <w:rPr>
          <w:rFonts w:ascii="Times New Roman" w:hAnsi="Times New Roman"/>
          <w:lang w:val="en-US"/>
        </w:rPr>
        <w:t xml:space="preserve"> In this respect, the Commission proposed on 3 April to extend the Autonomous Trade Measures granted by the EU to Western Balkans countries  for another period of 5 years until the end of 2025 (COM(2020) 135 final </w:t>
      </w:r>
    </w:p>
    <w:p w:rsidR="009F1698" w:rsidRDefault="008C2D78">
      <w:pPr>
        <w:pStyle w:val="FootnoteText"/>
      </w:pPr>
      <w:r>
        <w:rPr>
          <w:rFonts w:ascii="Times New Roman" w:hAnsi="Times New Roman"/>
          <w:lang w:val="en-US"/>
        </w:rPr>
        <w:t xml:space="preserve">2020/0051 (COD)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
      <w:tabs>
        <w:tab w:val="clear" w:pos="9360"/>
        <w:tab w:val="right" w:pos="904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698" w:rsidRDefault="009F1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03D"/>
    <w:multiLevelType w:val="hybridMultilevel"/>
    <w:tmpl w:val="50DA3C46"/>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98C6320"/>
    <w:multiLevelType w:val="hybridMultilevel"/>
    <w:tmpl w:val="34CCDB36"/>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0B51692"/>
    <w:multiLevelType w:val="hybridMultilevel"/>
    <w:tmpl w:val="6628A694"/>
    <w:lvl w:ilvl="0" w:tplc="08090013">
      <w:start w:val="1"/>
      <w:numFmt w:val="upperRoman"/>
      <w:lvlText w:val="%1."/>
      <w:lvlJc w:val="right"/>
      <w:pPr>
        <w:ind w:left="780" w:hanging="360"/>
      </w:pPr>
    </w:lvl>
    <w:lvl w:ilvl="1" w:tplc="08090019">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1B156DC"/>
    <w:multiLevelType w:val="hybridMultilevel"/>
    <w:tmpl w:val="1A942A5A"/>
    <w:lvl w:ilvl="0" w:tplc="080C0001">
      <w:start w:val="1"/>
      <w:numFmt w:val="bullet"/>
      <w:lvlText w:val=""/>
      <w:lvlJc w:val="left"/>
      <w:pPr>
        <w:ind w:left="1035" w:hanging="675"/>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E5B3A38"/>
    <w:multiLevelType w:val="hybridMultilevel"/>
    <w:tmpl w:val="E430A882"/>
    <w:lvl w:ilvl="0" w:tplc="C77EC6F2">
      <w:numFmt w:val="bullet"/>
      <w:lvlText w:val="-"/>
      <w:lvlJc w:val="left"/>
      <w:pPr>
        <w:ind w:left="720" w:hanging="360"/>
      </w:pPr>
      <w:rPr>
        <w:rFonts w:ascii="Times New Roman" w:eastAsiaTheme="minorHAnsi"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3E057F"/>
    <w:multiLevelType w:val="hybridMultilevel"/>
    <w:tmpl w:val="328E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502D"/>
    <w:multiLevelType w:val="hybridMultilevel"/>
    <w:tmpl w:val="A41C6E94"/>
    <w:numStyleLink w:val="ImportedStyle1"/>
  </w:abstractNum>
  <w:abstractNum w:abstractNumId="8" w15:restartNumberingAfterBreak="0">
    <w:nsid w:val="2F000009"/>
    <w:multiLevelType w:val="hybridMultilevel"/>
    <w:tmpl w:val="34B116FA"/>
    <w:lvl w:ilvl="0" w:tplc="D922A03E">
      <w:start w:val="1"/>
      <w:numFmt w:val="bullet"/>
      <w:lvlText w:val="Ø"/>
      <w:lvlJc w:val="left"/>
      <w:pPr>
        <w:ind w:left="720" w:hanging="360"/>
        <w:jc w:val="both"/>
      </w:pPr>
      <w:rPr>
        <w:rFonts w:ascii="Wingdings" w:eastAsia="Wingdings" w:hAnsi="Wingdings"/>
        <w:w w:val="100"/>
        <w:sz w:val="20"/>
        <w:szCs w:val="20"/>
        <w:shd w:val="clear" w:color="auto" w:fill="auto"/>
      </w:rPr>
    </w:lvl>
    <w:lvl w:ilvl="1" w:tplc="F696803E">
      <w:start w:val="1"/>
      <w:numFmt w:val="bullet"/>
      <w:lvlText w:val="Ø"/>
      <w:lvlJc w:val="left"/>
      <w:pPr>
        <w:ind w:left="1440" w:hanging="360"/>
        <w:jc w:val="both"/>
      </w:pPr>
      <w:rPr>
        <w:rFonts w:ascii="Wingdings" w:eastAsia="Wingdings" w:hAnsi="Wingdings"/>
        <w:w w:val="100"/>
        <w:sz w:val="20"/>
        <w:szCs w:val="20"/>
        <w:shd w:val="clear" w:color="auto" w:fill="auto"/>
      </w:rPr>
    </w:lvl>
    <w:lvl w:ilvl="2" w:tplc="47F4BE3C">
      <w:start w:val="1"/>
      <w:numFmt w:val="bullet"/>
      <w:lvlText w:val="§"/>
      <w:lvlJc w:val="left"/>
      <w:pPr>
        <w:ind w:left="2160" w:hanging="360"/>
        <w:jc w:val="both"/>
      </w:pPr>
      <w:rPr>
        <w:rFonts w:ascii="Wingdings" w:eastAsia="Wingdings" w:hAnsi="Wingdings"/>
        <w:w w:val="100"/>
        <w:sz w:val="20"/>
        <w:szCs w:val="20"/>
        <w:shd w:val="clear" w:color="auto" w:fill="auto"/>
      </w:rPr>
    </w:lvl>
    <w:lvl w:ilvl="3" w:tplc="75548F68">
      <w:start w:val="1"/>
      <w:numFmt w:val="bullet"/>
      <w:lvlText w:val="·"/>
      <w:lvlJc w:val="left"/>
      <w:pPr>
        <w:ind w:left="2880" w:hanging="360"/>
        <w:jc w:val="both"/>
      </w:pPr>
      <w:rPr>
        <w:rFonts w:ascii="Symbol" w:eastAsia="Symbol" w:hAnsi="Symbol"/>
        <w:w w:val="100"/>
        <w:sz w:val="20"/>
        <w:szCs w:val="20"/>
        <w:shd w:val="clear" w:color="auto" w:fill="auto"/>
      </w:rPr>
    </w:lvl>
    <w:lvl w:ilvl="4" w:tplc="F760CF8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8A2AF56E">
      <w:start w:val="1"/>
      <w:numFmt w:val="bullet"/>
      <w:lvlText w:val="§"/>
      <w:lvlJc w:val="left"/>
      <w:pPr>
        <w:ind w:left="4320" w:hanging="360"/>
        <w:jc w:val="both"/>
      </w:pPr>
      <w:rPr>
        <w:rFonts w:ascii="Wingdings" w:eastAsia="Wingdings" w:hAnsi="Wingdings"/>
        <w:w w:val="100"/>
        <w:sz w:val="20"/>
        <w:szCs w:val="20"/>
        <w:shd w:val="clear" w:color="auto" w:fill="auto"/>
      </w:rPr>
    </w:lvl>
    <w:lvl w:ilvl="6" w:tplc="2B0CC496">
      <w:start w:val="1"/>
      <w:numFmt w:val="bullet"/>
      <w:lvlText w:val="·"/>
      <w:lvlJc w:val="left"/>
      <w:pPr>
        <w:ind w:left="5040" w:hanging="360"/>
        <w:jc w:val="both"/>
      </w:pPr>
      <w:rPr>
        <w:rFonts w:ascii="Symbol" w:eastAsia="Symbol" w:hAnsi="Symbol"/>
        <w:w w:val="100"/>
        <w:sz w:val="20"/>
        <w:szCs w:val="20"/>
        <w:shd w:val="clear" w:color="auto" w:fill="auto"/>
      </w:rPr>
    </w:lvl>
    <w:lvl w:ilvl="7" w:tplc="437A2DE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8F8A2E6E">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26"/>
    <w:multiLevelType w:val="hybridMultilevel"/>
    <w:tmpl w:val="43EE3B82"/>
    <w:lvl w:ilvl="0" w:tplc="FEE2DBB8">
      <w:start w:val="15"/>
      <w:numFmt w:val="bullet"/>
      <w:lvlText w:val="-"/>
      <w:lvlJc w:val="left"/>
      <w:pPr>
        <w:ind w:left="720" w:hanging="360"/>
        <w:jc w:val="both"/>
      </w:pPr>
      <w:rPr>
        <w:rFonts w:ascii="Times New Roman" w:eastAsia="Times New Roman" w:hAnsi="Times New Roman"/>
        <w:w w:val="100"/>
        <w:sz w:val="20"/>
        <w:szCs w:val="20"/>
        <w:shd w:val="clear" w:color="auto" w:fill="auto"/>
      </w:rPr>
    </w:lvl>
    <w:lvl w:ilvl="1" w:tplc="B55C1D74">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4B2C698C">
      <w:start w:val="1"/>
      <w:numFmt w:val="bullet"/>
      <w:lvlText w:val="§"/>
      <w:lvlJc w:val="left"/>
      <w:pPr>
        <w:ind w:left="2160" w:hanging="360"/>
        <w:jc w:val="both"/>
      </w:pPr>
      <w:rPr>
        <w:rFonts w:ascii="Wingdings" w:eastAsia="Wingdings" w:hAnsi="Wingdings"/>
        <w:w w:val="100"/>
        <w:sz w:val="20"/>
        <w:szCs w:val="20"/>
        <w:shd w:val="clear" w:color="auto" w:fill="auto"/>
      </w:rPr>
    </w:lvl>
    <w:lvl w:ilvl="3" w:tplc="A1FCB008">
      <w:start w:val="1"/>
      <w:numFmt w:val="bullet"/>
      <w:lvlText w:val="·"/>
      <w:lvlJc w:val="left"/>
      <w:pPr>
        <w:ind w:left="2880" w:hanging="360"/>
        <w:jc w:val="both"/>
      </w:pPr>
      <w:rPr>
        <w:rFonts w:ascii="Symbol" w:eastAsia="Symbol" w:hAnsi="Symbol"/>
        <w:w w:val="100"/>
        <w:sz w:val="20"/>
        <w:szCs w:val="20"/>
        <w:shd w:val="clear" w:color="auto" w:fill="auto"/>
      </w:rPr>
    </w:lvl>
    <w:lvl w:ilvl="4" w:tplc="BBB254B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FB045024">
      <w:start w:val="1"/>
      <w:numFmt w:val="bullet"/>
      <w:lvlText w:val="§"/>
      <w:lvlJc w:val="left"/>
      <w:pPr>
        <w:ind w:left="4320" w:hanging="360"/>
        <w:jc w:val="both"/>
      </w:pPr>
      <w:rPr>
        <w:rFonts w:ascii="Wingdings" w:eastAsia="Wingdings" w:hAnsi="Wingdings"/>
        <w:w w:val="100"/>
        <w:sz w:val="20"/>
        <w:szCs w:val="20"/>
        <w:shd w:val="clear" w:color="auto" w:fill="auto"/>
      </w:rPr>
    </w:lvl>
    <w:lvl w:ilvl="6" w:tplc="F7F4F9F2">
      <w:start w:val="1"/>
      <w:numFmt w:val="bullet"/>
      <w:lvlText w:val="·"/>
      <w:lvlJc w:val="left"/>
      <w:pPr>
        <w:ind w:left="5040" w:hanging="360"/>
        <w:jc w:val="both"/>
      </w:pPr>
      <w:rPr>
        <w:rFonts w:ascii="Symbol" w:eastAsia="Symbol" w:hAnsi="Symbol"/>
        <w:w w:val="100"/>
        <w:sz w:val="20"/>
        <w:szCs w:val="20"/>
        <w:shd w:val="clear" w:color="auto" w:fill="auto"/>
      </w:rPr>
    </w:lvl>
    <w:lvl w:ilvl="7" w:tplc="52F609A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8A4740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0" w15:restartNumberingAfterBreak="0">
    <w:nsid w:val="2F000030"/>
    <w:multiLevelType w:val="hybridMultilevel"/>
    <w:tmpl w:val="1F34BE0E"/>
    <w:lvl w:ilvl="0" w:tplc="246A393C">
      <w:start w:val="1"/>
      <w:numFmt w:val="bullet"/>
      <w:lvlText w:val="Ø"/>
      <w:lvlJc w:val="left"/>
      <w:pPr>
        <w:ind w:left="592" w:hanging="400"/>
        <w:jc w:val="both"/>
      </w:pPr>
      <w:rPr>
        <w:rFonts w:ascii="Wingdings" w:eastAsia="Wingdings" w:hAnsi="Wingdings"/>
        <w:b w:val="0"/>
        <w:w w:val="100"/>
        <w:sz w:val="24"/>
        <w:szCs w:val="24"/>
        <w:u w:val="none"/>
        <w:shd w:val="clear" w:color="auto" w:fill="auto"/>
      </w:rPr>
    </w:lvl>
    <w:lvl w:ilvl="1" w:tplc="118EBD14">
      <w:start w:val="1"/>
      <w:numFmt w:val="bullet"/>
      <w:lvlText w:val="n"/>
      <w:lvlJc w:val="left"/>
      <w:pPr>
        <w:ind w:left="992" w:hanging="400"/>
        <w:jc w:val="both"/>
      </w:pPr>
      <w:rPr>
        <w:rFonts w:ascii="Wingdings" w:eastAsia="Wingdings" w:hAnsi="Wingdings"/>
        <w:w w:val="100"/>
        <w:sz w:val="20"/>
        <w:szCs w:val="20"/>
        <w:shd w:val="clear" w:color="auto" w:fill="auto"/>
      </w:rPr>
    </w:lvl>
    <w:lvl w:ilvl="2" w:tplc="5104660A">
      <w:start w:val="1"/>
      <w:numFmt w:val="bullet"/>
      <w:lvlText w:val="u"/>
      <w:lvlJc w:val="left"/>
      <w:pPr>
        <w:ind w:left="1392" w:hanging="400"/>
        <w:jc w:val="both"/>
      </w:pPr>
      <w:rPr>
        <w:rFonts w:ascii="Wingdings" w:eastAsia="Wingdings" w:hAnsi="Wingdings"/>
        <w:w w:val="100"/>
        <w:sz w:val="20"/>
        <w:szCs w:val="20"/>
        <w:shd w:val="clear" w:color="auto" w:fill="auto"/>
      </w:rPr>
    </w:lvl>
    <w:lvl w:ilvl="3" w:tplc="02E686DC">
      <w:start w:val="1"/>
      <w:numFmt w:val="bullet"/>
      <w:lvlText w:val="Ø"/>
      <w:lvlJc w:val="left"/>
      <w:pPr>
        <w:ind w:left="1792" w:hanging="400"/>
        <w:jc w:val="both"/>
      </w:pPr>
      <w:rPr>
        <w:rFonts w:ascii="Wingdings" w:eastAsia="Wingdings" w:hAnsi="Wingdings"/>
        <w:w w:val="100"/>
        <w:sz w:val="20"/>
        <w:szCs w:val="20"/>
        <w:shd w:val="clear" w:color="auto" w:fill="auto"/>
      </w:rPr>
    </w:lvl>
    <w:lvl w:ilvl="4" w:tplc="317603B6">
      <w:start w:val="1"/>
      <w:numFmt w:val="bullet"/>
      <w:lvlText w:val="n"/>
      <w:lvlJc w:val="left"/>
      <w:pPr>
        <w:ind w:left="2192" w:hanging="400"/>
        <w:jc w:val="both"/>
      </w:pPr>
      <w:rPr>
        <w:rFonts w:ascii="Wingdings" w:eastAsia="Wingdings" w:hAnsi="Wingdings"/>
        <w:w w:val="100"/>
        <w:sz w:val="20"/>
        <w:szCs w:val="20"/>
        <w:shd w:val="clear" w:color="auto" w:fill="auto"/>
      </w:rPr>
    </w:lvl>
    <w:lvl w:ilvl="5" w:tplc="DCC88D5E">
      <w:start w:val="1"/>
      <w:numFmt w:val="bullet"/>
      <w:lvlText w:val="u"/>
      <w:lvlJc w:val="left"/>
      <w:pPr>
        <w:ind w:left="2592" w:hanging="400"/>
        <w:jc w:val="both"/>
      </w:pPr>
      <w:rPr>
        <w:rFonts w:ascii="Wingdings" w:eastAsia="Wingdings" w:hAnsi="Wingdings"/>
        <w:w w:val="100"/>
        <w:sz w:val="20"/>
        <w:szCs w:val="20"/>
        <w:shd w:val="clear" w:color="auto" w:fill="auto"/>
      </w:rPr>
    </w:lvl>
    <w:lvl w:ilvl="6" w:tplc="C39839E8">
      <w:start w:val="1"/>
      <w:numFmt w:val="bullet"/>
      <w:lvlText w:val="Ø"/>
      <w:lvlJc w:val="left"/>
      <w:pPr>
        <w:ind w:left="2992" w:hanging="400"/>
        <w:jc w:val="both"/>
      </w:pPr>
      <w:rPr>
        <w:rFonts w:ascii="Wingdings" w:eastAsia="Wingdings" w:hAnsi="Wingdings"/>
        <w:w w:val="100"/>
        <w:sz w:val="20"/>
        <w:szCs w:val="20"/>
        <w:shd w:val="clear" w:color="auto" w:fill="auto"/>
      </w:rPr>
    </w:lvl>
    <w:lvl w:ilvl="7" w:tplc="F3442810">
      <w:start w:val="1"/>
      <w:numFmt w:val="bullet"/>
      <w:lvlText w:val="n"/>
      <w:lvlJc w:val="left"/>
      <w:pPr>
        <w:ind w:left="3392" w:hanging="400"/>
        <w:jc w:val="both"/>
      </w:pPr>
      <w:rPr>
        <w:rFonts w:ascii="Wingdings" w:eastAsia="Wingdings" w:hAnsi="Wingdings"/>
        <w:w w:val="100"/>
        <w:sz w:val="20"/>
        <w:szCs w:val="20"/>
        <w:shd w:val="clear" w:color="auto" w:fill="auto"/>
      </w:rPr>
    </w:lvl>
    <w:lvl w:ilvl="8" w:tplc="459CFE62">
      <w:start w:val="1"/>
      <w:numFmt w:val="bullet"/>
      <w:lvlText w:val="u"/>
      <w:lvlJc w:val="left"/>
      <w:pPr>
        <w:ind w:left="3792" w:hanging="400"/>
        <w:jc w:val="both"/>
      </w:pPr>
      <w:rPr>
        <w:rFonts w:ascii="Wingdings" w:eastAsia="Wingdings" w:hAnsi="Wingdings"/>
        <w:w w:val="100"/>
        <w:sz w:val="20"/>
        <w:szCs w:val="20"/>
        <w:shd w:val="clear" w:color="auto" w:fill="auto"/>
      </w:rPr>
    </w:lvl>
  </w:abstractNum>
  <w:abstractNum w:abstractNumId="11" w15:restartNumberingAfterBreak="0">
    <w:nsid w:val="3162379A"/>
    <w:multiLevelType w:val="hybridMultilevel"/>
    <w:tmpl w:val="839A3770"/>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D720EBD"/>
    <w:multiLevelType w:val="hybridMultilevel"/>
    <w:tmpl w:val="215C1B9C"/>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FC751E2"/>
    <w:multiLevelType w:val="hybridMultilevel"/>
    <w:tmpl w:val="29B8FF8C"/>
    <w:lvl w:ilvl="0" w:tplc="FDEE4844">
      <w:start w:val="1"/>
      <w:numFmt w:val="bullet"/>
      <w:lvlText w:val="-"/>
      <w:lvlJc w:val="left"/>
      <w:pPr>
        <w:ind w:left="360" w:hanging="360"/>
      </w:pPr>
      <w:rPr>
        <w:rFonts w:ascii="Times New Roman" w:eastAsiaTheme="minorHAnsi" w:hAnsi="Times New Roman" w:cs="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ECF7D93"/>
    <w:multiLevelType w:val="hybridMultilevel"/>
    <w:tmpl w:val="C7CEC9F4"/>
    <w:lvl w:ilvl="0" w:tplc="FDEE4844">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E902D2"/>
    <w:multiLevelType w:val="hybridMultilevel"/>
    <w:tmpl w:val="C0061EF4"/>
    <w:lvl w:ilvl="0" w:tplc="C680B46C">
      <w:start w:val="15"/>
      <w:numFmt w:val="bullet"/>
      <w:lvlText w:val="-"/>
      <w:lvlJc w:val="left"/>
      <w:pPr>
        <w:ind w:left="360" w:hanging="360"/>
      </w:pPr>
      <w:rPr>
        <w:rFonts w:ascii="Times New Roman" w:eastAsia="Calibri"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707C0670"/>
    <w:multiLevelType w:val="hybridMultilevel"/>
    <w:tmpl w:val="5B6A7AE0"/>
    <w:lvl w:ilvl="0" w:tplc="FDEE4844">
      <w:start w:val="1"/>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73D50132"/>
    <w:multiLevelType w:val="hybridMultilevel"/>
    <w:tmpl w:val="2DC07B7E"/>
    <w:lvl w:ilvl="0" w:tplc="FDEE4844">
      <w:start w:val="1"/>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6962244"/>
    <w:multiLevelType w:val="hybridMultilevel"/>
    <w:tmpl w:val="A41C6E94"/>
    <w:styleLink w:val="ImportedStyle1"/>
    <w:lvl w:ilvl="0" w:tplc="826AB56E">
      <w:start w:val="1"/>
      <w:numFmt w:val="upperRoman"/>
      <w:lvlText w:val="%1."/>
      <w:lvlJc w:val="left"/>
      <w:pPr>
        <w:ind w:left="7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F62A8C">
      <w:start w:val="1"/>
      <w:numFmt w:val="lowerLetter"/>
      <w:lvlText w:val="%2."/>
      <w:lvlJc w:val="left"/>
      <w:pPr>
        <w:ind w:left="15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CC6F396">
      <w:start w:val="1"/>
      <w:numFmt w:val="lowerRoman"/>
      <w:lvlText w:val="%3."/>
      <w:lvlJc w:val="left"/>
      <w:pPr>
        <w:ind w:left="22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F852DE">
      <w:start w:val="1"/>
      <w:numFmt w:val="decimal"/>
      <w:lvlText w:val="%4."/>
      <w:lvlJc w:val="left"/>
      <w:pPr>
        <w:ind w:left="29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19C4E04">
      <w:start w:val="1"/>
      <w:numFmt w:val="lowerLetter"/>
      <w:lvlText w:val="%5."/>
      <w:lvlJc w:val="left"/>
      <w:pPr>
        <w:ind w:left="36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53CF178">
      <w:start w:val="1"/>
      <w:numFmt w:val="lowerRoman"/>
      <w:lvlText w:val="%6."/>
      <w:lvlJc w:val="left"/>
      <w:pPr>
        <w:ind w:left="43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7501B84">
      <w:start w:val="1"/>
      <w:numFmt w:val="decimal"/>
      <w:lvlText w:val="%7."/>
      <w:lvlJc w:val="left"/>
      <w:pPr>
        <w:ind w:left="51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14A7C1E">
      <w:start w:val="1"/>
      <w:numFmt w:val="lowerLetter"/>
      <w:lvlText w:val="%8."/>
      <w:lvlJc w:val="left"/>
      <w:pPr>
        <w:ind w:left="58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83C45F8">
      <w:start w:val="1"/>
      <w:numFmt w:val="lowerRoman"/>
      <w:lvlText w:val="%9."/>
      <w:lvlJc w:val="left"/>
      <w:pPr>
        <w:ind w:left="65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A8105DE"/>
    <w:multiLevelType w:val="hybridMultilevel"/>
    <w:tmpl w:val="85989ECE"/>
    <w:lvl w:ilvl="0" w:tplc="FDEE4844">
      <w:start w:val="1"/>
      <w:numFmt w:val="bullet"/>
      <w:lvlText w:val="-"/>
      <w:lvlJc w:val="left"/>
      <w:pPr>
        <w:ind w:left="720" w:hanging="360"/>
      </w:pPr>
      <w:rPr>
        <w:rFonts w:ascii="Times New Roman" w:eastAsiaTheme="minorHAns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5"/>
  </w:num>
  <w:num w:numId="5">
    <w:abstractNumId w:val="0"/>
  </w:num>
  <w:num w:numId="6">
    <w:abstractNumId w:val="6"/>
  </w:num>
  <w:num w:numId="7">
    <w:abstractNumId w:val="14"/>
  </w:num>
  <w:num w:numId="8">
    <w:abstractNumId w:val="12"/>
  </w:num>
  <w:num w:numId="9">
    <w:abstractNumId w:val="2"/>
  </w:num>
  <w:num w:numId="10">
    <w:abstractNumId w:val="17"/>
  </w:num>
  <w:num w:numId="11">
    <w:abstractNumId w:val="16"/>
  </w:num>
  <w:num w:numId="12">
    <w:abstractNumId w:val="3"/>
  </w:num>
  <w:num w:numId="13">
    <w:abstractNumId w:val="4"/>
  </w:num>
  <w:num w:numId="14">
    <w:abstractNumId w:val="1"/>
  </w:num>
  <w:num w:numId="15">
    <w:abstractNumId w:val="13"/>
  </w:num>
  <w:num w:numId="16">
    <w:abstractNumId w:val="11"/>
  </w:num>
  <w:num w:numId="17">
    <w:abstractNumId w:val="19"/>
  </w:num>
  <w:num w:numId="18">
    <w:abstractNumId w:val="5"/>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AB3B6EE-0648-47A8-9707-48C34AF553BE"/>
    <w:docVar w:name="LW_COVERPAGE_TYPE" w:val="1"/>
    <w:docVar w:name="LW_CROSSREFERENCE" w:val="&lt;UNUSED&gt;"/>
    <w:docVar w:name="LW_DocType" w:val="NORMAL"/>
    <w:docVar w:name="LW_EMISSION" w:val="29.4.2020"/>
    <w:docVar w:name="LW_EMISSION_ISODATE" w:val="2020-04-2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3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pport to the Western Balkans in tackling COVID-19 and the post-pandemic recovery&lt;/FMT&gt;_x000d__x000d__x000b__x000d__x000d__x000b_&lt;FMT:Bold&gt;Commission contribution ahead of the EU-Western Balkans leaders meeting on 6 May 2020&lt;/FMT&gt;"/>
    <w:docVar w:name="LW_TYPE.DOC.CP" w:val="COMMUNICATION FROM THE COMMISSION TO THE EUROPEAN PARLIAMENT, THE COUNCIL, THE EUROPEAN ECONOMIC AND SOCIAL COMMITTEE AND THE COMMITTEE OF THE REGIONS"/>
    <w:docVar w:name="LW_TYPE.DOC.CP.USERTEXT" w:val="&lt;EMPTY&gt;"/>
  </w:docVars>
  <w:rsids>
    <w:rsidRoot w:val="009F1698"/>
    <w:rsid w:val="00322CB5"/>
    <w:rsid w:val="007C4983"/>
    <w:rsid w:val="008C2D78"/>
    <w:rsid w:val="009F16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5BFB954"/>
  <w15:docId w15:val="{53A280C6-6A5D-4861-8045-62AE3A9D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Table/Figure Heading,Colorful List - Accent 11,Dot pt,F5 List Paragraph,List Paragraph1,No Spacing1,List Paragraph Char Char Char,Indicator Text,Numbered Para 1,Bullet 1,Bullet Points,MAIN CONTENT,List Paragraph11,List Paragraph12,L,Ha"/>
    <w:basedOn w:val="Normal"/>
    <w:link w:val="ListParagraphChar"/>
    <w:qFormat/>
    <w:pPr>
      <w:spacing w:after="0" w:line="240" w:lineRule="auto"/>
      <w:ind w:left="720"/>
    </w:pPr>
    <w:rPr>
      <w:rFonts w:ascii="Calibri" w:eastAsia="Calibri" w:hAnsi="Calibri" w:cs="Times New Roman"/>
      <w:lang w:val="fr-BE" w:eastAsia="fr-BE"/>
    </w:rPr>
  </w:style>
  <w:style w:type="paragraph" w:styleId="FootnoteText">
    <w:name w:val="footnote text"/>
    <w:basedOn w:val="Normal"/>
    <w:link w:val="FootnoteTextChar"/>
    <w:uiPriority w:val="99"/>
    <w:unhideWhenUsed/>
    <w:qFormat/>
    <w:pPr>
      <w:spacing w:after="0" w:line="240" w:lineRule="auto"/>
    </w:pPr>
    <w:rPr>
      <w:rFonts w:ascii="Calibri" w:eastAsia="Calibri" w:hAnsi="Calibri" w:cs="Times New Roman"/>
      <w:sz w:val="20"/>
      <w:szCs w:val="20"/>
      <w:lang w:val="fr-BE" w:eastAsia="fr-BE"/>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lang w:val="fr-BE" w:eastAsia="fr-BE"/>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n,Nota"/>
    <w:basedOn w:val="DefaultParagraphFont"/>
    <w:link w:val="FootnotesymbolCarZchn"/>
    <w:uiPriority w:val="99"/>
    <w:unhideWhenUsed/>
    <w:qFormat/>
    <w:rPr>
      <w:w w:val="100"/>
      <w:sz w:val="20"/>
      <w:szCs w:val="20"/>
      <w:shd w:val="clear" w:color="auto" w:fill="auto"/>
      <w:vertAlign w:val="superscript"/>
    </w:rPr>
  </w:style>
  <w:style w:type="character" w:styleId="CommentReference">
    <w:name w:val="annotation reference"/>
    <w:basedOn w:val="DefaultParagraphFont"/>
    <w:uiPriority w:val="99"/>
    <w:semiHidden/>
    <w:unhideWhenUsed/>
    <w:rPr>
      <w:w w:val="100"/>
      <w:sz w:val="16"/>
      <w:szCs w:val="16"/>
      <w:shd w:val="clear" w:color="auto" w:fill="auto"/>
    </w:rPr>
  </w:style>
  <w:style w:type="paragraph" w:styleId="CommentText">
    <w:name w:val="annotation text"/>
    <w:basedOn w:val="Normal"/>
    <w:link w:val="CommentTextChar"/>
    <w:uiPriority w:val="99"/>
    <w:semiHidden/>
    <w:unhideWhenUsed/>
    <w:pPr>
      <w:spacing w:after="0" w:line="240" w:lineRule="auto"/>
    </w:pPr>
    <w:rPr>
      <w:rFonts w:ascii="Calibri" w:eastAsia="Calibri" w:hAnsi="Calibri" w:cs="Times New Roman"/>
      <w:sz w:val="20"/>
      <w:szCs w:val="20"/>
      <w:lang w:val="fr-BE" w:eastAsia="fr-BE"/>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lang w:val="fr-BE" w:eastAsia="fr-BE"/>
    </w:rPr>
  </w:style>
  <w:style w:type="paragraph" w:styleId="NormalWeb">
    <w:name w:val="Normal (Web)"/>
    <w:basedOn w:val="Normal"/>
    <w:unhideWhenUsed/>
    <w:pPr>
      <w:spacing w:after="0" w:line="240" w:lineRule="auto"/>
    </w:pPr>
    <w:rPr>
      <w:rFonts w:ascii="Times New Roman" w:eastAsia="Times New Roman" w:hAnsi="Times New Roman" w:cs="Times New Roman"/>
      <w:sz w:val="24"/>
      <w:szCs w:val="24"/>
      <w:lang w:val="fr-BE" w:eastAsia="fr-BE"/>
    </w:rPr>
  </w:style>
  <w:style w:type="character" w:customStyle="1" w:styleId="ListParagraphChar">
    <w:name w:val="List Paragraph Char"/>
    <w:aliases w:val="Table/Figure Heading Char,Colorful List - Accent 11 Char,Dot pt Char,F5 List Paragraph Char,List Paragraph1 Char,No Spacing1 Char,List Paragraph Char Char Char Char,Indicator Text Char,Numbered Para 1 Char,Bullet 1 Char,L Char"/>
    <w:basedOn w:val="DefaultParagraphFont"/>
    <w:link w:val="ListParagraph"/>
    <w:uiPriority w:val="34"/>
    <w:qFormat/>
    <w:rPr>
      <w:rFonts w:ascii="Calibri" w:eastAsia="Calibri" w:hAnsi="Calibri" w:cs="Times New Roman"/>
      <w:lang w:val="fr-BE" w:eastAsia="fr-B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200"/>
    </w:pPr>
    <w:rPr>
      <w:rFonts w:asciiTheme="minorHAnsi" w:eastAsiaTheme="minorHAnsi" w:hAnsiTheme="minorHAnsi" w:cstheme="minorBidi"/>
      <w:b/>
      <w:bCs/>
      <w:lang w:val="cs-CZ" w:eastAsia="en-U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BE" w:eastAsia="fr-BE"/>
    </w:rPr>
  </w:style>
  <w:style w:type="character" w:styleId="Hyperlink">
    <w:name w:val="Hyperlink"/>
    <w:basedOn w:val="DefaultParagraphFont"/>
    <w:uiPriority w:val="99"/>
    <w:unhideWhenUsed/>
    <w:rPr>
      <w:color w:val="0000FF" w:themeColor="hyperlink"/>
      <w:u w:val="singl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0"/>
      <w:szCs w:val="20"/>
      <w:vertAlign w:val="superscript"/>
    </w:rPr>
  </w:style>
  <w:style w:type="paragraph" w:styleId="Revision">
    <w:name w:val="Revision"/>
    <w:hidden/>
    <w:uiPriority w:val="99"/>
    <w:semiHidden/>
    <w:pPr>
      <w:spacing w:after="0" w:line="240" w:lineRule="auto"/>
    </w:pPr>
  </w:style>
  <w:style w:type="character" w:styleId="Emphasis">
    <w:name w:val="Emphasis"/>
    <w:basedOn w:val="DefaultParagraphFont"/>
    <w:uiPriority w:val="20"/>
    <w:qFormat/>
    <w:rPr>
      <w:i/>
      <w:iCs/>
    </w:rPr>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 w:type="numbering" w:customStyle="1" w:styleId="ImportedStyle1">
    <w:name w:val="Imported Style 1"/>
    <w:pPr>
      <w:numPr>
        <w:numId w:val="19"/>
      </w:numPr>
    </w:pPr>
  </w:style>
  <w:style w:type="character" w:customStyle="1" w:styleId="Hyperlink0">
    <w:name w:val="Hyperlink.0"/>
    <w:basedOn w:val="DefaultParagraphFont"/>
    <w:rPr>
      <w:rFonts w:ascii="Times New Roman" w:eastAsia="Times New Roman" w:hAnsi="Times New Roman" w:cs="Times New Roman"/>
      <w:color w:val="0000FF"/>
      <w:u w:val="single" w:color="0000FF"/>
      <w:lang w:val="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462">
      <w:bodyDiv w:val="1"/>
      <w:marLeft w:val="0"/>
      <w:marRight w:val="0"/>
      <w:marTop w:val="0"/>
      <w:marBottom w:val="0"/>
      <w:divBdr>
        <w:top w:val="none" w:sz="0" w:space="0" w:color="auto"/>
        <w:left w:val="none" w:sz="0" w:space="0" w:color="auto"/>
        <w:bottom w:val="none" w:sz="0" w:space="0" w:color="auto"/>
        <w:right w:val="none" w:sz="0" w:space="0" w:color="auto"/>
      </w:divBdr>
    </w:div>
    <w:div w:id="193353803">
      <w:bodyDiv w:val="1"/>
      <w:marLeft w:val="0"/>
      <w:marRight w:val="0"/>
      <w:marTop w:val="0"/>
      <w:marBottom w:val="0"/>
      <w:divBdr>
        <w:top w:val="none" w:sz="0" w:space="0" w:color="auto"/>
        <w:left w:val="none" w:sz="0" w:space="0" w:color="auto"/>
        <w:bottom w:val="none" w:sz="0" w:space="0" w:color="auto"/>
        <w:right w:val="none" w:sz="0" w:space="0" w:color="auto"/>
      </w:divBdr>
    </w:div>
    <w:div w:id="452789347">
      <w:bodyDiv w:val="1"/>
      <w:marLeft w:val="0"/>
      <w:marRight w:val="0"/>
      <w:marTop w:val="0"/>
      <w:marBottom w:val="0"/>
      <w:divBdr>
        <w:top w:val="none" w:sz="0" w:space="0" w:color="auto"/>
        <w:left w:val="none" w:sz="0" w:space="0" w:color="auto"/>
        <w:bottom w:val="none" w:sz="0" w:space="0" w:color="auto"/>
        <w:right w:val="none" w:sz="0" w:space="0" w:color="auto"/>
      </w:divBdr>
    </w:div>
    <w:div w:id="676232197">
      <w:bodyDiv w:val="1"/>
      <w:marLeft w:val="0"/>
      <w:marRight w:val="0"/>
      <w:marTop w:val="0"/>
      <w:marBottom w:val="0"/>
      <w:divBdr>
        <w:top w:val="none" w:sz="0" w:space="0" w:color="auto"/>
        <w:left w:val="none" w:sz="0" w:space="0" w:color="auto"/>
        <w:bottom w:val="none" w:sz="0" w:space="0" w:color="auto"/>
        <w:right w:val="none" w:sz="0" w:space="0" w:color="auto"/>
      </w:divBdr>
    </w:div>
    <w:div w:id="700055688">
      <w:bodyDiv w:val="1"/>
      <w:marLeft w:val="0"/>
      <w:marRight w:val="0"/>
      <w:marTop w:val="0"/>
      <w:marBottom w:val="0"/>
      <w:divBdr>
        <w:top w:val="none" w:sz="0" w:space="0" w:color="auto"/>
        <w:left w:val="none" w:sz="0" w:space="0" w:color="auto"/>
        <w:bottom w:val="none" w:sz="0" w:space="0" w:color="auto"/>
        <w:right w:val="none" w:sz="0" w:space="0" w:color="auto"/>
      </w:divBdr>
    </w:div>
    <w:div w:id="736166459">
      <w:bodyDiv w:val="1"/>
      <w:marLeft w:val="0"/>
      <w:marRight w:val="0"/>
      <w:marTop w:val="0"/>
      <w:marBottom w:val="0"/>
      <w:divBdr>
        <w:top w:val="none" w:sz="0" w:space="0" w:color="auto"/>
        <w:left w:val="none" w:sz="0" w:space="0" w:color="auto"/>
        <w:bottom w:val="none" w:sz="0" w:space="0" w:color="auto"/>
        <w:right w:val="none" w:sz="0" w:space="0" w:color="auto"/>
      </w:divBdr>
    </w:div>
    <w:div w:id="756904911">
      <w:bodyDiv w:val="1"/>
      <w:marLeft w:val="0"/>
      <w:marRight w:val="0"/>
      <w:marTop w:val="0"/>
      <w:marBottom w:val="0"/>
      <w:divBdr>
        <w:top w:val="none" w:sz="0" w:space="0" w:color="auto"/>
        <w:left w:val="none" w:sz="0" w:space="0" w:color="auto"/>
        <w:bottom w:val="none" w:sz="0" w:space="0" w:color="auto"/>
        <w:right w:val="none" w:sz="0" w:space="0" w:color="auto"/>
      </w:divBdr>
    </w:div>
    <w:div w:id="911962017">
      <w:bodyDiv w:val="1"/>
      <w:marLeft w:val="0"/>
      <w:marRight w:val="0"/>
      <w:marTop w:val="0"/>
      <w:marBottom w:val="0"/>
      <w:divBdr>
        <w:top w:val="none" w:sz="0" w:space="0" w:color="auto"/>
        <w:left w:val="none" w:sz="0" w:space="0" w:color="auto"/>
        <w:bottom w:val="none" w:sz="0" w:space="0" w:color="auto"/>
        <w:right w:val="none" w:sz="0" w:space="0" w:color="auto"/>
      </w:divBdr>
    </w:div>
    <w:div w:id="938295663">
      <w:bodyDiv w:val="1"/>
      <w:marLeft w:val="0"/>
      <w:marRight w:val="0"/>
      <w:marTop w:val="0"/>
      <w:marBottom w:val="0"/>
      <w:divBdr>
        <w:top w:val="none" w:sz="0" w:space="0" w:color="auto"/>
        <w:left w:val="none" w:sz="0" w:space="0" w:color="auto"/>
        <w:bottom w:val="none" w:sz="0" w:space="0" w:color="auto"/>
        <w:right w:val="none" w:sz="0" w:space="0" w:color="auto"/>
      </w:divBdr>
    </w:div>
    <w:div w:id="1168449821">
      <w:bodyDiv w:val="1"/>
      <w:marLeft w:val="0"/>
      <w:marRight w:val="0"/>
      <w:marTop w:val="0"/>
      <w:marBottom w:val="0"/>
      <w:divBdr>
        <w:top w:val="none" w:sz="0" w:space="0" w:color="auto"/>
        <w:left w:val="none" w:sz="0" w:space="0" w:color="auto"/>
        <w:bottom w:val="none" w:sz="0" w:space="0" w:color="auto"/>
        <w:right w:val="none" w:sz="0" w:space="0" w:color="auto"/>
      </w:divBdr>
    </w:div>
    <w:div w:id="1331561304">
      <w:bodyDiv w:val="1"/>
      <w:marLeft w:val="0"/>
      <w:marRight w:val="0"/>
      <w:marTop w:val="0"/>
      <w:marBottom w:val="0"/>
      <w:divBdr>
        <w:top w:val="none" w:sz="0" w:space="0" w:color="auto"/>
        <w:left w:val="none" w:sz="0" w:space="0" w:color="auto"/>
        <w:bottom w:val="none" w:sz="0" w:space="0" w:color="auto"/>
        <w:right w:val="none" w:sz="0" w:space="0" w:color="auto"/>
      </w:divBdr>
    </w:div>
    <w:div w:id="1403748287">
      <w:bodyDiv w:val="1"/>
      <w:marLeft w:val="0"/>
      <w:marRight w:val="0"/>
      <w:marTop w:val="0"/>
      <w:marBottom w:val="0"/>
      <w:divBdr>
        <w:top w:val="none" w:sz="0" w:space="0" w:color="auto"/>
        <w:left w:val="none" w:sz="0" w:space="0" w:color="auto"/>
        <w:bottom w:val="none" w:sz="0" w:space="0" w:color="auto"/>
        <w:right w:val="none" w:sz="0" w:space="0" w:color="auto"/>
      </w:divBdr>
    </w:div>
    <w:div w:id="1974796326">
      <w:bodyDiv w:val="1"/>
      <w:marLeft w:val="0"/>
      <w:marRight w:val="0"/>
      <w:marTop w:val="0"/>
      <w:marBottom w:val="0"/>
      <w:divBdr>
        <w:top w:val="none" w:sz="0" w:space="0" w:color="auto"/>
        <w:left w:val="none" w:sz="0" w:space="0" w:color="auto"/>
        <w:bottom w:val="none" w:sz="0" w:space="0" w:color="auto"/>
        <w:right w:val="none" w:sz="0" w:space="0" w:color="auto"/>
      </w:divBdr>
    </w:div>
    <w:div w:id="214134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ighbourhood-enlargement/sites/near/files/enlargement-methodolog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D383-0CE3-4C7E-8558-9B7E9140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2624</Words>
  <Characters>14643</Characters>
  <Application>Microsoft Office Word</Application>
  <DocSecurity>0</DocSecurity>
  <Lines>218</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HEILEMANN Stefanie (SG)</dc:creator>
  <cp:keywords/>
  <dc:description/>
  <cp:lastModifiedBy>HEILEMANN Stefanie (SG)</cp:lastModifiedBy>
  <cp:revision>4</cp:revision>
  <cp:lastPrinted>2020-04-28T19:27:00Z</cp:lastPrinted>
  <dcterms:created xsi:type="dcterms:W3CDTF">2020-04-29T07:38:00Z</dcterms:created>
  <dcterms:modified xsi:type="dcterms:W3CDTF">2020-04-29T10:54:00Z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