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1C6CFE5-293C-4E13-9638-90F382F09C77" style="width:450.75pt;height:351.7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The direct and indirect effects of the COVID-19 outbreak continue to increase across all Member States. The current situation is unprecedented and requires </w:t>
      </w:r>
      <w:r>
        <w:rPr>
          <w:noProof/>
          <w:lang w:val="en-US"/>
        </w:rPr>
        <w:t>exceptional measures adapted to the situation to be applied in these circumstances</w:t>
      </w:r>
      <w:r>
        <w:rPr>
          <w:noProof/>
        </w:rPr>
        <w:t>.</w:t>
      </w:r>
    </w:p>
    <w:p>
      <w:pPr>
        <w:pBdr>
          <w:top w:val="nil"/>
          <w:left w:val="nil"/>
          <w:bottom w:val="nil"/>
          <w:right w:val="nil"/>
          <w:between w:val="nil"/>
          <w:bar w:val="nil"/>
        </w:pBdr>
        <w:spacing w:before="0" w:after="240"/>
        <w:rPr>
          <w:noProof/>
        </w:rPr>
      </w:pPr>
      <w:r>
        <w:rPr>
          <w:noProof/>
        </w:rPr>
        <w:t xml:space="preserve">In the farming and food sectors, many difficulties have been reported, arising from the extensive movement restrictions put in place in the Member States, as well as mandatory closures of shops, outdoor markets, restaurants and other hospitality establishments. Economic disruption to the agricultural sector and rural communities has led to liquidity and cash-flow problems for farmers and small rural businesses processing agricultural products. </w:t>
      </w:r>
    </w:p>
    <w:p>
      <w:pPr>
        <w:pBdr>
          <w:top w:val="nil"/>
          <w:left w:val="nil"/>
          <w:bottom w:val="nil"/>
          <w:right w:val="nil"/>
          <w:between w:val="nil"/>
          <w:bar w:val="nil"/>
        </w:pBdr>
        <w:spacing w:before="0" w:after="240"/>
        <w:rPr>
          <w:noProof/>
        </w:rPr>
      </w:pPr>
      <w:r>
        <w:rPr>
          <w:noProof/>
        </w:rPr>
        <w:t xml:space="preserve">As a consequence, certain small businesses and farmers are in urgent need of emergency support in order to maintain their activities. </w:t>
      </w:r>
    </w:p>
    <w:p>
      <w:pPr>
        <w:pBdr>
          <w:top w:val="nil"/>
          <w:left w:val="nil"/>
          <w:bottom w:val="nil"/>
          <w:right w:val="nil"/>
          <w:between w:val="nil"/>
          <w:bar w:val="nil"/>
        </w:pBdr>
        <w:spacing w:before="0" w:after="240"/>
        <w:rPr>
          <w:noProof/>
        </w:rPr>
      </w:pPr>
      <w:r>
        <w:rPr>
          <w:noProof/>
        </w:rPr>
        <w:t xml:space="preserve">In view of the parallel difficulties of administrations, which make it be inapropriate for advisers to attend in person to support potential benefiaries, or for controlers to carry out in situ or ex-ante controls, it is indispensible to offer easy-to-use solutions which can be rolled out by Member States, and which can support diverse situations on the ground and which are easily accessible to beneficiaries. </w:t>
      </w:r>
    </w:p>
    <w:p>
      <w:pPr>
        <w:pBdr>
          <w:top w:val="nil"/>
          <w:left w:val="nil"/>
          <w:bottom w:val="nil"/>
          <w:right w:val="nil"/>
          <w:between w:val="nil"/>
          <w:bar w:val="nil"/>
        </w:pBdr>
        <w:spacing w:before="0" w:after="240"/>
        <w:rPr>
          <w:noProof/>
        </w:rPr>
      </w:pPr>
      <w:r>
        <w:rPr>
          <w:noProof/>
        </w:rPr>
        <w:t>The support will need to be in the form of a temporary aid, for a very targeted purpose in unprecendented circumstances.  In order to achieve these goals, the support will take the form of a one-off lump sum for farmers and for SMEs active in processing, marketing and/or development of agricultural products. Payments by the Commission shall be made in accordance with budget appropriations and subject to available funding.</w:t>
      </w:r>
    </w:p>
    <w:p>
      <w:pPr>
        <w:pBdr>
          <w:top w:val="nil"/>
          <w:left w:val="nil"/>
          <w:bottom w:val="nil"/>
          <w:right w:val="nil"/>
          <w:between w:val="nil"/>
          <w:bar w:val="nil"/>
        </w:pBdr>
        <w:spacing w:before="0" w:after="240"/>
        <w:rPr>
          <w:noProof/>
        </w:rPr>
      </w:pPr>
      <w:r>
        <w:rPr>
          <w:noProof/>
        </w:rPr>
        <w:t>With a view to ensuring the most efficient use of resources available under existing rural development programmes, Member States will be required to substantiate the targeting of the support to those most affected, based on objective and non-discriminatory criteria. Member States would need to include the measure in the RDPs via a modification, although expenditure would be eligible from the moment of the commencement of the catastrophic event (Covid-19 outbreak).</w:t>
      </w:r>
    </w:p>
    <w:p>
      <w:pPr>
        <w:pBdr>
          <w:top w:val="nil"/>
          <w:left w:val="nil"/>
          <w:bottom w:val="nil"/>
          <w:right w:val="nil"/>
          <w:between w:val="nil"/>
          <w:bar w:val="nil"/>
        </w:pBdr>
        <w:spacing w:before="0" w:after="240"/>
        <w:rPr>
          <w:noProof/>
          <w:lang w:eastAsia="en-GB"/>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The proposal is consistent with the overall legal framework established for the Common Agricultural Policy and the European Structural and Investment Funds (ESIF) and is limited to a targeted amendment of Regulation (EU) No 1305/2013. The proposal complements all other measures aimed at addressing the current unprecedented situation taken by the Union, in particular those measures aimed at providing support to markets. The proposal is without prejudice to the minimum spending requirements defined in paragraphs 5 and 6 of Article 59 of Regulation (EU) 1305/2013.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is limited to targeted amendments of Regulation (EU) No 1305/2013 and maintains consistency with other Union policies.</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The proposal is based on Articles 42 and 43 of the Treaty on the Functioning of the European Union.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ManualHeading2"/>
        <w:rPr>
          <w:noProof/>
          <w:sz w:val="23"/>
          <w:szCs w:val="23"/>
        </w:rPr>
      </w:pPr>
      <w:r>
        <w:rPr>
          <w:noProof/>
          <w:sz w:val="23"/>
          <w:szCs w:val="23"/>
        </w:rPr>
        <w:t xml:space="preserve">The Treaty on the Functioning of the European Union provides that the competence for agriculture is shared between the Union and the Member States, while establishing a common agricultural policy with common objectives and a common implementation. The proposal aims at ensuring the common objectives and common implementation of a new Rural Development measure. </w:t>
      </w:r>
    </w:p>
    <w:p>
      <w:pPr>
        <w:pStyle w:val="ManualHeading2"/>
        <w:rPr>
          <w:rFonts w:eastAsia="Arial Unicode MS"/>
          <w:noProof/>
          <w:u w:color="000000"/>
          <w:bdr w:val="nil"/>
          <w:lang w:val="en-US" w:eastAsia="en-GB"/>
        </w:rPr>
      </w:pPr>
      <w:r>
        <w:rPr>
          <w:noProof/>
          <w:sz w:val="23"/>
          <w:szCs w:val="23"/>
        </w:rPr>
        <w:t xml:space="preserve"> </w:t>
      </w: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comprises limited and targeted amendments which does not go beyond what is necessary to achieve the objective of providing exceptional and temporary relief to farmers and SMEs active in processing, marketing and/or development of agricultural products, who are particularly affected by the COVID-19 crisis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A Regulation is the appropriate instrument to introduce the additional measure needed to address these unprecedented circumstances.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 xml:space="preserve">There was no consultation of external stakeholders. However, the proposal follows consultations with Member States and Members of the European Parliament over recent weeks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An impact assessment was carried out to prepare the proposal for Regulation (EU) No 1305/2013. These proposed limited amendments do not require a separate impact assessment.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N/A</w:t>
      </w:r>
    </w:p>
    <w:p>
      <w:pPr>
        <w:pStyle w:val="ManualHeading1"/>
        <w:rPr>
          <w:noProof/>
        </w:rPr>
      </w:pPr>
      <w:r>
        <w:rPr>
          <w:noProof/>
        </w:rPr>
        <w:lastRenderedPageBreak/>
        <w:t>4.</w:t>
      </w:r>
      <w:r>
        <w:rPr>
          <w:noProof/>
        </w:rPr>
        <w:tab/>
        <w:t>BUDGETARY IMPLICATIONS</w:t>
      </w:r>
    </w:p>
    <w:p>
      <w:pPr>
        <w:rPr>
          <w:noProof/>
        </w:rPr>
      </w:pPr>
      <w:r>
        <w:rPr>
          <w:noProof/>
        </w:rPr>
        <w:t xml:space="preserve">The proposed modification does not imply any changes in the Multiannual Financial Framework annual ceilings for commitments and payments as per Annex I to Regulation (EU) No 1311/2013. The total annual breakdown of commitment appropriations under European Agricultural Fund for Rural Development (EAFRD) remains unchanged. Considering the time needed for implementing this new measure, it is assumed that payments to beneficiaries will be made in the fourth quarter of 2020, and hence to be financed under the 2021 budget. The payment appropriations needed to finance this measure are to be accommodated within the appropriations for the EAFRD to be included in the forthcoming Commission’s Draft Budget 2021 and will be offset by a corresponding decrease in payment needs in subsequent years.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The implementation of the measures will be monitored and reported upon in the framework of the general reporting mechanisms established in Regulations (EU) No 1303/2013 and 1305/2013.</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It is proposed to amend Regulation (EU) No 1305/2013 </w:t>
      </w:r>
    </w:p>
    <w:p>
      <w:pPr>
        <w:spacing w:before="0" w:after="200"/>
        <w:jc w:val="left"/>
        <w:rPr>
          <w:noProof/>
        </w:rPr>
        <w:sectPr>
          <w:footerReference w:type="default" r:id="rId14"/>
          <w:footerReference w:type="first" r:id="rId15"/>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2020/0075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1305/2013 as regards specific measures to provide exceptional temporary support under EAFRD in response to the COVID-19 outbreak</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42 and Article 43(2) thereof, </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
      </w:r>
      <w:r>
        <w:rPr>
          <w:noProof/>
        </w:rPr>
        <w:t xml:space="preserve">, </w:t>
      </w:r>
    </w:p>
    <w:p>
      <w:pPr>
        <w:rPr>
          <w:noProof/>
        </w:rPr>
      </w:pPr>
      <w:r>
        <w:rPr>
          <w:noProof/>
        </w:rPr>
        <w:t>Having regard to the opinion of the Committee of the Regions</w:t>
      </w:r>
      <w:r>
        <w:rPr>
          <w:rStyle w:val="FootnoteReference"/>
          <w:noProof/>
        </w:rPr>
        <w:footnoteReference w:id="3"/>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Farmers and rural businesses have been affected by the consequences of the COVID-19 outbreak crisis in an unprecedented manner. The extensive movement restrictions put in place in the Member States, as well as mandatory closures of shops, outdoor markets, restaurants and other hospitality establishments, has created economic disruption to the agricultural sector and rural communities and led to liquidity and cash-flow problems for farmers and small rural businesses active in processing, marketing and/or development of agricultural products. This has created an exceptional situation which needs to be addressed.</w:t>
      </w:r>
    </w:p>
    <w:p>
      <w:pPr>
        <w:pStyle w:val="ManualConsidrant"/>
        <w:rPr>
          <w:noProof/>
        </w:rPr>
      </w:pPr>
      <w:r>
        <w:t>(2)</w:t>
      </w:r>
      <w:r>
        <w:tab/>
      </w:r>
      <w:r>
        <w:rPr>
          <w:noProof/>
        </w:rPr>
        <w:t xml:space="preserve">In order to respond to the impact of the crisis, a new exceptional and temporary measure should address the liquidity problems that put at risk the continuity of farming activities and of small businesses active in processing, marketing and/or development of agricultural products.  </w:t>
      </w:r>
    </w:p>
    <w:p>
      <w:pPr>
        <w:pStyle w:val="ManualConsidrant"/>
        <w:rPr>
          <w:noProof/>
        </w:rPr>
      </w:pPr>
      <w:r>
        <w:t>(3)</w:t>
      </w:r>
      <w:r>
        <w:tab/>
      </w:r>
      <w:r>
        <w:rPr>
          <w:noProof/>
        </w:rPr>
        <w:t>The support, which aims to secure the agro-business competitiveness and farm viability, should, with a view to best concentrating the available resources on beneficiaries mostly suffering from the crisis, be granted based on objective and non-discriminatory criteria. In the case of farmers, such criteria may include production sectors, types of farming, farm structures, type of marketing of farm products, number of seasonal workers employed and, in the case of SMEs, sectors, types of activity, type of regions, other specific constraints.</w:t>
      </w:r>
    </w:p>
    <w:p>
      <w:pPr>
        <w:pStyle w:val="ManualConsidrant"/>
        <w:rPr>
          <w:noProof/>
        </w:rPr>
      </w:pPr>
      <w:r>
        <w:t>(4)</w:t>
      </w:r>
      <w:r>
        <w:tab/>
      </w:r>
      <w:r>
        <w:rPr>
          <w:noProof/>
        </w:rPr>
        <w:t xml:space="preserve">Because of the urgency and exceptional character of this measure, a one-off payment and a maximum date for application of the measure should be set, while the principle </w:t>
      </w:r>
      <w:r>
        <w:rPr>
          <w:noProof/>
        </w:rPr>
        <w:lastRenderedPageBreak/>
        <w:t xml:space="preserve">that payments by the Commission shall be made in accordance with budget appropriations and subject to available funding needs to be recalled. </w:t>
      </w:r>
    </w:p>
    <w:p>
      <w:pPr>
        <w:pStyle w:val="ManualConsidrant"/>
        <w:rPr>
          <w:noProof/>
        </w:rPr>
      </w:pPr>
      <w:r>
        <w:t>(5)</w:t>
      </w:r>
      <w:r>
        <w:tab/>
      </w:r>
      <w:r>
        <w:rPr>
          <w:noProof/>
        </w:rPr>
        <w:t>In order to give higher support where farmers or SMEs are most severely affected, it is appropriate to allow Member states to adjust the level of the lump-sums for certain categories of eligible beneficiaries, based on objective and non-discriminatory criteria.</w:t>
      </w:r>
    </w:p>
    <w:p>
      <w:pPr>
        <w:pStyle w:val="ManualConsidrant"/>
        <w:rPr>
          <w:noProof/>
        </w:rPr>
      </w:pPr>
      <w:r>
        <w:t>(6)</w:t>
      </w:r>
      <w:r>
        <w:tab/>
      </w:r>
      <w:r>
        <w:rPr>
          <w:noProof/>
        </w:rPr>
        <w:t xml:space="preserve">In order to ensure adequate funding of the new measure without jeopardising other objectives of the Rural Development programmes, a maximum share of the Union contribution to this measure should be fixed.        </w:t>
      </w:r>
    </w:p>
    <w:p>
      <w:pPr>
        <w:pStyle w:val="ManualConsidrant"/>
        <w:rPr>
          <w:noProof/>
        </w:rPr>
      </w:pPr>
      <w:r>
        <w:t>(7)</w:t>
      </w:r>
      <w:r>
        <w:tab/>
      </w:r>
      <w:r>
        <w:rPr>
          <w:noProof/>
        </w:rPr>
        <w:t>Regulation (EU) No 1305/2013 should therefore be amended accordingly.</w:t>
      </w:r>
    </w:p>
    <w:p>
      <w:pPr>
        <w:pStyle w:val="ManualConsidrant"/>
        <w:rPr>
          <w:noProof/>
        </w:rPr>
      </w:pPr>
      <w:r>
        <w:t>(8)</w:t>
      </w:r>
      <w:r>
        <w:tab/>
      </w:r>
      <w:r>
        <w:rPr>
          <w:noProof/>
        </w:rPr>
        <w:t>In view of the COVID-19 outbreak and the urgency to address the associated public health crisis, it is considered necessary to use the exception to the eight-week period referred to in Article 4 of Protocol No 1 on the role of national Parliaments in the European Union, annexed to the Treaty on European Union, to the Treaty on the Functioning of the European Union and to the Treaty establishing the European Atomic Energy Community.</w:t>
      </w:r>
    </w:p>
    <w:p>
      <w:pPr>
        <w:pStyle w:val="ManualConsidrant"/>
        <w:rPr>
          <w:noProof/>
        </w:rPr>
      </w:pPr>
      <w:r>
        <w:t>(9)</w:t>
      </w:r>
      <w:r>
        <w:tab/>
      </w:r>
      <w:r>
        <w:rPr>
          <w:noProof/>
        </w:rPr>
        <w:t xml:space="preserve">Given the urgency of the situation related to the COVID-19 crisis, it is appropriate that this Regulation enters into force on the date of its publication in the </w:t>
      </w:r>
      <w:r>
        <w:rPr>
          <w:i/>
          <w:noProof/>
        </w:rPr>
        <w:t>Official Journal of the European Union</w:t>
      </w:r>
      <w:r>
        <w:rPr>
          <w:noProof/>
        </w:rPr>
        <w:t>,</w:t>
      </w:r>
    </w:p>
    <w:p>
      <w:pPr>
        <w:pStyle w:val="Formuledadoption"/>
        <w:rPr>
          <w:noProof/>
        </w:rPr>
      </w:pPr>
      <w:r>
        <w:rPr>
          <w:noProof/>
        </w:rPr>
        <w:t>HAVE ADOPTED THIS REGULATION:</w:t>
      </w:r>
    </w:p>
    <w:p>
      <w:pPr>
        <w:pStyle w:val="Titrearticle"/>
        <w:rPr>
          <w:b/>
          <w:noProof/>
        </w:rPr>
      </w:pPr>
      <w:r>
        <w:rPr>
          <w:noProof/>
        </w:rPr>
        <w:t>Article 1</w:t>
      </w:r>
      <w:r>
        <w:rPr>
          <w:noProof/>
        </w:rPr>
        <w:br/>
      </w:r>
      <w:r>
        <w:rPr>
          <w:b/>
          <w:i w:val="0"/>
          <w:noProof/>
        </w:rPr>
        <w:t>Amendment to Regulation (EU) No 1305/2013</w:t>
      </w:r>
    </w:p>
    <w:p>
      <w:pPr>
        <w:rPr>
          <w:noProof/>
        </w:rPr>
      </w:pPr>
      <w:r>
        <w:rPr>
          <w:noProof/>
        </w:rPr>
        <w:t>Regulation (EU) No 1305/2013 is amended as follows:</w:t>
      </w:r>
    </w:p>
    <w:p>
      <w:pPr>
        <w:pStyle w:val="ManualNumPar1"/>
        <w:rPr>
          <w:noProof/>
        </w:rPr>
      </w:pPr>
      <w:r>
        <w:rPr>
          <w:noProof/>
        </w:rPr>
        <w:t>(1)</w:t>
      </w:r>
      <w:r>
        <w:rPr>
          <w:noProof/>
        </w:rPr>
        <w:tab/>
        <w:t>the following Article 39b is inserted:</w:t>
      </w:r>
      <w:r>
        <w:rPr>
          <w:noProof/>
          <w:color w:val="1F497D"/>
          <w:lang w:val="en-IE"/>
        </w:rPr>
        <w:t xml:space="preserve"> </w:t>
      </w:r>
    </w:p>
    <w:p>
      <w:pPr>
        <w:pStyle w:val="Titrearticle"/>
        <w:ind w:left="284"/>
        <w:rPr>
          <w:noProof/>
        </w:rPr>
      </w:pPr>
      <w:r>
        <w:rPr>
          <w:noProof/>
          <w:lang w:eastAsia="en-GB"/>
        </w:rPr>
        <w:t>“Article 39b</w:t>
      </w:r>
      <w:r>
        <w:rPr>
          <w:noProof/>
          <w:lang w:eastAsia="en-GB"/>
        </w:rPr>
        <w:br/>
      </w:r>
      <w:r>
        <w:rPr>
          <w:noProof/>
        </w:rPr>
        <w:t>Exceptional temporary relief to farmers and SMEs active in processing, marketing and/or development of agricultural products particularly affected by the COVID-19 crisis</w:t>
      </w:r>
    </w:p>
    <w:p>
      <w:pPr>
        <w:ind w:left="568"/>
        <w:rPr>
          <w:noProof/>
        </w:rPr>
      </w:pPr>
      <w:r>
        <w:rPr>
          <w:noProof/>
        </w:rPr>
        <w:t> </w:t>
      </w:r>
    </w:p>
    <w:p>
      <w:pPr>
        <w:pStyle w:val="ListNumber"/>
        <w:rPr>
          <w:noProof/>
        </w:rPr>
      </w:pPr>
      <w:r>
        <w:rPr>
          <w:noProof/>
        </w:rPr>
        <w:t xml:space="preserve">Support under this measure shall provide emergency assistance to farmers and SMEs particularly affected by the COVID-19 crisis, aiming at ensuring continuity of their business activity, subject to the conditions set out in this Article. </w:t>
      </w:r>
    </w:p>
    <w:p>
      <w:pPr>
        <w:rPr>
          <w:noProof/>
        </w:rPr>
      </w:pPr>
    </w:p>
    <w:p>
      <w:pPr>
        <w:pStyle w:val="ListNumber"/>
        <w:rPr>
          <w:noProof/>
        </w:rPr>
      </w:pPr>
      <w:r>
        <w:rPr>
          <w:noProof/>
        </w:rPr>
        <w:t>Support shall be granted to farmers and SMEs active in processing, marketing and/or development of agricultural products covered by Annex I to the TFEU or cotton, except fishery products; the output of the production process may be a product not covered by that Annex.</w:t>
      </w:r>
    </w:p>
    <w:p>
      <w:pPr>
        <w:rPr>
          <w:noProof/>
        </w:rPr>
      </w:pPr>
    </w:p>
    <w:p>
      <w:pPr>
        <w:pStyle w:val="ListNumber"/>
        <w:rPr>
          <w:noProof/>
        </w:rPr>
      </w:pPr>
      <w:r>
        <w:rPr>
          <w:noProof/>
        </w:rPr>
        <w:t>Member States shall target the support to beneficiaries who are most affected by the crisis, by defining eligibility conditions and possibly selection criteria, which shall be objective and non-discriminatory, based on available evidence.</w:t>
      </w:r>
    </w:p>
    <w:p>
      <w:pPr>
        <w:rPr>
          <w:noProof/>
        </w:rPr>
      </w:pPr>
    </w:p>
    <w:p>
      <w:pPr>
        <w:pStyle w:val="ListNumber"/>
        <w:rPr>
          <w:noProof/>
        </w:rPr>
      </w:pPr>
      <w:r>
        <w:rPr>
          <w:noProof/>
        </w:rPr>
        <w:lastRenderedPageBreak/>
        <w:t>Support shall take the form of a lump sum payment to be paid by [31/12/2020] and the subsequent reimbursement by the Commission shall be made in accordance with budget appropriations and subject to available funding. The level of payment may be differentiated by categories of beneficiaries, according to objective and non-discriminatory criteria.</w:t>
      </w:r>
    </w:p>
    <w:p>
      <w:pPr>
        <w:rPr>
          <w:noProof/>
        </w:rPr>
      </w:pPr>
    </w:p>
    <w:p>
      <w:pPr>
        <w:pStyle w:val="ListNumber"/>
        <w:rPr>
          <w:noProof/>
        </w:rPr>
      </w:pPr>
      <w:r>
        <w:rPr>
          <w:noProof/>
        </w:rPr>
        <w:t>The maximum amount of support shall not exceed EUR 5 000 per farmer and EUR 50 000 per SME.</w:t>
      </w:r>
    </w:p>
    <w:p>
      <w:pPr>
        <w:pStyle w:val="ListParagraph"/>
        <w:ind w:left="568"/>
        <w:rPr>
          <w:noProof/>
        </w:rPr>
      </w:pPr>
    </w:p>
    <w:p>
      <w:pPr>
        <w:pStyle w:val="ListNumber"/>
        <w:rPr>
          <w:noProof/>
        </w:rPr>
      </w:pPr>
      <w:r>
        <w:rPr>
          <w:noProof/>
        </w:rPr>
        <w:t>When granting support under this Article, Member States shall take into account the support granted under other national or Union support instruments or private schemes to respond to the impact of the COVID-19 crisis.”</w:t>
      </w:r>
    </w:p>
    <w:p>
      <w:pPr>
        <w:ind w:left="284"/>
        <w:rPr>
          <w:noProof/>
        </w:rPr>
      </w:pPr>
    </w:p>
    <w:p>
      <w:pPr>
        <w:pStyle w:val="ManualNumPar1"/>
        <w:ind w:left="720" w:firstLine="0"/>
        <w:rPr>
          <w:noProof/>
          <w:color w:val="1F497D"/>
          <w:lang w:val="en-IE"/>
        </w:rPr>
      </w:pPr>
      <w:r>
        <w:rPr>
          <w:noProof/>
        </w:rPr>
        <w:t xml:space="preserve"> (2)</w:t>
      </w:r>
      <w:r>
        <w:rPr>
          <w:noProof/>
        </w:rPr>
        <w:tab/>
        <w:t>in Article 59, the following paragraph 6a is inserted:</w:t>
      </w:r>
      <w:r>
        <w:rPr>
          <w:noProof/>
          <w:color w:val="1F497D"/>
          <w:lang w:val="en-IE"/>
        </w:rPr>
        <w:t xml:space="preserve"> </w:t>
      </w:r>
    </w:p>
    <w:p>
      <w:pPr>
        <w:pStyle w:val="ListParagraph"/>
        <w:spacing w:before="0" w:after="0"/>
        <w:contextualSpacing w:val="0"/>
        <w:rPr>
          <w:noProof/>
        </w:rPr>
      </w:pPr>
      <w:r>
        <w:rPr>
          <w:noProof/>
          <w:lang w:val="en-IE"/>
        </w:rPr>
        <w:t>“</w:t>
      </w:r>
      <w:r>
        <w:rPr>
          <w:noProof/>
        </w:rPr>
        <w:t>6a. The EAFRD support provided under the measure referred to in Article 39b shall be limited to a maximum of 1% of the total EAFRD contribution to the rural development programme.”</w:t>
      </w:r>
    </w:p>
    <w:p>
      <w:pPr>
        <w:pStyle w:val="ManualNumPar1"/>
        <w:ind w:left="720" w:firstLine="0"/>
        <w:rPr>
          <w:noProof/>
        </w:rPr>
      </w:pPr>
    </w:p>
    <w:p>
      <w:pPr>
        <w:pStyle w:val="ManualNumPar1"/>
        <w:ind w:left="720" w:firstLine="0"/>
        <w:rPr>
          <w:noProof/>
        </w:rPr>
      </w:pPr>
    </w:p>
    <w:p>
      <w:pPr>
        <w:pStyle w:val="ManualNumPar1"/>
        <w:ind w:left="720" w:firstLine="0"/>
        <w:rPr>
          <w:noProof/>
        </w:rPr>
      </w:pPr>
      <w:r>
        <w:rPr>
          <w:noProof/>
        </w:rPr>
        <w:t xml:space="preserve">(3) In Article 49, paragraph 2 is amended as follows: </w:t>
      </w:r>
    </w:p>
    <w:p>
      <w:pPr>
        <w:pStyle w:val="Text1"/>
        <w:ind w:left="1440"/>
        <w:rPr>
          <w:noProof/>
        </w:rPr>
      </w:pPr>
      <w:r>
        <w:rPr>
          <w:noProof/>
        </w:rPr>
        <w:t>“2. The Member State authority responsible for the selection of operations shall ensure that operations, with the exception of operations under point (b) of Article 18(1), point (d) of Article 24(1) and Articles 28 to 31, 33 to 34 and 36 to 39b, are selected in accordance with the selection criteria referred to in paragraph 1 and according to a transparent and well documented procedure.</w:t>
      </w:r>
    </w:p>
    <w:p>
      <w:pPr>
        <w:pStyle w:val="Text1"/>
        <w:rPr>
          <w:noProof/>
        </w:rPr>
      </w:pPr>
    </w:p>
    <w:p>
      <w:pPr>
        <w:ind w:left="-76"/>
        <w:rPr>
          <w:noProof/>
        </w:rPr>
      </w:pPr>
    </w:p>
    <w:p>
      <w:pPr>
        <w:pStyle w:val="Titrearticle"/>
        <w:rPr>
          <w:noProof/>
        </w:rPr>
      </w:pPr>
      <w:r>
        <w:rPr>
          <w:noProof/>
        </w:rPr>
        <w:t>Article 2</w:t>
      </w:r>
    </w:p>
    <w:p>
      <w:pPr>
        <w:rPr>
          <w:noProof/>
        </w:rPr>
      </w:pPr>
      <w:r>
        <w:rPr>
          <w:noProof/>
        </w:rPr>
        <w:t xml:space="preserve">This Regulation shall enter into force on the day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20"/>
          <w:docGrid w:linePitch="360"/>
        </w:sectPr>
      </w:pPr>
    </w:p>
    <w:p>
      <w:pPr>
        <w:pStyle w:val="Fichefinanciretitre"/>
        <w:rPr>
          <w:noProof/>
        </w:rPr>
      </w:pPr>
      <w:r>
        <w:rPr>
          <w:rStyle w:val="CommentReference"/>
          <w:b w:val="0"/>
          <w:noProof/>
          <w:u w:val="none"/>
        </w:rPr>
        <w:lastRenderedPageBreak/>
        <w:t>LEGISLATIVE</w:t>
      </w:r>
      <w:r>
        <w:rPr>
          <w:noProof/>
        </w:rPr>
        <w:t xml:space="preserve"> FINANCIAL STATEMENT</w:t>
      </w:r>
    </w:p>
    <w:p>
      <w:pPr>
        <w:pStyle w:val="ManualHeading1"/>
        <w:rPr>
          <w:noProof/>
        </w:rPr>
      </w:pPr>
      <w:bookmarkStart w:id="1" w:name="_Toc514938007"/>
      <w:bookmarkStart w:id="2" w:name="_Toc520485025"/>
      <w:r>
        <w:t>1.</w:t>
      </w:r>
      <w:r>
        <w:tab/>
      </w:r>
      <w:r>
        <w:rPr>
          <w:noProof/>
        </w:rPr>
        <w:t>FRAMEWORK OF THE PROPOSAL/INITIATIVE</w:t>
      </w:r>
      <w:bookmarkEnd w:id="1"/>
      <w:bookmarkEnd w:id="2"/>
      <w:r>
        <w:rPr>
          <w:noProof/>
        </w:rPr>
        <w:t xml:space="preserve"> </w:t>
      </w:r>
    </w:p>
    <w:p>
      <w:pPr>
        <w:pStyle w:val="ManualHeading2"/>
        <w:rPr>
          <w:noProof/>
        </w:rPr>
      </w:pPr>
      <w:bookmarkStart w:id="3" w:name="_Toc514938008"/>
      <w:bookmarkStart w:id="4" w:name="_Toc520485026"/>
      <w:r>
        <w:t>1.1.</w:t>
      </w:r>
      <w:r>
        <w:tab/>
      </w:r>
      <w:r>
        <w:rPr>
          <w:noProof/>
        </w:rPr>
        <w:t>Title of the proposal/initiative</w:t>
      </w:r>
      <w:bookmarkEnd w:id="3"/>
      <w:bookmarkEnd w:id="4"/>
    </w:p>
    <w:p>
      <w:pPr>
        <w:pStyle w:val="Text1"/>
        <w:pBdr>
          <w:top w:val="single" w:sz="4" w:space="1" w:color="auto"/>
          <w:left w:val="single" w:sz="4" w:space="4" w:color="auto"/>
          <w:bottom w:val="single" w:sz="4" w:space="1" w:color="auto"/>
          <w:right w:val="single" w:sz="4" w:space="4" w:color="auto"/>
        </w:pBdr>
        <w:rPr>
          <w:noProof/>
        </w:rPr>
      </w:pPr>
      <w:r>
        <w:t>Proposal for a Regulation of the European Parliament and of the Council amending Regulation (EU) No 1305/2013 as regards specific measures to provide exceptional temporary support under EAFRD in response to the COVID-19 outbreak</w:t>
      </w:r>
    </w:p>
    <w:p>
      <w:pPr>
        <w:pStyle w:val="ManualHeading2"/>
        <w:rPr>
          <w:bCs/>
          <w:noProof/>
          <w:szCs w:val="24"/>
        </w:rPr>
      </w:pPr>
      <w:bookmarkStart w:id="5" w:name="_Toc514938014"/>
      <w:bookmarkStart w:id="6" w:name="_Toc520485028"/>
      <w:r>
        <w:t>1.2.</w:t>
      </w:r>
      <w:r>
        <w:tab/>
      </w:r>
      <w:r>
        <w:rPr>
          <w:noProof/>
        </w:rPr>
        <w:t>The proposal/initiative relates to:</w:t>
      </w:r>
      <w:bookmarkEnd w:id="5"/>
      <w:bookmarkEnd w:id="6"/>
      <w:r>
        <w:rPr>
          <w:noProof/>
        </w:rPr>
        <w:t xml:space="preserve">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4"/>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t>X</w:t>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7" w:name="_Toc514938015"/>
      <w:bookmarkStart w:id="8" w:name="_Toc520485029"/>
      <w:r>
        <w:t>1.3.</w:t>
      </w:r>
      <w:r>
        <w:tab/>
      </w:r>
      <w:r>
        <w:rPr>
          <w:noProof/>
        </w:rPr>
        <w:t>Objective(s)</w:t>
      </w:r>
      <w:bookmarkEnd w:id="7"/>
      <w:bookmarkEnd w:id="8"/>
    </w:p>
    <w:p>
      <w:pPr>
        <w:pStyle w:val="ManualHeading3"/>
        <w:rPr>
          <w:noProof/>
        </w:rPr>
      </w:pPr>
      <w:bookmarkStart w:id="9" w:name="_Toc514938016"/>
      <w:bookmarkStart w:id="10" w:name="_Toc520485030"/>
      <w:r>
        <w:t>1.3.1.</w:t>
      </w:r>
      <w:r>
        <w:tab/>
      </w:r>
      <w:r>
        <w:rPr>
          <w:noProof/>
        </w:rPr>
        <w:t>General objective(s)</w:t>
      </w:r>
      <w:bookmarkEnd w:id="9"/>
      <w:bookmarkEnd w:id="10"/>
    </w:p>
    <w:p>
      <w:pPr>
        <w:pStyle w:val="Text1"/>
        <w:pBdr>
          <w:top w:val="single" w:sz="4" w:space="1" w:color="auto"/>
          <w:left w:val="single" w:sz="4" w:space="4" w:color="auto"/>
          <w:bottom w:val="single" w:sz="4" w:space="1" w:color="auto"/>
          <w:right w:val="single" w:sz="4" w:space="4" w:color="auto"/>
        </w:pBdr>
      </w:pPr>
      <w:r>
        <w:rPr>
          <w:noProof/>
        </w:rPr>
        <w:t>Provide for a new exceptional and temporary measure to address the liquidity problems that put at risk the continuity of farming activities and of small businesses that process agricultural products</w:t>
      </w:r>
      <w:r>
        <w:t xml:space="preserve"> </w:t>
      </w:r>
    </w:p>
    <w:p>
      <w:pPr>
        <w:pStyle w:val="ManualHeading3"/>
        <w:rPr>
          <w:bCs/>
          <w:noProof/>
          <w:szCs w:val="24"/>
        </w:rPr>
      </w:pPr>
      <w:bookmarkStart w:id="11" w:name="_Toc514938018"/>
      <w:bookmarkStart w:id="12" w:name="_Toc520485031"/>
      <w:r>
        <w:t>1.3.2.</w:t>
      </w:r>
      <w:r>
        <w:tab/>
      </w:r>
      <w:r>
        <w:rPr>
          <w:noProof/>
        </w:rPr>
        <w:t>Specific objective(s)</w:t>
      </w:r>
      <w:bookmarkEnd w:id="11"/>
      <w:bookmarkEnd w:id="12"/>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pPr>
      <w:r>
        <w:t>N/A</w:t>
      </w:r>
    </w:p>
    <w:p>
      <w:pPr>
        <w:pStyle w:val="ManualHeading3"/>
        <w:rPr>
          <w:noProof/>
        </w:rPr>
      </w:pPr>
      <w:bookmarkStart w:id="13" w:name="_Toc514938019"/>
      <w:bookmarkStart w:id="14" w:name="_Toc520485032"/>
      <w:r>
        <w:t>1.3.3.</w:t>
      </w:r>
      <w:r>
        <w:tab/>
      </w:r>
      <w:r>
        <w:rPr>
          <w:noProof/>
        </w:rPr>
        <w:t>Expected result(s) and impact</w:t>
      </w:r>
      <w:bookmarkEnd w:id="13"/>
      <w:bookmarkEnd w:id="14"/>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t>N/A</w:t>
      </w:r>
    </w:p>
    <w:p>
      <w:pPr>
        <w:pStyle w:val="ManualHeading3"/>
        <w:rPr>
          <w:noProof/>
          <w:szCs w:val="24"/>
        </w:rPr>
      </w:pPr>
      <w:bookmarkStart w:id="15" w:name="_Toc514938023"/>
      <w:bookmarkStart w:id="16" w:name="_Toc520485033"/>
      <w:r>
        <w:t>1.3.4.</w:t>
      </w:r>
      <w:r>
        <w:tab/>
      </w:r>
      <w:r>
        <w:rPr>
          <w:noProof/>
        </w:rPr>
        <w:t>Indicators of performance</w:t>
      </w:r>
      <w:bookmarkEnd w:id="15"/>
      <w:bookmarkEnd w:id="16"/>
    </w:p>
    <w:p>
      <w:pPr>
        <w:pStyle w:val="Text1"/>
        <w:rPr>
          <w:i/>
          <w:noProof/>
          <w:sz w:val="20"/>
        </w:rPr>
      </w:pPr>
      <w:r>
        <w:rPr>
          <w:i/>
          <w:noProof/>
          <w:sz w:val="20"/>
        </w:rPr>
        <w:t>Specify the indicators for monitoring progress and achievements.</w:t>
      </w:r>
    </w:p>
    <w:p>
      <w:pPr>
        <w:pStyle w:val="Text1"/>
        <w:pBdr>
          <w:top w:val="single" w:sz="4" w:space="1" w:color="auto"/>
          <w:left w:val="single" w:sz="4" w:space="4" w:color="auto"/>
          <w:bottom w:val="single" w:sz="4" w:space="1" w:color="auto"/>
          <w:right w:val="single" w:sz="4" w:space="4" w:color="auto"/>
        </w:pBdr>
      </w:pPr>
      <w:r>
        <w:t>N/A</w:t>
      </w:r>
    </w:p>
    <w:p>
      <w:pPr>
        <w:pStyle w:val="ManualHeading2"/>
        <w:rPr>
          <w:bCs/>
          <w:noProof/>
          <w:szCs w:val="24"/>
        </w:rPr>
      </w:pPr>
      <w:bookmarkStart w:id="17" w:name="_Toc514938025"/>
      <w:bookmarkStart w:id="18" w:name="_Toc520485034"/>
      <w:r>
        <w:t>1.4.</w:t>
      </w:r>
      <w:r>
        <w:tab/>
      </w:r>
      <w:r>
        <w:rPr>
          <w:noProof/>
        </w:rPr>
        <w:t>Grounds for the proposal/initiative</w:t>
      </w:r>
      <w:bookmarkEnd w:id="17"/>
      <w:bookmarkEnd w:id="18"/>
      <w:r>
        <w:rPr>
          <w:noProof/>
        </w:rPr>
        <w:t xml:space="preserve"> </w:t>
      </w:r>
    </w:p>
    <w:p>
      <w:pPr>
        <w:pStyle w:val="ManualHeading3"/>
        <w:rPr>
          <w:noProof/>
        </w:rPr>
      </w:pPr>
      <w:bookmarkStart w:id="19" w:name="_Toc514938026"/>
      <w:bookmarkStart w:id="20" w:name="_Toc520485035"/>
      <w:r>
        <w:t>1.4.1.</w:t>
      </w:r>
      <w:r>
        <w:tab/>
      </w:r>
      <w:r>
        <w:rPr>
          <w:noProof/>
        </w:rPr>
        <w:t>Requirement(s) to be met in the short or long term including a detailed timeline for roll-out of the implementation of the initiative</w:t>
      </w:r>
      <w:bookmarkEnd w:id="19"/>
      <w:bookmarkEnd w:id="20"/>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bookmarkStart w:id="21" w:name="_Toc514938029"/>
      <w:bookmarkStart w:id="22" w:name="_Toc520485036"/>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21"/>
      <w:bookmarkEnd w:id="22"/>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noProof/>
        </w:rPr>
      </w:pPr>
      <w:bookmarkStart w:id="23" w:name="_Toc514938030"/>
      <w:bookmarkStart w:id="24" w:name="_Toc520485037"/>
      <w:r>
        <w:t>1.4.3.</w:t>
      </w:r>
      <w:r>
        <w:tab/>
      </w:r>
      <w:r>
        <w:rPr>
          <w:noProof/>
        </w:rPr>
        <w:t>Lessons learned from similar experiences in the past</w:t>
      </w:r>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noProof/>
        </w:rPr>
      </w:pPr>
      <w:bookmarkStart w:id="25" w:name="_Toc514938033"/>
      <w:bookmarkStart w:id="26" w:name="_Toc520485038"/>
      <w:r>
        <w:t>1.4.4.</w:t>
      </w:r>
      <w:r>
        <w:tab/>
      </w:r>
      <w:r>
        <w:rPr>
          <w:noProof/>
        </w:rPr>
        <w:t>Compatibility with the Multiannual Financial Framework and possible synergies with other appropriate instruments</w:t>
      </w:r>
      <w:bookmarkEnd w:id="25"/>
      <w:bookmarkEnd w:id="26"/>
    </w:p>
    <w:p>
      <w:pPr>
        <w:pStyle w:val="Text1"/>
        <w:pBdr>
          <w:top w:val="single" w:sz="4" w:space="1" w:color="auto"/>
          <w:left w:val="single" w:sz="4" w:space="4" w:color="auto"/>
          <w:bottom w:val="single" w:sz="4" w:space="1" w:color="auto"/>
          <w:right w:val="single" w:sz="4" w:space="4" w:color="auto"/>
        </w:pBdr>
        <w:rPr>
          <w:noProof/>
        </w:rPr>
      </w:pPr>
      <w:r>
        <w:t>N/A</w:t>
      </w:r>
    </w:p>
    <w:p>
      <w:pPr>
        <w:pStyle w:val="ManualHeading3"/>
        <w:rPr>
          <w:noProof/>
        </w:rPr>
      </w:pPr>
      <w:bookmarkStart w:id="27" w:name="_Toc514938036"/>
      <w:bookmarkStart w:id="28" w:name="_Toc520485039"/>
      <w:r>
        <w:t>1.4.5.</w:t>
      </w:r>
      <w:r>
        <w:tab/>
      </w:r>
      <w:r>
        <w:rPr>
          <w:noProof/>
        </w:rPr>
        <w:t>Assessment of the different available financing options, including scope for redeployment</w:t>
      </w:r>
      <w:bookmarkEnd w:id="27"/>
      <w:bookmarkEnd w:id="28"/>
    </w:p>
    <w:p>
      <w:pPr>
        <w:pStyle w:val="Text1"/>
        <w:pBdr>
          <w:top w:val="single" w:sz="4" w:space="1" w:color="auto"/>
          <w:left w:val="single" w:sz="4" w:space="4" w:color="auto"/>
          <w:bottom w:val="single" w:sz="4" w:space="1" w:color="auto"/>
          <w:right w:val="single" w:sz="4" w:space="4" w:color="auto"/>
        </w:pBdr>
        <w:rPr>
          <w:noProof/>
        </w:rPr>
      </w:pPr>
      <w:r>
        <w:t>N/A</w:t>
      </w:r>
    </w:p>
    <w:p>
      <w:pPr>
        <w:pStyle w:val="Text1"/>
        <w:rPr>
          <w:noProof/>
        </w:rPr>
      </w:pPr>
    </w:p>
    <w:p>
      <w:pPr>
        <w:pStyle w:val="ManualHeading2"/>
        <w:rPr>
          <w:bCs/>
          <w:noProof/>
          <w:szCs w:val="24"/>
        </w:rPr>
      </w:pPr>
      <w:r>
        <w:rPr>
          <w:noProof/>
        </w:rPr>
        <w:br w:type="page"/>
      </w:r>
      <w:bookmarkStart w:id="29" w:name="_Toc514938039"/>
      <w:bookmarkStart w:id="30" w:name="_Toc520485040"/>
      <w:r>
        <w:t>1.5.</w:t>
      </w:r>
      <w:r>
        <w:tab/>
      </w:r>
      <w:r>
        <w:rPr>
          <w:noProof/>
        </w:rPr>
        <w:t>Duration and financial impact of the proposal/initiative</w:t>
      </w:r>
      <w:bookmarkEnd w:id="29"/>
      <w:bookmarkEnd w:id="30"/>
    </w:p>
    <w:p>
      <w:pPr>
        <w:pStyle w:val="Text1"/>
        <w:rPr>
          <w:noProof/>
        </w:rPr>
      </w:pPr>
      <w:r>
        <w:rPr>
          <w:noProof/>
        </w:rPr>
        <w:t>X</w:t>
      </w:r>
      <w:r>
        <w:rPr>
          <w:b/>
          <w:i/>
          <w:noProof/>
        </w:rPr>
        <w:t xml:space="preserve"> </w:t>
      </w:r>
      <w:r>
        <w:rPr>
          <w:b/>
          <w:noProof/>
        </w:rPr>
        <w:t xml:space="preserve">limited duration </w:t>
      </w:r>
    </w:p>
    <w:p>
      <w:pPr>
        <w:pStyle w:val="ListDash2"/>
        <w:rPr>
          <w:noProof/>
        </w:rPr>
      </w:pPr>
      <w:r>
        <w:rPr>
          <w:noProof/>
        </w:rPr>
        <w:sym w:font="Wingdings" w:char="F0A8"/>
      </w:r>
      <w:r>
        <w:rPr>
          <w:noProof/>
        </w:rPr>
        <w:tab/>
        <w:t xml:space="preserve">in effect from [DD/MM]YYYY to [DD/MM]YYYY </w:t>
      </w:r>
    </w:p>
    <w:p>
      <w:pPr>
        <w:pStyle w:val="ListDash2"/>
        <w:rPr>
          <w:noProof/>
        </w:rPr>
      </w:pPr>
      <w:r>
        <w:rPr>
          <w:noProof/>
        </w:rPr>
        <w:t>X</w:t>
      </w:r>
      <w:r>
        <w:rPr>
          <w:noProof/>
        </w:rPr>
        <w:tab/>
        <w:t xml:space="preserve">No overall financial impact for commitment and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31" w:name="_Toc514938040"/>
      <w:bookmarkStart w:id="32" w:name="_Toc520485041"/>
      <w:r>
        <w:t>1.6.</w:t>
      </w:r>
      <w:r>
        <w:tab/>
      </w:r>
      <w:r>
        <w:rPr>
          <w:noProof/>
        </w:rPr>
        <w:t>Management mode(s) planned</w:t>
      </w:r>
      <w:r>
        <w:rPr>
          <w:rStyle w:val="FootnoteReference"/>
          <w:noProof/>
        </w:rPr>
        <w:footnoteReference w:id="5"/>
      </w:r>
      <w:bookmarkEnd w:id="31"/>
      <w:bookmarkEnd w:id="32"/>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t>X</w:t>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 xml:space="preserve"> 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pPr>
      <w:r>
        <w:t>This new proposal does not imply any changes in the Multiannual Financial Framework annual ceilings for commitments and payments as per Annex I of Regulation (EU) No 1311/2013. The annual breakdown of commitment appropriations for the European Agricultural Fund for Rural Development remains unchanged.</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t>Overall, this measure does not imply the need for extra payment appropriations. The 2021 payment appropriations needed to finance this measure will be offset by lower payment needs in subsequent years.</w:t>
      </w:r>
    </w:p>
    <w:p>
      <w:pPr>
        <w:pStyle w:val="ManualHeading1"/>
        <w:rPr>
          <w:bCs/>
          <w:noProof/>
          <w:szCs w:val="24"/>
        </w:rPr>
      </w:pPr>
      <w:bookmarkStart w:id="33" w:name="_Toc514938041"/>
      <w:bookmarkStart w:id="34" w:name="_Toc520485042"/>
      <w:r>
        <w:t>2.</w:t>
      </w:r>
      <w:r>
        <w:tab/>
      </w:r>
      <w:r>
        <w:rPr>
          <w:noProof/>
        </w:rPr>
        <w:t>MANAGEMENT MEASURES</w:t>
      </w:r>
      <w:bookmarkEnd w:id="33"/>
      <w:bookmarkEnd w:id="34"/>
      <w:r>
        <w:rPr>
          <w:noProof/>
        </w:rPr>
        <w:t xml:space="preserve"> </w:t>
      </w:r>
    </w:p>
    <w:p>
      <w:pPr>
        <w:pStyle w:val="ManualHeading2"/>
        <w:rPr>
          <w:noProof/>
        </w:rPr>
      </w:pPr>
      <w:bookmarkStart w:id="35" w:name="_Toc514938042"/>
      <w:bookmarkStart w:id="36" w:name="_Toc520485043"/>
      <w:r>
        <w:t>2.1.</w:t>
      </w:r>
      <w:r>
        <w:tab/>
      </w:r>
      <w:r>
        <w:rPr>
          <w:noProof/>
        </w:rPr>
        <w:t>Monitoring and reporting rules</w:t>
      </w:r>
      <w:bookmarkEnd w:id="35"/>
      <w:bookmarkEnd w:id="36"/>
      <w:r>
        <w:rPr>
          <w:noProof/>
        </w:rPr>
        <w:t xml:space="preserve">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t>N/A</w:t>
      </w:r>
    </w:p>
    <w:p>
      <w:pPr>
        <w:pStyle w:val="ManualHeading2"/>
        <w:rPr>
          <w:bCs/>
          <w:noProof/>
          <w:szCs w:val="24"/>
        </w:rPr>
      </w:pPr>
      <w:bookmarkStart w:id="37" w:name="_Toc514938045"/>
      <w:bookmarkStart w:id="38" w:name="_Toc520485044"/>
      <w:r>
        <w:t>2.2.</w:t>
      </w:r>
      <w:r>
        <w:tab/>
      </w:r>
      <w:r>
        <w:rPr>
          <w:noProof/>
        </w:rPr>
        <w:t>Management and control system(s)</w:t>
      </w:r>
      <w:bookmarkEnd w:id="37"/>
      <w:bookmarkEnd w:id="38"/>
      <w:r>
        <w:rPr>
          <w:noProof/>
        </w:rPr>
        <w:t xml:space="preserve"> </w:t>
      </w:r>
    </w:p>
    <w:p>
      <w:pPr>
        <w:pStyle w:val="ManualHeading3"/>
        <w:rPr>
          <w:noProof/>
        </w:rPr>
      </w:pPr>
      <w:bookmarkStart w:id="39" w:name="_Toc514938046"/>
      <w:bookmarkStart w:id="40" w:name="_Toc520485045"/>
      <w:r>
        <w:t>2.2.1.</w:t>
      </w:r>
      <w:r>
        <w:tab/>
      </w:r>
      <w:r>
        <w:rPr>
          <w:noProof/>
        </w:rPr>
        <w:t>Justification of the management mode(s), the funding implementation mechanism(s), the payment modalities and the control strategy proposed</w:t>
      </w:r>
      <w:bookmarkEnd w:id="39"/>
      <w:bookmarkEnd w:id="40"/>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bookmarkStart w:id="41" w:name="_Toc514938047"/>
      <w:bookmarkStart w:id="42" w:name="_Toc520485046"/>
      <w:r>
        <w:t>2.2.2.</w:t>
      </w:r>
      <w:r>
        <w:tab/>
      </w:r>
      <w:r>
        <w:rPr>
          <w:noProof/>
        </w:rPr>
        <w:t>Information concerning the risks identified and the internal control system(s) set up to mitigate them</w:t>
      </w:r>
      <w:bookmarkEnd w:id="41"/>
      <w:bookmarkEnd w:id="42"/>
    </w:p>
    <w:p>
      <w:pPr>
        <w:pStyle w:val="Text1"/>
        <w:pBdr>
          <w:top w:val="single" w:sz="4" w:space="1" w:color="auto"/>
          <w:left w:val="single" w:sz="4" w:space="4" w:color="auto"/>
          <w:bottom w:val="single" w:sz="4" w:space="1" w:color="auto"/>
          <w:right w:val="single" w:sz="4" w:space="4" w:color="auto"/>
        </w:pBdr>
        <w:rPr>
          <w:noProof/>
        </w:rPr>
      </w:pPr>
      <w:r>
        <w:t>N/A</w:t>
      </w:r>
    </w:p>
    <w:p>
      <w:pPr>
        <w:pStyle w:val="ManualHeading3"/>
        <w:rPr>
          <w:noProof/>
        </w:rPr>
      </w:pPr>
      <w:bookmarkStart w:id="43" w:name="_Toc514938048"/>
      <w:bookmarkStart w:id="44" w:name="_Toc520485047"/>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43"/>
      <w:bookmarkEnd w:id="4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t>N/A</w:t>
      </w:r>
    </w:p>
    <w:p>
      <w:pPr>
        <w:pStyle w:val="ManualHeading2"/>
        <w:rPr>
          <w:bCs/>
          <w:noProof/>
          <w:szCs w:val="24"/>
        </w:rPr>
      </w:pPr>
      <w:bookmarkStart w:id="45" w:name="_Toc514938049"/>
      <w:bookmarkStart w:id="46" w:name="_Toc520485048"/>
      <w:r>
        <w:t>2.3.</w:t>
      </w:r>
      <w:r>
        <w:tab/>
      </w:r>
      <w:r>
        <w:rPr>
          <w:noProof/>
        </w:rPr>
        <w:t>Measures to prevent fraud and irregularities</w:t>
      </w:r>
      <w:bookmarkEnd w:id="45"/>
      <w:bookmarkEnd w:id="46"/>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t>N/A</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47" w:name="_Toc514938050"/>
      <w:bookmarkStart w:id="48" w:name="_Toc520485049"/>
      <w:r>
        <w:t>3.</w:t>
      </w:r>
      <w:r>
        <w:tab/>
      </w:r>
      <w:r>
        <w:rPr>
          <w:noProof/>
        </w:rPr>
        <w:t>ESTIMATED FINANCIAL IMPACT OF THE PROPOSAL/INITIATIVE</w:t>
      </w:r>
      <w:bookmarkEnd w:id="47"/>
      <w:bookmarkEnd w:id="48"/>
      <w:r>
        <w:rPr>
          <w:noProof/>
        </w:rPr>
        <w:t xml:space="preserve"> </w:t>
      </w:r>
    </w:p>
    <w:p>
      <w:pPr>
        <w:pStyle w:val="ManualHeading2"/>
        <w:rPr>
          <w:noProof/>
        </w:rPr>
      </w:pPr>
      <w:bookmarkStart w:id="49" w:name="_Toc514938051"/>
      <w:bookmarkStart w:id="50" w:name="_Toc520485050"/>
      <w:r>
        <w:t>3.1.</w:t>
      </w:r>
      <w:r>
        <w:tab/>
      </w:r>
      <w:r>
        <w:rPr>
          <w:noProof/>
        </w:rPr>
        <w:t>Heading(s) of the multiannual financial framework and expenditure budget line(s) affected</w:t>
      </w:r>
      <w:bookmarkEnd w:id="49"/>
      <w:bookmarkEnd w:id="50"/>
      <w:r>
        <w:rPr>
          <w:noProof/>
        </w:rPr>
        <w:t xml:space="preserve"> </w:t>
      </w:r>
    </w:p>
    <w:p>
      <w:pPr>
        <w:pStyle w:val="ListBullet1"/>
        <w:rPr>
          <w:noProof/>
        </w:rPr>
      </w:pPr>
      <w:r>
        <w:rPr>
          <w:noProof/>
        </w:rPr>
        <w:t xml:space="preserve">Existing budget lines </w:t>
      </w:r>
    </w:p>
    <w:p>
      <w:pPr>
        <w:pStyle w:val="Text1"/>
        <w:rPr>
          <w:i/>
          <w:noProof/>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r>
              <w:rPr>
                <w:rStyle w:val="FootnoteReference"/>
                <w:noProof/>
                <w:sz w:val="18"/>
              </w:rPr>
              <w:footnoteReference w:id="6"/>
            </w:r>
          </w:p>
        </w:tc>
        <w:tc>
          <w:tcPr>
            <w:tcW w:w="956" w:type="dxa"/>
            <w:vAlign w:val="center"/>
          </w:tcPr>
          <w:p>
            <w:pPr>
              <w:jc w:val="center"/>
              <w:rPr>
                <w:noProof/>
              </w:rPr>
            </w:pPr>
            <w:r>
              <w:rPr>
                <w:noProof/>
                <w:sz w:val="18"/>
              </w:rPr>
              <w:t>from EFTA countries</w:t>
            </w:r>
            <w:r>
              <w:rPr>
                <w:rStyle w:val="FootnoteReference"/>
                <w:noProof/>
                <w:sz w:val="18"/>
              </w:rPr>
              <w:footnoteReference w:id="7"/>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8"/>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05.046001</w:t>
            </w:r>
            <w:r>
              <w:rPr>
                <w:rStyle w:val="FootnoteReference"/>
                <w:noProof/>
              </w:rPr>
              <w:footnoteReference w:id="9"/>
            </w:r>
          </w:p>
        </w:tc>
        <w:tc>
          <w:tcPr>
            <w:tcW w:w="1080" w:type="dxa"/>
            <w:vAlign w:val="center"/>
          </w:tcPr>
          <w:p>
            <w:pPr>
              <w:jc w:val="center"/>
              <w:rPr>
                <w:noProof/>
                <w:color w:val="0000FF"/>
              </w:rPr>
            </w:pPr>
            <w:r>
              <w:rPr>
                <w:noProof/>
                <w:sz w:val="22"/>
              </w:rPr>
              <w:t>Diff.</w:t>
            </w:r>
          </w:p>
        </w:tc>
        <w:tc>
          <w:tcPr>
            <w:tcW w:w="956" w:type="dxa"/>
            <w:vAlign w:val="center"/>
          </w:tcPr>
          <w:p>
            <w:pPr>
              <w:jc w:val="center"/>
              <w:rPr>
                <w:noProof/>
                <w:sz w:val="20"/>
                <w:szCs w:val="20"/>
              </w:rPr>
            </w:pPr>
            <w:r>
              <w:rPr>
                <w:noProof/>
                <w:sz w:val="20"/>
                <w:szCs w:val="20"/>
              </w:rPr>
              <w:t>NO</w:t>
            </w:r>
          </w:p>
        </w:tc>
        <w:tc>
          <w:tcPr>
            <w:tcW w:w="1080" w:type="dxa"/>
            <w:vAlign w:val="center"/>
          </w:tcPr>
          <w:p>
            <w:pPr>
              <w:jc w:val="center"/>
              <w:rPr>
                <w:noProof/>
                <w:sz w:val="20"/>
                <w:szCs w:val="20"/>
              </w:rPr>
            </w:pPr>
            <w:r>
              <w:rPr>
                <w:noProof/>
                <w:sz w:val="20"/>
                <w:szCs w:val="20"/>
              </w:rPr>
              <w:t>NO</w:t>
            </w:r>
          </w:p>
        </w:tc>
        <w:tc>
          <w:tcPr>
            <w:tcW w:w="956" w:type="dxa"/>
            <w:vAlign w:val="center"/>
          </w:tcPr>
          <w:p>
            <w:pPr>
              <w:jc w:val="center"/>
              <w:rPr>
                <w:noProof/>
                <w:sz w:val="20"/>
                <w:szCs w:val="20"/>
              </w:rPr>
            </w:pPr>
            <w:r>
              <w:rPr>
                <w:noProof/>
                <w:sz w:val="20"/>
                <w:szCs w:val="20"/>
              </w:rPr>
              <w:t>NO</w:t>
            </w:r>
          </w:p>
        </w:tc>
        <w:tc>
          <w:tcPr>
            <w:tcW w:w="1448" w:type="dxa"/>
            <w:vAlign w:val="center"/>
          </w:tcPr>
          <w:p>
            <w:pPr>
              <w:jc w:val="center"/>
              <w:rPr>
                <w:noProof/>
                <w:sz w:val="20"/>
                <w:szCs w:val="20"/>
              </w:rPr>
            </w:pPr>
            <w:r>
              <w:rPr>
                <w:noProof/>
                <w:sz w:val="20"/>
                <w:szCs w:val="20"/>
              </w:rPr>
              <w:t>NO</w:t>
            </w:r>
          </w:p>
        </w:tc>
      </w:tr>
    </w:tbl>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N/A</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sz w:val="20"/>
                <w:szCs w:val="20"/>
              </w:rPr>
            </w:pPr>
            <w:r>
              <w:rPr>
                <w:noProof/>
                <w:sz w:val="20"/>
                <w:szCs w:val="20"/>
              </w:rPr>
              <w:t>YES/NO</w:t>
            </w:r>
          </w:p>
        </w:tc>
        <w:tc>
          <w:tcPr>
            <w:tcW w:w="1080" w:type="dxa"/>
            <w:vAlign w:val="center"/>
          </w:tcPr>
          <w:p>
            <w:pPr>
              <w:jc w:val="center"/>
              <w:rPr>
                <w:noProof/>
                <w:color w:val="0000FF"/>
                <w:sz w:val="20"/>
                <w:szCs w:val="20"/>
              </w:rPr>
            </w:pPr>
            <w:r>
              <w:rPr>
                <w:noProof/>
                <w:sz w:val="20"/>
                <w:szCs w:val="20"/>
              </w:rPr>
              <w:t>YES/NO</w:t>
            </w:r>
          </w:p>
        </w:tc>
        <w:tc>
          <w:tcPr>
            <w:tcW w:w="956" w:type="dxa"/>
            <w:vAlign w:val="center"/>
          </w:tcPr>
          <w:p>
            <w:pPr>
              <w:jc w:val="center"/>
              <w:rPr>
                <w:noProof/>
                <w:color w:val="0000FF"/>
                <w:sz w:val="20"/>
                <w:szCs w:val="20"/>
              </w:rPr>
            </w:pPr>
            <w:r>
              <w:rPr>
                <w:noProof/>
                <w:sz w:val="20"/>
                <w:szCs w:val="20"/>
              </w:rPr>
              <w:t>YES/NO</w:t>
            </w:r>
          </w:p>
        </w:tc>
        <w:tc>
          <w:tcPr>
            <w:tcW w:w="1448" w:type="dxa"/>
            <w:vAlign w:val="center"/>
          </w:tcPr>
          <w:p>
            <w:pPr>
              <w:jc w:val="center"/>
              <w:rPr>
                <w:noProof/>
                <w:sz w:val="20"/>
                <w:szCs w:val="20"/>
              </w:rPr>
            </w:pPr>
            <w:r>
              <w:rPr>
                <w:noProof/>
                <w:sz w:val="20"/>
                <w:szCs w:val="20"/>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51" w:name="_Toc514938052"/>
      <w:bookmarkStart w:id="52" w:name="_Toc520485051"/>
      <w:r>
        <w:t>3.2.</w:t>
      </w:r>
      <w:r>
        <w:tab/>
      </w:r>
      <w:r>
        <w:rPr>
          <w:noProof/>
        </w:rPr>
        <w:t>Estimated financial impact of the proposal on appropriations</w:t>
      </w:r>
      <w:bookmarkEnd w:id="51"/>
      <w:bookmarkEnd w:id="52"/>
      <w:r>
        <w:rPr>
          <w:noProof/>
        </w:rPr>
        <w:t xml:space="preserve"> </w:t>
      </w:r>
    </w:p>
    <w:p>
      <w:pPr>
        <w:pStyle w:val="ManualHeading3"/>
        <w:rPr>
          <w:noProof/>
        </w:rPr>
      </w:pPr>
      <w:bookmarkStart w:id="53" w:name="_Toc514938053"/>
      <w:bookmarkStart w:id="54" w:name="_Toc520485052"/>
      <w:r>
        <w:t>3.2.1.</w:t>
      </w:r>
      <w:r>
        <w:tab/>
      </w:r>
      <w:r>
        <w:rPr>
          <w:noProof/>
        </w:rPr>
        <w:t>Summary of estimated impact on operational appropriations</w:t>
      </w:r>
      <w:bookmarkEnd w:id="53"/>
      <w:bookmarkEnd w:id="54"/>
      <w:r>
        <w:rPr>
          <w:noProof/>
        </w:rPr>
        <w:t xml:space="preserve">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t>X</w:t>
      </w:r>
      <w:r>
        <w:rPr>
          <w:noProof/>
        </w:rPr>
        <w:tab/>
        <w:t>The proposal/initiative requires the use of operational appropriations, as explained below:</w:t>
      </w:r>
    </w:p>
    <w:p>
      <w:pPr>
        <w:jc w:val="right"/>
        <w:rPr>
          <w:noProof/>
          <w:sz w:val="18"/>
          <w:szCs w:val="18"/>
        </w:rPr>
      </w:pPr>
      <w:r>
        <w:rPr>
          <w:noProof/>
          <w:sz w:val="18"/>
          <w:szCs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Number</w:t>
            </w:r>
          </w:p>
          <w:p>
            <w:pPr>
              <w:spacing w:before="60" w:after="60"/>
              <w:jc w:val="center"/>
              <w:rPr>
                <w:noProof/>
              </w:rPr>
            </w:pPr>
            <w:r>
              <w:rPr>
                <w:noProof/>
                <w:sz w:val="22"/>
              </w:rPr>
              <w:t>2</w:t>
            </w:r>
          </w:p>
        </w:tc>
        <w:tc>
          <w:tcPr>
            <w:tcW w:w="7817" w:type="dxa"/>
            <w:vAlign w:val="center"/>
          </w:tcPr>
          <w:p>
            <w:pPr>
              <w:spacing w:before="60" w:after="60"/>
              <w:rPr>
                <w:noProof/>
              </w:rPr>
            </w:pPr>
            <w:r>
              <w:rPr>
                <w:noProof/>
              </w:rPr>
              <w:t>Sustainable Growth: natural resources</w:t>
            </w:r>
          </w:p>
        </w:tc>
      </w:tr>
    </w:tbl>
    <w:p>
      <w:pPr>
        <w:rPr>
          <w:b/>
          <w:i/>
          <w:noProof/>
        </w:rPr>
      </w:pPr>
    </w:p>
    <w:p>
      <w:pPr>
        <w:rPr>
          <w:b/>
          <w:i/>
          <w:noProof/>
        </w:rPr>
      </w:pPr>
      <w:r>
        <w:rPr>
          <w:b/>
          <w:i/>
          <w:noProof/>
        </w:rPr>
        <w:t xml:space="preserve">There is no impact on commitment appropriations. As this modification will be financed through amendments of Member States’ rural development programmes within the agreed envelopes, no extra payment appropriations will be needed overall, with any payments for this measure to be compensated by lower payments on other rural development measures. </w:t>
      </w:r>
    </w:p>
    <w:p>
      <w:pPr>
        <w:rPr>
          <w:b/>
          <w:i/>
          <w:noProof/>
        </w:rPr>
      </w:pPr>
      <w:r>
        <w:rPr>
          <w:b/>
          <w:i/>
          <w:noProof/>
        </w:rPr>
        <w:t xml:space="preserve">It is assumed that the proposal has no impact on EAFRD payment appropriations for the 2020 budget. Taking into account time needed for Member States to implement this new measure, it is anticipated that the related expenditure will be declared in the fourth quarter of 2020, thereby impacting budget 2021. The corresponding impact on payment appropriations, estimated at around EUR 650 million, will be accommodated within the level of payment appropriations to be requested for the Draft Budget 2021 and will be offset by a corresponding decrease in payment needs in subsequent years, as estimated below. </w:t>
      </w:r>
    </w:p>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DG AGRI</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noProof/>
                <w:sz w:val="20"/>
              </w:rPr>
              <w:t>2020</w:t>
            </w:r>
          </w:p>
        </w:tc>
        <w:tc>
          <w:tcPr>
            <w:tcW w:w="868" w:type="dxa"/>
            <w:vAlign w:val="center"/>
          </w:tcPr>
          <w:p>
            <w:pPr>
              <w:jc w:val="center"/>
              <w:rPr>
                <w:noProof/>
                <w:sz w:val="20"/>
              </w:rPr>
            </w:pPr>
            <w:r>
              <w:rPr>
                <w:noProof/>
                <w:sz w:val="20"/>
              </w:rPr>
              <w:t>Year</w:t>
            </w:r>
            <w:r>
              <w:rPr>
                <w:noProof/>
                <w:sz w:val="22"/>
              </w:rPr>
              <w:br/>
            </w:r>
            <w:r>
              <w:rPr>
                <w:noProof/>
                <w:sz w:val="20"/>
              </w:rPr>
              <w:t>2021</w:t>
            </w:r>
          </w:p>
        </w:tc>
        <w:tc>
          <w:tcPr>
            <w:tcW w:w="868" w:type="dxa"/>
            <w:vAlign w:val="center"/>
          </w:tcPr>
          <w:p>
            <w:pPr>
              <w:jc w:val="center"/>
              <w:rPr>
                <w:noProof/>
                <w:sz w:val="20"/>
              </w:rPr>
            </w:pPr>
            <w:r>
              <w:rPr>
                <w:noProof/>
                <w:sz w:val="20"/>
              </w:rPr>
              <w:t>Year</w:t>
            </w:r>
            <w:r>
              <w:rPr>
                <w:noProof/>
                <w:sz w:val="22"/>
              </w:rPr>
              <w:br/>
            </w:r>
            <w:r>
              <w:rPr>
                <w:noProof/>
                <w:sz w:val="20"/>
              </w:rPr>
              <w:t>2022</w:t>
            </w:r>
          </w:p>
        </w:tc>
        <w:tc>
          <w:tcPr>
            <w:tcW w:w="868" w:type="dxa"/>
            <w:vAlign w:val="center"/>
          </w:tcPr>
          <w:p>
            <w:pPr>
              <w:jc w:val="center"/>
              <w:rPr>
                <w:noProof/>
                <w:sz w:val="22"/>
              </w:rPr>
            </w:pPr>
            <w:r>
              <w:rPr>
                <w:noProof/>
                <w:sz w:val="20"/>
              </w:rPr>
              <w:t>Year</w:t>
            </w:r>
            <w:r>
              <w:rPr>
                <w:noProof/>
                <w:sz w:val="22"/>
              </w:rPr>
              <w:br/>
              <w:t>2023</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05.046001</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+ 650</w:t>
            </w:r>
          </w:p>
        </w:tc>
        <w:tc>
          <w:tcPr>
            <w:tcW w:w="868" w:type="dxa"/>
            <w:vAlign w:val="center"/>
          </w:tcPr>
          <w:p>
            <w:pPr>
              <w:spacing w:before="20" w:after="20"/>
              <w:jc w:val="right"/>
              <w:rPr>
                <w:noProof/>
                <w:sz w:val="20"/>
              </w:rPr>
            </w:pPr>
            <w:r>
              <w:rPr>
                <w:noProof/>
                <w:sz w:val="20"/>
              </w:rPr>
              <w:t>-325</w:t>
            </w:r>
          </w:p>
        </w:tc>
        <w:tc>
          <w:tcPr>
            <w:tcW w:w="868" w:type="dxa"/>
            <w:vAlign w:val="center"/>
          </w:tcPr>
          <w:p>
            <w:pPr>
              <w:spacing w:before="20" w:after="20"/>
              <w:jc w:val="right"/>
              <w:rPr>
                <w:noProof/>
                <w:sz w:val="20"/>
              </w:rPr>
            </w:pPr>
            <w:r>
              <w:rPr>
                <w:noProof/>
                <w:sz w:val="20"/>
              </w:rPr>
              <w:t>-325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rPr>
          <w:trHeight w:val="619"/>
        </w:trPr>
        <w:tc>
          <w:tcPr>
            <w:tcW w:w="6054" w:type="dxa"/>
            <w:gridSpan w:val="4"/>
            <w:vAlign w:val="center"/>
          </w:tcPr>
          <w:p>
            <w:pPr>
              <w:spacing w:before="20" w:after="20"/>
              <w:rPr>
                <w:noProof/>
              </w:rPr>
            </w:pPr>
            <w:r>
              <w:rPr>
                <w:noProof/>
                <w:sz w:val="21"/>
              </w:rPr>
              <w:t>Appropriations of an administrative nature financed from the envelope of specific programmes</w:t>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rPr>
              <w:t>N/A</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appropriations</w:t>
            </w:r>
            <w:r>
              <w:rPr>
                <w:noProof/>
                <w:sz w:val="22"/>
              </w:rPr>
              <w:br/>
            </w:r>
            <w:r>
              <w:rPr>
                <w:b/>
                <w:noProof/>
                <w:sz w:val="22"/>
              </w:rPr>
              <w:t>for DG AGRI</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=1a+1b +3</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+650</w:t>
            </w:r>
          </w:p>
        </w:tc>
        <w:tc>
          <w:tcPr>
            <w:tcW w:w="868" w:type="dxa"/>
            <w:vAlign w:val="center"/>
          </w:tcPr>
          <w:p>
            <w:pPr>
              <w:spacing w:before="20" w:after="20"/>
              <w:jc w:val="right"/>
              <w:rPr>
                <w:noProof/>
                <w:sz w:val="20"/>
              </w:rPr>
            </w:pPr>
            <w:r>
              <w:rPr>
                <w:noProof/>
                <w:sz w:val="20"/>
              </w:rPr>
              <w:t>-325</w:t>
            </w:r>
          </w:p>
        </w:tc>
        <w:tc>
          <w:tcPr>
            <w:tcW w:w="868" w:type="dxa"/>
            <w:vAlign w:val="center"/>
          </w:tcPr>
          <w:p>
            <w:pPr>
              <w:spacing w:before="20" w:after="20"/>
              <w:jc w:val="right"/>
              <w:rPr>
                <w:noProof/>
                <w:sz w:val="20"/>
              </w:rPr>
            </w:pPr>
            <w:r>
              <w:rPr>
                <w:noProof/>
                <w:sz w:val="20"/>
              </w:rPr>
              <w:t>-325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bl>
    <w:p>
      <w:pPr>
        <w:rPr>
          <w:noProof/>
        </w:rPr>
      </w:pPr>
    </w:p>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+650</w:t>
            </w:r>
          </w:p>
        </w:tc>
        <w:tc>
          <w:tcPr>
            <w:tcW w:w="868" w:type="dxa"/>
            <w:vAlign w:val="center"/>
          </w:tcPr>
          <w:p>
            <w:pPr>
              <w:spacing w:before="20" w:after="20"/>
              <w:jc w:val="right"/>
              <w:rPr>
                <w:noProof/>
                <w:sz w:val="20"/>
              </w:rPr>
            </w:pPr>
            <w:r>
              <w:rPr>
                <w:noProof/>
                <w:sz w:val="20"/>
              </w:rPr>
              <w:t>-325</w:t>
            </w:r>
          </w:p>
        </w:tc>
        <w:tc>
          <w:tcPr>
            <w:tcW w:w="868" w:type="dxa"/>
            <w:vAlign w:val="center"/>
          </w:tcPr>
          <w:p>
            <w:pPr>
              <w:spacing w:before="20" w:after="20"/>
              <w:jc w:val="right"/>
              <w:rPr>
                <w:noProof/>
                <w:sz w:val="20"/>
              </w:rPr>
            </w:pPr>
            <w:r>
              <w:rPr>
                <w:noProof/>
                <w:sz w:val="20"/>
              </w:rPr>
              <w:t>-325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 2</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+650</w:t>
            </w:r>
          </w:p>
        </w:tc>
        <w:tc>
          <w:tcPr>
            <w:tcW w:w="868" w:type="dxa"/>
            <w:vAlign w:val="center"/>
          </w:tcPr>
          <w:p>
            <w:pPr>
              <w:spacing w:before="20" w:after="20"/>
              <w:jc w:val="right"/>
              <w:rPr>
                <w:noProof/>
                <w:sz w:val="20"/>
              </w:rPr>
            </w:pPr>
            <w:r>
              <w:rPr>
                <w:noProof/>
                <w:sz w:val="20"/>
              </w:rPr>
              <w:t>-325</w:t>
            </w:r>
          </w:p>
        </w:tc>
        <w:tc>
          <w:tcPr>
            <w:tcW w:w="868" w:type="dxa"/>
            <w:vAlign w:val="center"/>
          </w:tcPr>
          <w:p>
            <w:pPr>
              <w:spacing w:before="20" w:after="20"/>
              <w:jc w:val="right"/>
              <w:rPr>
                <w:noProof/>
                <w:sz w:val="20"/>
              </w:rPr>
            </w:pPr>
            <w:r>
              <w:rPr>
                <w:noProof/>
                <w:sz w:val="20"/>
              </w:rPr>
              <w:t>-325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bl>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left"/>
        <w:rPr>
          <w:noProof/>
          <w:sz w:val="20"/>
        </w:rPr>
      </w:pPr>
      <w:r>
        <w:rPr>
          <w:noProof/>
        </w:rPr>
        <w:t xml:space="preserve">This section should be filled in using the 'budget data of an administrative nature' to be firstly introduced in the </w:t>
      </w:r>
      <w:hyperlink r:id="rId16" w:history="1">
        <w:r>
          <w:rPr>
            <w:rStyle w:val="Hyperlink"/>
            <w:noProof/>
          </w:rPr>
          <w:t>Annex to the Legislative Financial Statement</w:t>
        </w:r>
      </w:hyperlink>
      <w:r>
        <w:rPr>
          <w:noProof/>
        </w:rPr>
        <w:t xml:space="preserve"> (Annex V to the internal rules), which is uploaded to DECIDE for interservice consultation purposes.</w:t>
      </w:r>
    </w:p>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p>
        </w:tc>
        <w:tc>
          <w:tcPr>
            <w:tcW w:w="868" w:type="dxa"/>
            <w:vAlign w:val="center"/>
          </w:tcPr>
          <w:p>
            <w:pPr>
              <w:jc w:val="center"/>
              <w:rPr>
                <w:noProof/>
                <w:sz w:val="20"/>
              </w:rPr>
            </w:pPr>
            <w:r>
              <w:rPr>
                <w:noProof/>
                <w:sz w:val="20"/>
              </w:rPr>
              <w:t>Year</w:t>
            </w:r>
            <w:r>
              <w:rPr>
                <w:noProof/>
                <w:sz w:val="22"/>
              </w:rPr>
              <w:br/>
            </w:r>
            <w:r>
              <w:rPr>
                <w:b/>
                <w:noProof/>
                <w:sz w:val="20"/>
              </w:rPr>
              <w:t>N+1</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DG: &lt;…….&gt;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sz w:val="22"/>
              </w:rPr>
              <w:t>&lt;…….&gt;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60" w:after="60"/>
              <w:jc w:val="right"/>
              <w:rPr>
                <w:noProof/>
                <w:sz w:val="20"/>
              </w:rPr>
            </w:pPr>
            <w:r>
              <w:rPr>
                <w:noProof/>
                <w:sz w:val="20"/>
              </w:rPr>
              <w:t>+ 650</w:t>
            </w:r>
          </w:p>
        </w:tc>
        <w:tc>
          <w:tcPr>
            <w:tcW w:w="868" w:type="dxa"/>
            <w:vAlign w:val="center"/>
          </w:tcPr>
          <w:p>
            <w:pPr>
              <w:spacing w:before="60" w:after="60"/>
              <w:jc w:val="right"/>
              <w:rPr>
                <w:noProof/>
                <w:sz w:val="20"/>
              </w:rPr>
            </w:pPr>
            <w:r>
              <w:rPr>
                <w:noProof/>
                <w:sz w:val="20"/>
              </w:rPr>
              <w:t>-325</w:t>
            </w:r>
          </w:p>
        </w:tc>
        <w:tc>
          <w:tcPr>
            <w:tcW w:w="868" w:type="dxa"/>
            <w:vAlign w:val="center"/>
          </w:tcPr>
          <w:p>
            <w:pPr>
              <w:spacing w:before="60" w:after="60"/>
              <w:jc w:val="right"/>
              <w:rPr>
                <w:noProof/>
                <w:sz w:val="20"/>
              </w:rPr>
            </w:pPr>
            <w:r>
              <w:rPr>
                <w:noProof/>
                <w:sz w:val="20"/>
              </w:rPr>
              <w:t>-325</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pPr>
    </w:p>
    <w:p>
      <w:pPr>
        <w:pStyle w:val="ManualHeading3"/>
        <w:rPr>
          <w:bCs/>
          <w:noProof/>
          <w:szCs w:val="24"/>
        </w:rPr>
      </w:pPr>
      <w:bookmarkStart w:id="55" w:name="_Toc514938054"/>
      <w:bookmarkStart w:id="56" w:name="_Toc520485053"/>
      <w:r>
        <w:t>3.2.2.</w:t>
      </w:r>
      <w:r>
        <w:tab/>
      </w:r>
      <w:r>
        <w:rPr>
          <w:noProof/>
        </w:rPr>
        <w:t>Estimated output funded with operational appropriations</w:t>
      </w:r>
      <w:bookmarkEnd w:id="55"/>
      <w:bookmarkEnd w:id="56"/>
      <w:r>
        <w:rPr>
          <w:noProof/>
        </w:rPr>
        <w:t xml:space="preserve"> </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0"/>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11"/>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0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0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0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0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TOTALS</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pPr>
        <w:pStyle w:val="ManualHeading3"/>
        <w:rPr>
          <w:bCs/>
          <w:noProof/>
          <w:szCs w:val="24"/>
        </w:rPr>
      </w:pPr>
      <w:bookmarkStart w:id="57" w:name="_Toc514938055"/>
      <w:bookmarkStart w:id="58" w:name="_Toc520485054"/>
      <w:r>
        <w:t>3.2.3.</w:t>
      </w:r>
      <w:r>
        <w:tab/>
      </w:r>
      <w:r>
        <w:rPr>
          <w:noProof/>
        </w:rPr>
        <w:t>Summary of estimated impact on administrative appropriations</w:t>
      </w:r>
      <w:bookmarkEnd w:id="57"/>
      <w:bookmarkEnd w:id="58"/>
      <w:r>
        <w:rPr>
          <w:noProof/>
        </w:rPr>
        <w:t xml:space="preserve"> </w:t>
      </w:r>
    </w:p>
    <w:p>
      <w:pPr>
        <w:pStyle w:val="ListDash1"/>
        <w:rPr>
          <w:noProof/>
        </w:rPr>
      </w:pPr>
      <w:r>
        <w:rPr>
          <w:noProof/>
        </w:rPr>
        <w:t>X</w:t>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jc w:val="right"/>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12"/>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13"/>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pStyle w:val="ManualHeading4"/>
        <w:rPr>
          <w:bCs/>
          <w:noProof/>
          <w:szCs w:val="24"/>
        </w:rPr>
      </w:pPr>
      <w:r>
        <w:t>3.2.3.1.</w:t>
      </w:r>
      <w:r>
        <w:tab/>
      </w:r>
      <w:r>
        <w:rPr>
          <w:noProof/>
        </w:rPr>
        <w:t xml:space="preserve">Estimated requirements of human resources </w:t>
      </w:r>
    </w:p>
    <w:p>
      <w:pPr>
        <w:pStyle w:val="ListDash1"/>
        <w:rPr>
          <w:noProof/>
        </w:rPr>
      </w:pPr>
      <w:r>
        <w:rPr>
          <w:noProof/>
        </w:rPr>
        <w:t>X</w:t>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pStyle w:val="Text1"/>
              <w:spacing w:before="40" w:after="40"/>
              <w:ind w:left="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w:t>
            </w:r>
          </w:p>
        </w:tc>
        <w:tc>
          <w:tcPr>
            <w:tcW w:w="600" w:type="dxa"/>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N+2</w:t>
            </w:r>
          </w:p>
        </w:tc>
        <w:tc>
          <w:tcPr>
            <w:tcW w:w="600" w:type="dxa"/>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N+3</w:t>
            </w:r>
          </w:p>
        </w:tc>
        <w:tc>
          <w:tcPr>
            <w:tcW w:w="600" w:type="dxa"/>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(Indirect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14"/>
            </w:r>
          </w:p>
          <w:p>
            <w:pPr>
              <w:pStyle w:val="Text1"/>
              <w:spacing w:before="0" w:after="0"/>
              <w:ind w:left="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JPD in the delegations)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15"/>
            </w:r>
          </w:p>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0 at Headquarters</w:t>
            </w:r>
          </w:p>
          <w:p>
            <w:pPr>
              <w:pStyle w:val="Text1"/>
              <w:spacing w:beforeLines="20" w:before="48" w:afterLines="20" w:after="48"/>
              <w:ind w:left="136"/>
              <w:jc w:val="left"/>
              <w:rPr>
                <w:b/>
                <w:noProof/>
                <w:sz w:val="16"/>
                <w:szCs w:val="16"/>
              </w:rPr>
            </w:pP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0 in Delegations </w:t>
            </w: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02/12/22 (AC, END, INT 0 Indirect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(AC, END, INT 0 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59" w:name="_Toc514938056"/>
      <w:bookmarkStart w:id="60" w:name="_Toc520485055"/>
      <w:r>
        <w:t>3.2.4.</w:t>
      </w:r>
      <w:r>
        <w:tab/>
      </w:r>
      <w:r>
        <w:rPr>
          <w:noProof/>
        </w:rPr>
        <w:t>Compatibility with the current multiannual financial framework</w:t>
      </w:r>
      <w:bookmarkEnd w:id="59"/>
      <w:bookmarkEnd w:id="60"/>
      <w:r>
        <w:rPr>
          <w:noProof/>
        </w:rPr>
        <w:t xml:space="preserve"> </w:t>
      </w:r>
    </w:p>
    <w:p>
      <w:pPr>
        <w:pStyle w:val="Text1"/>
        <w:rPr>
          <w:noProof/>
        </w:rPr>
      </w:pPr>
      <w:r>
        <w:rPr>
          <w:noProof/>
        </w:rPr>
        <w:t>The proposal/initiative:</w:t>
      </w:r>
    </w:p>
    <w:p>
      <w:pPr>
        <w:pStyle w:val="ListDash1"/>
        <w:rPr>
          <w:noProof/>
        </w:rPr>
      </w:pPr>
      <w:r>
        <w:rPr>
          <w:noProof/>
        </w:rPr>
        <w:t>X</w:t>
      </w:r>
      <w:r>
        <w:rPr>
          <w:noProof/>
        </w:rPr>
        <w:tab/>
        <w:t>can be fully financed through redeployment within the relevant heading of the Multiannual Financial Framework (MFF).</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r>
        <w:rPr>
          <w:noProof/>
        </w:rPr>
        <w:t xml:space="preserve"> </w:t>
      </w:r>
      <w:r>
        <w:rPr>
          <w:noProof/>
          <w:sz w:val="20"/>
        </w:rPr>
        <w:t>Please provide an excel table in the case of major reprogramming.</w:t>
      </w:r>
    </w:p>
    <w:p>
      <w:pPr>
        <w:pStyle w:val="ListDash1"/>
        <w:rPr>
          <w:noProof/>
        </w:rPr>
      </w:pPr>
      <w:r>
        <w:rPr>
          <w:noProof/>
        </w:rPr>
        <w:sym w:font="Wingdings" w:char="F0A8"/>
      </w:r>
      <w:r>
        <w:rPr>
          <w:noProof/>
        </w:rPr>
        <w:tab/>
        <w:t>requires use of the unallocated margin under the relevant heading of the MFF and/or use of the special instruments as defined in the MFF Regulation.</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the corresponding amounts, and the instruments proposed to be used.</w:t>
      </w:r>
    </w:p>
    <w:p>
      <w:pPr>
        <w:pStyle w:val="ListDash1"/>
        <w:rPr>
          <w:noProof/>
        </w:rPr>
      </w:pPr>
      <w:r>
        <w:rPr>
          <w:noProof/>
        </w:rPr>
        <w:sym w:font="Wingdings" w:char="F0A8"/>
      </w:r>
      <w:r>
        <w:rPr>
          <w:noProof/>
        </w:rPr>
        <w:tab/>
        <w:t>requires a revision of the MFF.</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ManualHeading3"/>
        <w:rPr>
          <w:bCs/>
          <w:noProof/>
          <w:szCs w:val="24"/>
        </w:rPr>
      </w:pPr>
      <w:bookmarkStart w:id="61" w:name="_Toc514938058"/>
      <w:bookmarkStart w:id="62" w:name="_Toc520485056"/>
      <w:r>
        <w:t>3.2.5.</w:t>
      </w:r>
      <w:r>
        <w:tab/>
      </w:r>
      <w:r>
        <w:rPr>
          <w:noProof/>
        </w:rPr>
        <w:t>Third0party contributions</w:t>
      </w:r>
      <w:bookmarkEnd w:id="61"/>
      <w:bookmarkEnd w:id="62"/>
      <w:r>
        <w:rPr>
          <w:noProof/>
        </w:rPr>
        <w:t xml:space="preserve"> </w:t>
      </w:r>
    </w:p>
    <w:p>
      <w:pPr>
        <w:pStyle w:val="Text1"/>
        <w:rPr>
          <w:noProof/>
        </w:rPr>
      </w:pPr>
      <w:r>
        <w:rPr>
          <w:noProof/>
        </w:rPr>
        <w:t>The proposal/initiative:</w:t>
      </w:r>
    </w:p>
    <w:p>
      <w:pPr>
        <w:pStyle w:val="ListDash1"/>
        <w:rPr>
          <w:noProof/>
        </w:rPr>
      </w:pPr>
      <w:r>
        <w:rPr>
          <w:noProof/>
        </w:rPr>
        <w:sym w:font="Wingdings" w:char="F0A8"/>
      </w:r>
      <w:r>
        <w:rPr>
          <w:noProof/>
        </w:rPr>
        <w:tab/>
        <w:t>does not provide for co0financing by third parties</w:t>
      </w:r>
    </w:p>
    <w:p>
      <w:pPr>
        <w:pStyle w:val="ListDash1"/>
        <w:rPr>
          <w:noProof/>
        </w:rPr>
      </w:pPr>
      <w:r>
        <w:rPr>
          <w:noProof/>
        </w:rPr>
        <w:sym w:font="Wingdings" w:char="F0A8"/>
      </w:r>
      <w:r>
        <w:rPr>
          <w:noProof/>
        </w:rPr>
        <w:tab/>
        <w:t>provides for the co0financing by third parties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r>
              <w:rPr>
                <w:rStyle w:val="FootnoteReference"/>
                <w:b/>
                <w:noProof/>
                <w:sz w:val="20"/>
              </w:rPr>
              <w:footnoteReference w:id="16"/>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co0financing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co0financed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bookmarkStart w:id="63" w:name="_Toc514938059"/>
      <w:bookmarkStart w:id="64" w:name="_Toc520485057"/>
      <w:r>
        <w:t>3.3.</w:t>
      </w:r>
      <w:r>
        <w:tab/>
      </w:r>
      <w:r>
        <w:rPr>
          <w:noProof/>
        </w:rPr>
        <w:t>Estimated impact on revenue</w:t>
      </w:r>
      <w:bookmarkEnd w:id="63"/>
      <w:bookmarkEnd w:id="64"/>
      <w:r>
        <w:rPr>
          <w:noProof/>
        </w:rPr>
        <w:t xml:space="preserv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iret2"/>
        <w:numPr>
          <w:ilvl w:val="0"/>
          <w:numId w:val="17"/>
        </w:numPr>
        <w:rPr>
          <w:noProof/>
        </w:rPr>
      </w:pPr>
      <w:r>
        <w:rPr>
          <w:noProof/>
        </w:rPr>
        <w:sym w:font="Wingdings" w:char="F0A8"/>
      </w:r>
      <w:r>
        <w:rPr>
          <w:noProof/>
        </w:rPr>
        <w:tab/>
        <w:t xml:space="preserve">on own resources </w:t>
      </w:r>
    </w:p>
    <w:p>
      <w:pPr>
        <w:pStyle w:val="Tiret2"/>
        <w:rPr>
          <w:noProof/>
        </w:rPr>
      </w:pPr>
      <w:r>
        <w:rPr>
          <w:noProof/>
        </w:rPr>
        <w:sym w:font="Wingdings" w:char="F0A8"/>
      </w:r>
      <w:r>
        <w:rPr>
          <w:noProof/>
        </w:rPr>
        <w:tab/>
        <w:t>on other revenue</w:t>
      </w:r>
    </w:p>
    <w:p>
      <w:pPr>
        <w:pStyle w:val="Tiret2"/>
        <w:rPr>
          <w:noProof/>
        </w:rPr>
      </w:pPr>
      <w:r>
        <w:rPr>
          <w:noProof/>
        </w:rPr>
        <w:sym w:font="Wingdings" w:char="F0A8"/>
      </w:r>
      <w:r>
        <w:rPr>
          <w:noProof/>
        </w:rPr>
        <w:tab/>
        <w:t>please indicate, if the revenue is assigned to expenditure lines</w:t>
      </w:r>
    </w:p>
    <w:p>
      <w:pPr>
        <w:ind w:left="4320"/>
        <w:rPr>
          <w:i/>
          <w:noProof/>
          <w:sz w:val="20"/>
        </w:rPr>
      </w:pPr>
      <w:r>
        <w:rPr>
          <w:noProof/>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325" w:type="dxa"/>
            <w:vMerge w:val="restart"/>
            <w:vAlign w:val="center"/>
          </w:tcPr>
          <w:p>
            <w:pPr>
              <w:jc w:val="center"/>
              <w:rPr>
                <w:noProof/>
                <w:sz w:val="18"/>
              </w:rPr>
            </w:pPr>
            <w:r>
              <w:rPr>
                <w:noProof/>
                <w:sz w:val="18"/>
              </w:rPr>
              <w:t>Appropriations available for the current financial year</w:t>
            </w:r>
          </w:p>
        </w:tc>
        <w:tc>
          <w:tcPr>
            <w:tcW w:w="7151" w:type="dxa"/>
            <w:gridSpan w:val="7"/>
            <w:vAlign w:val="center"/>
          </w:tcPr>
          <w:p>
            <w:pPr>
              <w:jc w:val="center"/>
              <w:rPr>
                <w:noProof/>
                <w:sz w:val="18"/>
              </w:rPr>
            </w:pPr>
            <w:r>
              <w:rPr>
                <w:noProof/>
                <w:sz w:val="18"/>
              </w:rPr>
              <w:t>Impact of the proposal/initiative</w:t>
            </w:r>
            <w:r>
              <w:rPr>
                <w:rStyle w:val="FootnoteReference"/>
                <w:noProof/>
                <w:sz w:val="18"/>
              </w:rPr>
              <w:footnoteReference w:id="17"/>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Other remarks (e.g. method/formula used for calculating the impact on revenue or any other information).</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C , , p. .</w:t>
      </w:r>
    </w:p>
  </w:footnote>
  <w:footnote w:id="3">
    <w:p>
      <w:pPr>
        <w:pStyle w:val="FootnoteText"/>
      </w:pPr>
      <w:r>
        <w:rPr>
          <w:rStyle w:val="FootnoteReference"/>
        </w:rPr>
        <w:footnoteRef/>
      </w:r>
      <w:r>
        <w:tab/>
        <w:t>OJ C , , p. .</w:t>
      </w:r>
    </w:p>
  </w:footnote>
  <w:footnote w:id="4">
    <w:p>
      <w:pPr>
        <w:pStyle w:val="FootnoteText"/>
        <w:rPr>
          <w:szCs w:val="24"/>
        </w:rPr>
      </w:pPr>
      <w:r>
        <w:rPr>
          <w:rStyle w:val="FootnoteReference"/>
        </w:rPr>
        <w:footnoteRef/>
      </w:r>
      <w:r>
        <w:tab/>
        <w:t>As referred to in Article 58(2)(a) or (b) of the Financial Regulation.</w:t>
      </w:r>
    </w:p>
  </w:footnote>
  <w:footnote w:id="5">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 xml:space="preserve"> </w:t>
      </w:r>
    </w:p>
  </w:footnote>
  <w:footnote w:id="6">
    <w:p>
      <w:pPr>
        <w:pStyle w:val="FootnoteText"/>
        <w:rPr>
          <w:szCs w:val="24"/>
        </w:rPr>
      </w:pPr>
      <w:r>
        <w:rPr>
          <w:rStyle w:val="FootnoteReference"/>
        </w:rPr>
        <w:footnoteRef/>
      </w:r>
      <w:r>
        <w:tab/>
        <w:t>Diff. = Differentiated appropriations / Non-diff. = Non-differentiated appropriations.</w:t>
      </w:r>
    </w:p>
  </w:footnote>
  <w:footnote w:id="7">
    <w:p>
      <w:pPr>
        <w:pStyle w:val="FootnoteText"/>
        <w:rPr>
          <w:szCs w:val="24"/>
        </w:rPr>
      </w:pPr>
      <w:r>
        <w:rPr>
          <w:rStyle w:val="FootnoteReference"/>
        </w:rPr>
        <w:footnoteRef/>
      </w:r>
      <w:r>
        <w:tab/>
        <w:t xml:space="preserve">EFTA: European Free Trade Association. </w:t>
      </w:r>
    </w:p>
  </w:footnote>
  <w:footnote w:id="8">
    <w:p>
      <w:pPr>
        <w:pStyle w:val="FootnoteText"/>
        <w:rPr>
          <w:szCs w:val="24"/>
        </w:rPr>
      </w:pPr>
      <w:r>
        <w:rPr>
          <w:rStyle w:val="FootnoteReference"/>
        </w:rPr>
        <w:footnoteRef/>
      </w:r>
      <w:r>
        <w:tab/>
        <w:t>Candidate countries and, where applicable, potential candidates from the Western Balkans.</w:t>
      </w:r>
    </w:p>
  </w:footnote>
  <w:footnote w:id="9">
    <w:p>
      <w:pPr>
        <w:pStyle w:val="FootnoteText"/>
      </w:pPr>
      <w:r>
        <w:rPr>
          <w:rStyle w:val="FootnoteReference"/>
        </w:rPr>
        <w:footnoteRef/>
      </w:r>
      <w:r>
        <w:tab/>
        <w:t>Budget line 08.0301 as from budget year 2021</w:t>
      </w:r>
    </w:p>
  </w:footnote>
  <w:footnote w:id="10">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1">
    <w:p>
      <w:pPr>
        <w:pStyle w:val="FootnoteText"/>
        <w:rPr>
          <w:szCs w:val="24"/>
        </w:rPr>
      </w:pPr>
      <w:r>
        <w:rPr>
          <w:rStyle w:val="FootnoteReference"/>
        </w:rPr>
        <w:footnoteRef/>
      </w:r>
      <w:r>
        <w:tab/>
        <w:t xml:space="preserve">As described in point 1.4.2. ‘Specific objective(s)…’ </w:t>
      </w:r>
    </w:p>
  </w:footnote>
  <w:footnote w:id="12">
    <w:p>
      <w:pPr>
        <w:pStyle w:val="FootnoteText"/>
        <w:rPr>
          <w:sz w:val="18"/>
          <w:szCs w:val="18"/>
        </w:rPr>
      </w:pPr>
      <w:r>
        <w:rPr>
          <w:rStyle w:val="FootnoteReference"/>
        </w:rPr>
        <w:footnoteRef/>
      </w:r>
      <w:r>
        <w:tab/>
      </w:r>
      <w:r>
        <w:rPr>
          <w:sz w:val="18"/>
          <w:szCs w:val="18"/>
        </w:rPr>
        <w:t>Year N is the year in which implementation of the proposal/initiative starts. Please replace "N" by the expected first year of implementation (for instance: 2021). The same for the following years.</w:t>
      </w:r>
    </w:p>
  </w:footnote>
  <w:footnote w:id="13">
    <w:p>
      <w:pPr>
        <w:pStyle w:val="FootnoteText"/>
        <w:rPr>
          <w:szCs w:val="24"/>
        </w:rPr>
      </w:pPr>
      <w:r>
        <w:rPr>
          <w:rStyle w:val="FootnoteReference"/>
        </w:rPr>
        <w:footnoteRef/>
      </w:r>
      <w:r>
        <w:rPr>
          <w:sz w:val="18"/>
          <w:szCs w:val="18"/>
        </w:rPr>
        <w:tab/>
        <w:t>Technical and/or administrative assistance and expenditure in support of the implementation of EU programmes and/or actions (former ‘BA’ lines), indirect research, direct research.</w:t>
      </w:r>
    </w:p>
  </w:footnote>
  <w:footnote w:id="14">
    <w:p>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15">
    <w:p>
      <w:pPr>
        <w:pStyle w:val="FootnoteText"/>
        <w:rPr>
          <w:szCs w:val="24"/>
        </w:rPr>
      </w:pPr>
      <w:r>
        <w:rPr>
          <w:rStyle w:val="FootnoteReference"/>
        </w:rPr>
        <w:footnoteRef/>
      </w:r>
      <w:r>
        <w:tab/>
        <w:t>Sub-ceiling for external staff covered by operational appropriations (former ‘BA’ lines).</w:t>
      </w:r>
    </w:p>
  </w:footnote>
  <w:footnote w:id="16">
    <w:p>
      <w:pPr>
        <w:pStyle w:val="FootnoteText"/>
      </w:pPr>
      <w:r>
        <w:rPr>
          <w:rStyle w:val="FootnoteReference"/>
        </w:rPr>
        <w:footnoteRef/>
      </w:r>
      <w:r>
        <w:tab/>
        <w:t>Year N is the year in which implementation of the proposal/initiative starts. Please replace "N" by the expected first year of implementation (for instance: 2021). The same for the following years.</w:t>
      </w:r>
    </w:p>
  </w:footnote>
  <w:footnote w:id="17">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994E0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7EF0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93AAA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484C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4833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70E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C06B26"/>
    <w:lvl w:ilvl="0">
      <w:start w:val="1"/>
      <w:numFmt w:val="decimal"/>
      <w:pStyle w:val="ListNumber"/>
      <w:lvlText w:val="%1."/>
      <w:lvlJc w:val="left"/>
      <w:pPr>
        <w:tabs>
          <w:tab w:val="num" w:pos="360"/>
        </w:tabs>
        <w:ind w:left="360" w:hanging="360"/>
      </w:pPr>
    </w:lvl>
  </w:abstractNum>
  <w:abstractNum w:abstractNumId="7">
    <w:nsid w:val="FFFFFF89"/>
    <w:multiLevelType w:val="singleLevel"/>
    <w:tmpl w:val="27F659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5"/>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8"/>
  </w:num>
  <w:num w:numId="12">
    <w:abstractNumId w:val="17"/>
  </w:num>
  <w:num w:numId="13">
    <w:abstractNumId w:val="13"/>
  </w:num>
  <w:num w:numId="14">
    <w:abstractNumId w:val="23"/>
  </w:num>
  <w:num w:numId="15">
    <w:abstractNumId w:val="2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num>
  <w:num w:numId="18">
    <w:abstractNumId w:val="22"/>
  </w:num>
  <w:num w:numId="19">
    <w:abstractNumId w:val="14"/>
  </w:num>
  <w:num w:numId="20">
    <w:abstractNumId w:val="24"/>
  </w:num>
  <w:num w:numId="21">
    <w:abstractNumId w:val="12"/>
  </w:num>
  <w:num w:numId="22">
    <w:abstractNumId w:val="15"/>
  </w:num>
  <w:num w:numId="23">
    <w:abstractNumId w:val="10"/>
  </w:num>
  <w:num w:numId="24">
    <w:abstractNumId w:val="23"/>
  </w:num>
  <w:num w:numId="25">
    <w:abstractNumId w:val="9"/>
  </w:num>
  <w:num w:numId="26">
    <w:abstractNumId w:val="16"/>
  </w:num>
  <w:num w:numId="27">
    <w:abstractNumId w:val="20"/>
  </w:num>
  <w:num w:numId="28">
    <w:abstractNumId w:val="21"/>
  </w:num>
  <w:num w:numId="29">
    <w:abstractNumId w:val="11"/>
  </w:num>
  <w:num w:numId="30">
    <w:abstractNumId w:val="19"/>
  </w:num>
  <w:num w:numId="31">
    <w:abstractNumId w:val="25"/>
  </w:num>
  <w:num w:numId="32">
    <w:abstractNumId w:val="22"/>
  </w:num>
  <w:num w:numId="33">
    <w:abstractNumId w:val="14"/>
  </w:num>
  <w:num w:numId="34">
    <w:abstractNumId w:val="24"/>
  </w:num>
  <w:num w:numId="35">
    <w:abstractNumId w:val="12"/>
  </w:num>
  <w:num w:numId="36">
    <w:abstractNumId w:val="15"/>
  </w:num>
  <w:num w:numId="37">
    <w:abstractNumId w:val="10"/>
  </w:num>
  <w:num w:numId="38">
    <w:abstractNumId w:val="23"/>
  </w:num>
  <w:num w:numId="39">
    <w:abstractNumId w:val="9"/>
  </w:num>
  <w:num w:numId="40">
    <w:abstractNumId w:val="16"/>
  </w:num>
  <w:num w:numId="41">
    <w:abstractNumId w:val="20"/>
  </w:num>
  <w:num w:numId="42">
    <w:abstractNumId w:val="21"/>
  </w:num>
  <w:num w:numId="43">
    <w:abstractNumId w:val="11"/>
  </w:num>
  <w:num w:numId="44">
    <w:abstractNumId w:val="19"/>
  </w:num>
  <w:num w:numId="4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30 10:37: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11C6CFE5-293C-4E13-9638-90F382F09C77"/>
    <w:docVar w:name="LW_COVERPAGE_TYPE" w:val="1"/>
    <w:docVar w:name="LW_CROSSREFERENCE" w:val="&lt;UNUSED&gt;"/>
    <w:docVar w:name="LW_DocType" w:val="COM"/>
    <w:docVar w:name="LW_EMISSION" w:val="30.4.2020"/>
    <w:docVar w:name="LW_EMISSION_ISODATE" w:val="2020-04-3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75"/>
    <w:docVar w:name="LW_REF.II.NEW.CP_YEAR" w:val="2020"/>
    <w:docVar w:name="LW_REF.INST.NEW" w:val="COM"/>
    <w:docVar w:name="LW_REF.INST.NEW_ADOPTED" w:val="final"/>
    <w:docVar w:name="LW_REF.INST.NEW_TEXT" w:val="(2020) 1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1305/2013 as regards specific measures to provide exceptional temporary support under EAFRD in response to the COVID-19 outbreak"/>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3"/>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3"/>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9352">
      <w:bodyDiv w:val="1"/>
      <w:marLeft w:val="0"/>
      <w:marRight w:val="0"/>
      <w:marTop w:val="0"/>
      <w:marBottom w:val="0"/>
      <w:divBdr>
        <w:top w:val="none" w:sz="0" w:space="0" w:color="auto"/>
        <w:left w:val="none" w:sz="0" w:space="0" w:color="auto"/>
        <w:bottom w:val="none" w:sz="0" w:space="0" w:color="auto"/>
        <w:right w:val="none" w:sz="0" w:space="0" w:color="auto"/>
      </w:divBdr>
    </w:div>
    <w:div w:id="109515952">
      <w:bodyDiv w:val="1"/>
      <w:marLeft w:val="0"/>
      <w:marRight w:val="0"/>
      <w:marTop w:val="0"/>
      <w:marBottom w:val="0"/>
      <w:divBdr>
        <w:top w:val="none" w:sz="0" w:space="0" w:color="auto"/>
        <w:left w:val="none" w:sz="0" w:space="0" w:color="auto"/>
        <w:bottom w:val="none" w:sz="0" w:space="0" w:color="auto"/>
        <w:right w:val="none" w:sz="0" w:space="0" w:color="auto"/>
      </w:divBdr>
    </w:div>
    <w:div w:id="239412536">
      <w:bodyDiv w:val="1"/>
      <w:marLeft w:val="0"/>
      <w:marRight w:val="0"/>
      <w:marTop w:val="0"/>
      <w:marBottom w:val="0"/>
      <w:divBdr>
        <w:top w:val="none" w:sz="0" w:space="0" w:color="auto"/>
        <w:left w:val="none" w:sz="0" w:space="0" w:color="auto"/>
        <w:bottom w:val="none" w:sz="0" w:space="0" w:color="auto"/>
        <w:right w:val="none" w:sz="0" w:space="0" w:color="auto"/>
      </w:divBdr>
      <w:divsChild>
        <w:div w:id="48304366">
          <w:marLeft w:val="0"/>
          <w:marRight w:val="0"/>
          <w:marTop w:val="0"/>
          <w:marBottom w:val="0"/>
          <w:divBdr>
            <w:top w:val="none" w:sz="0" w:space="0" w:color="auto"/>
            <w:left w:val="none" w:sz="0" w:space="0" w:color="auto"/>
            <w:bottom w:val="none" w:sz="0" w:space="0" w:color="auto"/>
            <w:right w:val="none" w:sz="0" w:space="0" w:color="auto"/>
          </w:divBdr>
          <w:divsChild>
            <w:div w:id="517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3782">
      <w:bodyDiv w:val="1"/>
      <w:marLeft w:val="0"/>
      <w:marRight w:val="0"/>
      <w:marTop w:val="0"/>
      <w:marBottom w:val="0"/>
      <w:divBdr>
        <w:top w:val="none" w:sz="0" w:space="0" w:color="auto"/>
        <w:left w:val="none" w:sz="0" w:space="0" w:color="auto"/>
        <w:bottom w:val="none" w:sz="0" w:space="0" w:color="auto"/>
        <w:right w:val="none" w:sz="0" w:space="0" w:color="auto"/>
      </w:divBdr>
    </w:div>
    <w:div w:id="336541489">
      <w:bodyDiv w:val="1"/>
      <w:marLeft w:val="0"/>
      <w:marRight w:val="0"/>
      <w:marTop w:val="0"/>
      <w:marBottom w:val="0"/>
      <w:divBdr>
        <w:top w:val="none" w:sz="0" w:space="0" w:color="auto"/>
        <w:left w:val="none" w:sz="0" w:space="0" w:color="auto"/>
        <w:bottom w:val="none" w:sz="0" w:space="0" w:color="auto"/>
        <w:right w:val="none" w:sz="0" w:space="0" w:color="auto"/>
      </w:divBdr>
    </w:div>
    <w:div w:id="413014906">
      <w:bodyDiv w:val="1"/>
      <w:marLeft w:val="0"/>
      <w:marRight w:val="0"/>
      <w:marTop w:val="0"/>
      <w:marBottom w:val="0"/>
      <w:divBdr>
        <w:top w:val="none" w:sz="0" w:space="0" w:color="auto"/>
        <w:left w:val="none" w:sz="0" w:space="0" w:color="auto"/>
        <w:bottom w:val="none" w:sz="0" w:space="0" w:color="auto"/>
        <w:right w:val="none" w:sz="0" w:space="0" w:color="auto"/>
      </w:divBdr>
    </w:div>
    <w:div w:id="759641325">
      <w:bodyDiv w:val="1"/>
      <w:marLeft w:val="0"/>
      <w:marRight w:val="0"/>
      <w:marTop w:val="0"/>
      <w:marBottom w:val="0"/>
      <w:divBdr>
        <w:top w:val="none" w:sz="0" w:space="0" w:color="auto"/>
        <w:left w:val="none" w:sz="0" w:space="0" w:color="auto"/>
        <w:bottom w:val="none" w:sz="0" w:space="0" w:color="auto"/>
        <w:right w:val="none" w:sz="0" w:space="0" w:color="auto"/>
      </w:divBdr>
    </w:div>
    <w:div w:id="792333122">
      <w:bodyDiv w:val="1"/>
      <w:marLeft w:val="0"/>
      <w:marRight w:val="0"/>
      <w:marTop w:val="0"/>
      <w:marBottom w:val="0"/>
      <w:divBdr>
        <w:top w:val="none" w:sz="0" w:space="0" w:color="auto"/>
        <w:left w:val="none" w:sz="0" w:space="0" w:color="auto"/>
        <w:bottom w:val="none" w:sz="0" w:space="0" w:color="auto"/>
        <w:right w:val="none" w:sz="0" w:space="0" w:color="auto"/>
      </w:divBdr>
    </w:div>
    <w:div w:id="840584757">
      <w:bodyDiv w:val="1"/>
      <w:marLeft w:val="0"/>
      <w:marRight w:val="0"/>
      <w:marTop w:val="0"/>
      <w:marBottom w:val="0"/>
      <w:divBdr>
        <w:top w:val="none" w:sz="0" w:space="0" w:color="auto"/>
        <w:left w:val="none" w:sz="0" w:space="0" w:color="auto"/>
        <w:bottom w:val="none" w:sz="0" w:space="0" w:color="auto"/>
        <w:right w:val="none" w:sz="0" w:space="0" w:color="auto"/>
      </w:divBdr>
    </w:div>
    <w:div w:id="1020399835">
      <w:bodyDiv w:val="1"/>
      <w:marLeft w:val="0"/>
      <w:marRight w:val="0"/>
      <w:marTop w:val="0"/>
      <w:marBottom w:val="0"/>
      <w:divBdr>
        <w:top w:val="none" w:sz="0" w:space="0" w:color="auto"/>
        <w:left w:val="none" w:sz="0" w:space="0" w:color="auto"/>
        <w:bottom w:val="none" w:sz="0" w:space="0" w:color="auto"/>
        <w:right w:val="none" w:sz="0" w:space="0" w:color="auto"/>
      </w:divBdr>
    </w:div>
    <w:div w:id="1036199854">
      <w:bodyDiv w:val="1"/>
      <w:marLeft w:val="0"/>
      <w:marRight w:val="0"/>
      <w:marTop w:val="0"/>
      <w:marBottom w:val="0"/>
      <w:divBdr>
        <w:top w:val="none" w:sz="0" w:space="0" w:color="auto"/>
        <w:left w:val="none" w:sz="0" w:space="0" w:color="auto"/>
        <w:bottom w:val="none" w:sz="0" w:space="0" w:color="auto"/>
        <w:right w:val="none" w:sz="0" w:space="0" w:color="auto"/>
      </w:divBdr>
    </w:div>
    <w:div w:id="1058164167">
      <w:bodyDiv w:val="1"/>
      <w:marLeft w:val="0"/>
      <w:marRight w:val="0"/>
      <w:marTop w:val="0"/>
      <w:marBottom w:val="0"/>
      <w:divBdr>
        <w:top w:val="none" w:sz="0" w:space="0" w:color="auto"/>
        <w:left w:val="none" w:sz="0" w:space="0" w:color="auto"/>
        <w:bottom w:val="none" w:sz="0" w:space="0" w:color="auto"/>
        <w:right w:val="none" w:sz="0" w:space="0" w:color="auto"/>
      </w:divBdr>
    </w:div>
    <w:div w:id="1251161004">
      <w:bodyDiv w:val="1"/>
      <w:marLeft w:val="0"/>
      <w:marRight w:val="0"/>
      <w:marTop w:val="0"/>
      <w:marBottom w:val="0"/>
      <w:divBdr>
        <w:top w:val="none" w:sz="0" w:space="0" w:color="auto"/>
        <w:left w:val="none" w:sz="0" w:space="0" w:color="auto"/>
        <w:bottom w:val="none" w:sz="0" w:space="0" w:color="auto"/>
        <w:right w:val="none" w:sz="0" w:space="0" w:color="auto"/>
      </w:divBdr>
    </w:div>
    <w:div w:id="1256859194">
      <w:bodyDiv w:val="1"/>
      <w:marLeft w:val="0"/>
      <w:marRight w:val="0"/>
      <w:marTop w:val="0"/>
      <w:marBottom w:val="0"/>
      <w:divBdr>
        <w:top w:val="none" w:sz="0" w:space="0" w:color="auto"/>
        <w:left w:val="none" w:sz="0" w:space="0" w:color="auto"/>
        <w:bottom w:val="none" w:sz="0" w:space="0" w:color="auto"/>
        <w:right w:val="none" w:sz="0" w:space="0" w:color="auto"/>
      </w:divBdr>
    </w:div>
    <w:div w:id="1294874134">
      <w:bodyDiv w:val="1"/>
      <w:marLeft w:val="0"/>
      <w:marRight w:val="0"/>
      <w:marTop w:val="0"/>
      <w:marBottom w:val="0"/>
      <w:divBdr>
        <w:top w:val="none" w:sz="0" w:space="0" w:color="auto"/>
        <w:left w:val="none" w:sz="0" w:space="0" w:color="auto"/>
        <w:bottom w:val="none" w:sz="0" w:space="0" w:color="auto"/>
        <w:right w:val="none" w:sz="0" w:space="0" w:color="auto"/>
      </w:divBdr>
    </w:div>
    <w:div w:id="1403678544">
      <w:bodyDiv w:val="1"/>
      <w:marLeft w:val="0"/>
      <w:marRight w:val="0"/>
      <w:marTop w:val="0"/>
      <w:marBottom w:val="0"/>
      <w:divBdr>
        <w:top w:val="none" w:sz="0" w:space="0" w:color="auto"/>
        <w:left w:val="none" w:sz="0" w:space="0" w:color="auto"/>
        <w:bottom w:val="none" w:sz="0" w:space="0" w:color="auto"/>
        <w:right w:val="none" w:sz="0" w:space="0" w:color="auto"/>
      </w:divBdr>
    </w:div>
    <w:div w:id="1948852339">
      <w:bodyDiv w:val="1"/>
      <w:marLeft w:val="0"/>
      <w:marRight w:val="0"/>
      <w:marTop w:val="0"/>
      <w:marBottom w:val="0"/>
      <w:divBdr>
        <w:top w:val="none" w:sz="0" w:space="0" w:color="auto"/>
        <w:left w:val="none" w:sz="0" w:space="0" w:color="auto"/>
        <w:bottom w:val="none" w:sz="0" w:space="0" w:color="auto"/>
        <w:right w:val="none" w:sz="0" w:space="0" w:color="auto"/>
      </w:divBdr>
    </w:div>
    <w:div w:id="1983999061">
      <w:bodyDiv w:val="1"/>
      <w:marLeft w:val="0"/>
      <w:marRight w:val="0"/>
      <w:marTop w:val="0"/>
      <w:marBottom w:val="0"/>
      <w:divBdr>
        <w:top w:val="none" w:sz="0" w:space="0" w:color="auto"/>
        <w:left w:val="none" w:sz="0" w:space="0" w:color="auto"/>
        <w:bottom w:val="none" w:sz="0" w:space="0" w:color="auto"/>
        <w:right w:val="none" w:sz="0" w:space="0" w:color="auto"/>
      </w:divBdr>
    </w:div>
    <w:div w:id="2069644947">
      <w:bodyDiv w:val="1"/>
      <w:marLeft w:val="0"/>
      <w:marRight w:val="0"/>
      <w:marTop w:val="0"/>
      <w:marBottom w:val="0"/>
      <w:divBdr>
        <w:top w:val="none" w:sz="0" w:space="0" w:color="auto"/>
        <w:left w:val="none" w:sz="0" w:space="0" w:color="auto"/>
        <w:bottom w:val="none" w:sz="0" w:space="0" w:color="auto"/>
        <w:right w:val="none" w:sz="0" w:space="0" w:color="auto"/>
      </w:divBdr>
    </w:div>
    <w:div w:id="2147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budgweb/EN/leg/internal/Documents/2016-5-legislative-financial-statement-ann-en.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2e97ea9-7ea3-481f-81a3-2d45a5a9b393">Not Started</EC_Collab_Status>
    <EC_Collab_DocumentLanguage xmlns="62e97ea9-7ea3-481f-81a3-2d45a5a9b393">EN</EC_Collab_DocumentLanguage>
    <EC_Collab_Reference xmlns="62e97ea9-7ea3-481f-81a3-2d45a5a9b3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934AA0B36B1384886ADB3E40549A2B0" ma:contentTypeVersion="0" ma:contentTypeDescription="Create a new document in this library." ma:contentTypeScope="" ma:versionID="2ccea2f6a9419b2cc6372d603c4d829b">
  <xsd:schema xmlns:xsd="http://www.w3.org/2001/XMLSchema" xmlns:xs="http://www.w3.org/2001/XMLSchema" xmlns:p="http://schemas.microsoft.com/office/2006/metadata/properties" xmlns:ns2="http://schemas.microsoft.com/sharepoint/v3/fields" xmlns:ns3="62e97ea9-7ea3-481f-81a3-2d45a5a9b393" targetNamespace="http://schemas.microsoft.com/office/2006/metadata/properties" ma:root="true" ma:fieldsID="e99a88584d72bb20f25083a2210d0d03" ns2:_="" ns3:_="">
    <xsd:import namespace="http://schemas.microsoft.com/sharepoint/v3/fields"/>
    <xsd:import namespace="62e97ea9-7ea3-481f-81a3-2d45a5a9b39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2e97ea9-7ea3-481f-81a3-2d45a5a9b39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716F78-C311-4872-8C4A-C603A696F179}">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62e97ea9-7ea3-481f-81a3-2d45a5a9b393"/>
    <ds:schemaRef ds:uri="http://schemas.microsoft.com/sharepoint/v3/field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E3FE85-EE68-4FCA-AD13-79181A2C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2e97ea9-7ea3-481f-81a3-2d45a5a9b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58C45-29C4-4014-94DF-4206643B6015}">
  <ds:schemaRefs>
    <ds:schemaRef ds:uri="http://schemas.microsoft.com/sharepoint/v3/contenttype/forms"/>
  </ds:schemaRefs>
</ds:datastoreItem>
</file>

<file path=customXml/itemProps4.xml><?xml version="1.0" encoding="utf-8"?>
<ds:datastoreItem xmlns:ds="http://schemas.openxmlformats.org/officeDocument/2006/customXml" ds:itemID="{764E3510-2CE1-4F6F-A1DA-86E5E410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20</Pages>
  <Words>4124</Words>
  <Characters>23099</Characters>
  <Application>Microsoft Office Word</Application>
  <DocSecurity>0</DocSecurity>
  <Lines>1283</Lines>
  <Paragraphs>533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2020-04-29T15:34:00Z</dcterms:created>
  <dcterms:modified xsi:type="dcterms:W3CDTF">2020-04-30T08:37:00Z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0x010100258AA79CEB83498886A3A08681123250009934AA0B36B1384886ADB3E40549A2B0</vt:lpwstr>
  </property>
  <property fmtid="{D5CDD505-2E9C-101B-9397-08002B2CF9AE}" pid="11" name="DQCStatus">
    <vt:lpwstr>Green (DQC version 03)</vt:lpwstr>
  </property>
</Properties>
</file>