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36D42490-4C97-4495-8229-D2CE43691F72" style="width:450.45pt;height:433.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spacing w:before="0" w:after="240"/>
        <w:rPr>
          <w:noProof/>
        </w:rPr>
      </w:pPr>
      <w:bookmarkStart w:id="1" w:name="_GoBack"/>
      <w:bookmarkEnd w:id="1"/>
      <w:r>
        <w:rPr>
          <w:noProof/>
        </w:rPr>
        <w:lastRenderedPageBreak/>
        <w:t xml:space="preserve">ANNEX </w:t>
      </w:r>
    </w:p>
    <w:p>
      <w:pPr>
        <w:spacing w:after="480"/>
        <w:jc w:val="center"/>
        <w:rPr>
          <w:rFonts w:eastAsia="Times New Roman"/>
          <w:i/>
          <w:noProof/>
          <w:lang w:eastAsia="en-GB"/>
        </w:rPr>
      </w:pPr>
      <w:r>
        <w:rPr>
          <w:rFonts w:eastAsia="Times New Roman"/>
          <w:i/>
          <w:noProof/>
          <w:lang w:eastAsia="en-GB"/>
        </w:rPr>
        <w:t>The measures presented in this action plan are or will be taken forward in line with the better regulation principles, including evaluations and impact assessments as appropriate</w:t>
      </w:r>
    </w:p>
    <w:tbl>
      <w:tblPr>
        <w:tblStyle w:val="TableGrid"/>
        <w:tblW w:w="9639" w:type="dxa"/>
        <w:tblInd w:w="-459" w:type="dxa"/>
        <w:tblLook w:val="04A0" w:firstRow="1" w:lastRow="0" w:firstColumn="1" w:lastColumn="0" w:noHBand="0" w:noVBand="1"/>
      </w:tblPr>
      <w:tblGrid>
        <w:gridCol w:w="7067"/>
        <w:gridCol w:w="2572"/>
      </w:tblGrid>
      <w:tr>
        <w:tc>
          <w:tcPr>
            <w:tcW w:w="7067" w:type="dxa"/>
          </w:tcPr>
          <w:p>
            <w:pPr>
              <w:spacing w:before="120" w:after="120"/>
              <w:jc w:val="both"/>
              <w:rPr>
                <w:rFonts w:ascii="Times New Roman" w:eastAsia="Times New Roman" w:hAnsi="Times New Roman" w:cs="Times New Roman"/>
                <w:b/>
                <w:noProof/>
                <w:lang w:eastAsia="en-IE"/>
              </w:rPr>
            </w:pPr>
            <w:r>
              <w:rPr>
                <w:rFonts w:ascii="Times New Roman" w:hAnsi="Times New Roman" w:cs="Times New Roman"/>
                <w:b/>
                <w:noProof/>
              </w:rPr>
              <w:t>Key actions to be taken by the Commission</w:t>
            </w:r>
          </w:p>
        </w:tc>
        <w:tc>
          <w:tcPr>
            <w:tcW w:w="2572" w:type="dxa"/>
          </w:tcPr>
          <w:p>
            <w:pPr>
              <w:spacing w:before="120" w:after="120"/>
              <w:jc w:val="both"/>
              <w:rPr>
                <w:rFonts w:ascii="Times New Roman" w:eastAsia="Times New Roman" w:hAnsi="Times New Roman" w:cs="Times New Roman"/>
                <w:b/>
                <w:noProof/>
                <w:lang w:eastAsia="en-IE"/>
              </w:rPr>
            </w:pPr>
            <w:r>
              <w:rPr>
                <w:rFonts w:ascii="Times New Roman" w:hAnsi="Times New Roman" w:cs="Times New Roman"/>
                <w:b/>
                <w:noProof/>
              </w:rPr>
              <w:t>Indicative timetable</w:t>
            </w:r>
          </w:p>
        </w:tc>
      </w:tr>
      <w:tr>
        <w:tc>
          <w:tcPr>
            <w:tcW w:w="9639" w:type="dxa"/>
            <w:gridSpan w:val="2"/>
            <w:shd w:val="clear" w:color="auto" w:fill="D9D9D9" w:themeFill="background1" w:themeFillShade="D9"/>
          </w:tcPr>
          <w:p>
            <w:pPr>
              <w:spacing w:before="120" w:after="120"/>
              <w:jc w:val="both"/>
              <w:rPr>
                <w:rFonts w:ascii="Times New Roman" w:hAnsi="Times New Roman" w:cs="Times New Roman"/>
                <w:b/>
                <w:noProof/>
              </w:rPr>
            </w:pPr>
            <w:r>
              <w:rPr>
                <w:rFonts w:ascii="Times New Roman" w:hAnsi="Times New Roman" w:cs="Times New Roman"/>
                <w:b/>
                <w:noProof/>
              </w:rPr>
              <w:t>A COHERENT NETWORK OF PROTECTED AREAS</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Criteria and guidance for identifying and designating additional protected areas and ecological corridors, on appropriate management planning, and on how other effective area-based conservation measures and urban greening can contribute to the EU 2030 nature protection targets</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2020</w:t>
            </w:r>
          </w:p>
        </w:tc>
      </w:tr>
      <w:tr>
        <w:tc>
          <w:tcPr>
            <w:tcW w:w="7067" w:type="dxa"/>
            <w:shd w:val="clear" w:color="auto" w:fill="auto"/>
          </w:tcPr>
          <w:p>
            <w:pPr>
              <w:spacing w:before="120" w:after="120"/>
              <w:jc w:val="both"/>
              <w:rPr>
                <w:rFonts w:ascii="Times New Roman" w:hAnsi="Times New Roman" w:cs="Times New Roman"/>
                <w:noProof/>
                <w:lang w:val="en-IE"/>
              </w:rPr>
            </w:pPr>
            <w:r>
              <w:rPr>
                <w:rFonts w:ascii="Times New Roman" w:hAnsi="Times New Roman" w:cs="Times New Roman"/>
                <w:noProof/>
                <w:lang w:val="en-IE"/>
              </w:rPr>
              <w:t xml:space="preserve">Assessment of the EU’s progress in meeting its 2030 targets on protected areas and whether additional action, legislative or other, is needed </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by 2024</w:t>
            </w:r>
          </w:p>
        </w:tc>
      </w:tr>
      <w:tr>
        <w:tc>
          <w:tcPr>
            <w:tcW w:w="9639" w:type="dxa"/>
            <w:gridSpan w:val="2"/>
            <w:shd w:val="clear" w:color="auto" w:fill="D9D9D9" w:themeFill="background1" w:themeFillShade="D9"/>
          </w:tcPr>
          <w:p>
            <w:pPr>
              <w:spacing w:before="120" w:after="120"/>
              <w:jc w:val="both"/>
              <w:rPr>
                <w:rFonts w:ascii="Times New Roman" w:hAnsi="Times New Roman" w:cs="Times New Roman"/>
                <w:b/>
                <w:noProof/>
                <w:lang w:val="fr-FR"/>
              </w:rPr>
            </w:pPr>
            <w:r>
              <w:rPr>
                <w:rFonts w:ascii="Times New Roman" w:hAnsi="Times New Roman" w:cs="Times New Roman"/>
                <w:b/>
                <w:noProof/>
                <w:lang w:val="fr-FR"/>
              </w:rPr>
              <w:t>AN EU NATURE RESTORATION PLAN</w:t>
            </w:r>
          </w:p>
        </w:tc>
      </w:tr>
      <w:tr>
        <w:tc>
          <w:tcPr>
            <w:tcW w:w="7067" w:type="dxa"/>
          </w:tcPr>
          <w:p>
            <w:pPr>
              <w:spacing w:before="120" w:after="120"/>
              <w:jc w:val="both"/>
              <w:rPr>
                <w:rFonts w:ascii="Times New Roman" w:eastAsia="Times New Roman" w:hAnsi="Times New Roman" w:cs="Times New Roman"/>
                <w:noProof/>
                <w:lang w:eastAsia="en-IE"/>
              </w:rPr>
            </w:pPr>
            <w:r>
              <w:rPr>
                <w:rFonts w:ascii="Times New Roman" w:hAnsi="Times New Roman" w:cs="Times New Roman"/>
                <w:noProof/>
              </w:rPr>
              <w:t>Proposal for EU nature restoration targets</w:t>
            </w:r>
          </w:p>
        </w:tc>
        <w:tc>
          <w:tcPr>
            <w:tcW w:w="2572" w:type="dxa"/>
          </w:tcPr>
          <w:p>
            <w:pPr>
              <w:spacing w:before="120" w:after="120"/>
              <w:jc w:val="both"/>
              <w:rPr>
                <w:rFonts w:ascii="Times New Roman" w:eastAsia="Times New Roman" w:hAnsi="Times New Roman" w:cs="Times New Roman"/>
                <w:noProof/>
                <w:lang w:eastAsia="en-IE"/>
              </w:rPr>
            </w:pPr>
            <w:r>
              <w:rPr>
                <w:rFonts w:ascii="Times New Roman" w:hAnsi="Times New Roman" w:cs="Times New Roman"/>
                <w:noProof/>
              </w:rPr>
              <w:t>2021</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Guidance on the selection of species and habitats to ensure that at least 30% of protected species and habitats not currently in favourable status are in that category by 2030, or show a strong positive trend</w:t>
            </w:r>
          </w:p>
        </w:tc>
        <w:tc>
          <w:tcPr>
            <w:tcW w:w="2572" w:type="dxa"/>
          </w:tcPr>
          <w:p>
            <w:pPr>
              <w:spacing w:before="120" w:after="120"/>
              <w:jc w:val="both"/>
              <w:rPr>
                <w:rFonts w:ascii="Times New Roman" w:eastAsia="Times New Roman" w:hAnsi="Times New Roman" w:cs="Times New Roman"/>
                <w:noProof/>
                <w:lang w:eastAsia="en-IE"/>
              </w:rPr>
            </w:pPr>
            <w:r>
              <w:rPr>
                <w:rFonts w:ascii="Times New Roman" w:eastAsia="Times New Roman" w:hAnsi="Times New Roman" w:cs="Times New Roman"/>
                <w:noProof/>
                <w:lang w:eastAsia="en-IE"/>
              </w:rPr>
              <w:t>2020</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Revision of the Sustainable Use of Pesticides Directive and enhance Integrated Pest Management provisionso</w:t>
            </w:r>
          </w:p>
        </w:tc>
        <w:tc>
          <w:tcPr>
            <w:tcW w:w="2572" w:type="dxa"/>
          </w:tcPr>
          <w:p>
            <w:pPr>
              <w:spacing w:before="120" w:after="120"/>
              <w:jc w:val="both"/>
              <w:rPr>
                <w:rFonts w:ascii="Times New Roman" w:eastAsia="Times New Roman" w:hAnsi="Times New Roman" w:cs="Times New Roman"/>
                <w:noProof/>
                <w:lang w:eastAsia="en-IE"/>
              </w:rPr>
            </w:pPr>
            <w:r>
              <w:rPr>
                <w:rFonts w:ascii="Times New Roman" w:eastAsia="Times New Roman" w:hAnsi="Times New Roman" w:cs="Times New Roman"/>
                <w:noProof/>
                <w:lang w:eastAsia="en-IE"/>
              </w:rPr>
              <w:t>2022</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Review and possible revision of the EU Pollinators initiative</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2020</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 xml:space="preserve">Measures to ensure that Member States’ CAP Strategic Plans set explicit national values for relevant targets of the Biodiversity and Farm to Fork Strategies, supported, inter alia, by CAP instruments and implementation of the Habitats Directive </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as of 2020</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 xml:space="preserve">Action Plan for Organic Farming for 2021-2026 </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2020</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Revision of the Thematic Strategy for Soil Protection</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2021</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New EU Forest Strategy including a roadmap for planting at least 3 billion additional trees in the EU by 2030</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2021</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Further develop the Forest Information System for Europe</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as of 2020</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szCs w:val="24"/>
              </w:rPr>
              <w:t>Guidelines on biodiversity-friendly afforestation and reforestation and closer-to-nature-forestry practices</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2021</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Assessment of the EU and global biomass supply and demand and related sustainability</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ongoing</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 xml:space="preserve">Study </w:t>
            </w:r>
            <w:r>
              <w:rPr>
                <w:rFonts w:ascii="Times New Roman" w:hAnsi="Times New Roman" w:cs="Times New Roman"/>
                <w:noProof/>
                <w:color w:val="000000"/>
              </w:rPr>
              <w:t>on the sustainability of the use of forest biomass for energy production</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2020</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lang w:val="en-IE"/>
              </w:rPr>
              <w:t>Operational guidance on the new sustainability criteria on forest biomass for energy</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lang w:val="en-IE"/>
              </w:rPr>
              <w:t>2021</w:t>
            </w:r>
          </w:p>
        </w:tc>
      </w:tr>
      <w:tr>
        <w:tc>
          <w:tcPr>
            <w:tcW w:w="7067" w:type="dxa"/>
          </w:tcPr>
          <w:p>
            <w:pPr>
              <w:spacing w:before="120" w:after="120"/>
              <w:jc w:val="both"/>
              <w:rPr>
                <w:rFonts w:ascii="Times New Roman" w:hAnsi="Times New Roman" w:cs="Times New Roman"/>
                <w:noProof/>
                <w:lang w:val="en-IE"/>
              </w:rPr>
            </w:pPr>
            <w:r>
              <w:rPr>
                <w:rFonts w:ascii="Times New Roman" w:hAnsi="Times New Roman" w:cs="Times New Roman"/>
                <w:noProof/>
              </w:rPr>
              <w:t xml:space="preserve">Review of the data on biofuels with high indirect land-use change risk and </w:t>
            </w:r>
            <w:r>
              <w:rPr>
                <w:rFonts w:ascii="Times New Roman" w:hAnsi="Times New Roman" w:cs="Times New Roman"/>
                <w:noProof/>
                <w:color w:val="000000"/>
              </w:rPr>
              <w:t>setting up of a trajectory for their gradual phase out by 2030</w:t>
            </w:r>
          </w:p>
        </w:tc>
        <w:tc>
          <w:tcPr>
            <w:tcW w:w="2572" w:type="dxa"/>
          </w:tcPr>
          <w:p>
            <w:pPr>
              <w:spacing w:before="120" w:after="120"/>
              <w:jc w:val="both"/>
              <w:rPr>
                <w:rFonts w:ascii="Times New Roman" w:hAnsi="Times New Roman" w:cs="Times New Roman"/>
                <w:noProof/>
                <w:lang w:val="en-IE"/>
              </w:rPr>
            </w:pPr>
            <w:r>
              <w:rPr>
                <w:rFonts w:ascii="Times New Roman" w:hAnsi="Times New Roman" w:cs="Times New Roman"/>
                <w:noProof/>
                <w:lang w:val="en-IE"/>
              </w:rPr>
              <w:t>2021</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 xml:space="preserve">New action plan to conserve fisheries resources and protect marine ecosystems </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2021</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Guidance and support to Member States to identify sites and help mobilise funding for the restoration of 25,000 km of free-flowing rivers</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2021</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szCs w:val="24"/>
              </w:rPr>
              <w:t>Technical guidance to  Member States on their measures to review water abstraction and impoundment permits and to restore ecological flows in the revised River Basin Management Plans</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szCs w:val="24"/>
              </w:rPr>
              <w:t>2023</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 xml:space="preserve">Set up the EU Urban Greening Platform under </w:t>
            </w:r>
            <w:r>
              <w:rPr>
                <w:rFonts w:ascii="Times New Roman" w:hAnsi="Times New Roman" w:cs="Times New Roman"/>
                <w:bCs/>
                <w:noProof/>
              </w:rPr>
              <w:t xml:space="preserve">a </w:t>
            </w:r>
            <w:r>
              <w:rPr>
                <w:rFonts w:ascii="Times New Roman" w:hAnsi="Times New Roman" w:cs="Times New Roman"/>
                <w:noProof/>
              </w:rPr>
              <w:t>new ‘Green City Accord’ with cities and mayors</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2021</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Technical guidance on urban greening and assistance to mobilise funding and capacity building for Member States, local and regional authorities, including for the development of Urban Greening Plans</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2021</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Integrated Nutrient Management Action Plan</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2022</w:t>
            </w:r>
          </w:p>
        </w:tc>
      </w:tr>
      <w:tr>
        <w:tc>
          <w:tcPr>
            <w:tcW w:w="9639" w:type="dxa"/>
            <w:gridSpan w:val="2"/>
            <w:shd w:val="clear" w:color="auto" w:fill="D9D9D9" w:themeFill="background1" w:themeFillShade="D9"/>
          </w:tcPr>
          <w:p>
            <w:pPr>
              <w:spacing w:before="120" w:after="120"/>
              <w:jc w:val="both"/>
              <w:rPr>
                <w:rFonts w:ascii="Times New Roman" w:hAnsi="Times New Roman" w:cs="Times New Roman"/>
                <w:b/>
                <w:noProof/>
              </w:rPr>
            </w:pPr>
            <w:r>
              <w:rPr>
                <w:rFonts w:ascii="Times New Roman" w:hAnsi="Times New Roman" w:cs="Times New Roman"/>
                <w:b/>
                <w:noProof/>
              </w:rPr>
              <w:t>ENABLING TRANSFORMATIVE CHANGE</w:t>
            </w:r>
          </w:p>
        </w:tc>
      </w:tr>
      <w:tr>
        <w:trPr>
          <w:trHeight w:val="753"/>
        </w:trPr>
        <w:tc>
          <w:tcPr>
            <w:tcW w:w="7067" w:type="dxa"/>
          </w:tcPr>
          <w:p>
            <w:pPr>
              <w:spacing w:before="120" w:after="120"/>
              <w:rPr>
                <w:rFonts w:ascii="Times New Roman" w:hAnsi="Times New Roman" w:cs="Times New Roman"/>
                <w:bCs/>
                <w:noProof/>
              </w:rPr>
            </w:pPr>
            <w:r>
              <w:rPr>
                <w:rFonts w:ascii="Times New Roman" w:hAnsi="Times New Roman" w:cs="Times New Roman"/>
                <w:bCs/>
                <w:noProof/>
              </w:rPr>
              <w:t xml:space="preserve">Assessment of the effectiveness of the new cooperation-based biodiversity governance framework, and of need for an enhanced, legally-binding or other, approach to biodiversity governance </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2023</w:t>
            </w:r>
          </w:p>
        </w:tc>
      </w:tr>
      <w:tr>
        <w:tc>
          <w:tcPr>
            <w:tcW w:w="7067" w:type="dxa"/>
            <w:shd w:val="clear" w:color="auto" w:fill="auto"/>
          </w:tcPr>
          <w:p>
            <w:pPr>
              <w:spacing w:before="120" w:after="120"/>
              <w:jc w:val="both"/>
              <w:rPr>
                <w:rFonts w:ascii="Times New Roman" w:hAnsi="Times New Roman" w:cs="Times New Roman"/>
                <w:bCs/>
                <w:noProof/>
              </w:rPr>
            </w:pPr>
            <w:r>
              <w:rPr>
                <w:rFonts w:ascii="Times New Roman" w:hAnsi="Times New Roman" w:cs="Times New Roman"/>
                <w:bCs/>
                <w:noProof/>
              </w:rPr>
              <w:t>Review and possible revision of the Environmental Crime Directive</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2021</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 xml:space="preserve">New sustainable corporate governance initiative adressing </w:t>
            </w:r>
            <w:r>
              <w:rPr>
                <w:rFonts w:ascii="Times New Roman" w:hAnsi="Times New Roman" w:cs="Times New Roman"/>
                <w:bCs/>
                <w:noProof/>
                <w:color w:val="333333"/>
              </w:rPr>
              <w:t xml:space="preserve">human rights, and environmental </w:t>
            </w:r>
            <w:r>
              <w:rPr>
                <w:rFonts w:ascii="Times New Roman" w:hAnsi="Times New Roman" w:cs="Times New Roman"/>
                <w:noProof/>
              </w:rPr>
              <w:t>duty of care and mandatory</w:t>
            </w:r>
            <w:r>
              <w:rPr>
                <w:rFonts w:ascii="Times New Roman" w:hAnsi="Times New Roman" w:cs="Times New Roman"/>
                <w:i/>
                <w:iCs/>
                <w:noProof/>
              </w:rPr>
              <w:t> </w:t>
            </w:r>
            <w:r>
              <w:rPr>
                <w:rFonts w:ascii="Times New Roman" w:hAnsi="Times New Roman" w:cs="Times New Roman"/>
                <w:noProof/>
              </w:rPr>
              <w:t>due diligence across economic value chains</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2021</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 xml:space="preserve">Help to build an EU Business for Biodiversity movement </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as of 2020</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bCs/>
                <w:noProof/>
                <w:lang w:val="en-IE"/>
              </w:rPr>
              <w:t>Renewed Sustainable Finance Strategy</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2020</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Delegated act under the Taxonomy Regulation to establish a common classification of economic activities that substantially contribute to the protection and restoration of biodiversity and ecosystems</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2021</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szCs w:val="24"/>
                <w:lang w:val="en-IE"/>
              </w:rPr>
              <w:t>Methods, criteria and standards to better integrate biodiversity considerations into public and business decision-making at all levels, and to measure the environmental footprint of products and organisations</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2021</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lang w:val="en-IE"/>
              </w:rPr>
              <w:t>Promote an international natural capital accounting initiative</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2021</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Establish a new Knowledge Centre for Biodiversity</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2020</w:t>
            </w:r>
          </w:p>
        </w:tc>
      </w:tr>
      <w:tr>
        <w:tc>
          <w:tcPr>
            <w:tcW w:w="7067" w:type="dxa"/>
            <w:shd w:val="clear" w:color="auto" w:fill="auto"/>
          </w:tcPr>
          <w:p>
            <w:pPr>
              <w:spacing w:before="120" w:after="120"/>
              <w:jc w:val="both"/>
              <w:rPr>
                <w:rFonts w:ascii="Times New Roman" w:hAnsi="Times New Roman" w:cs="Times New Roman"/>
                <w:noProof/>
              </w:rPr>
            </w:pPr>
            <w:r>
              <w:rPr>
                <w:rFonts w:ascii="Times New Roman" w:hAnsi="Times New Roman" w:cs="Times New Roman"/>
                <w:noProof/>
              </w:rPr>
              <w:t>Proposal for a Council Recommendation on encouraging cooperation in education for environmental sustainability, including biodiversity education</w:t>
            </w:r>
          </w:p>
        </w:tc>
        <w:tc>
          <w:tcPr>
            <w:tcW w:w="2572" w:type="dxa"/>
            <w:shd w:val="clear" w:color="auto" w:fill="auto"/>
          </w:tcPr>
          <w:p>
            <w:pPr>
              <w:spacing w:before="120" w:after="120"/>
              <w:jc w:val="both"/>
              <w:rPr>
                <w:rFonts w:ascii="Times New Roman" w:hAnsi="Times New Roman" w:cs="Times New Roman"/>
                <w:noProof/>
              </w:rPr>
            </w:pPr>
            <w:r>
              <w:rPr>
                <w:rFonts w:ascii="Times New Roman" w:hAnsi="Times New Roman" w:cs="Times New Roman"/>
                <w:noProof/>
              </w:rPr>
              <w:t>2021</w:t>
            </w:r>
          </w:p>
        </w:tc>
      </w:tr>
      <w:tr>
        <w:tc>
          <w:tcPr>
            <w:tcW w:w="9639" w:type="dxa"/>
            <w:gridSpan w:val="2"/>
            <w:shd w:val="clear" w:color="auto" w:fill="D9D9D9" w:themeFill="background1" w:themeFillShade="D9"/>
          </w:tcPr>
          <w:p>
            <w:pPr>
              <w:spacing w:before="120" w:after="120"/>
              <w:rPr>
                <w:rFonts w:ascii="Times New Roman" w:eastAsia="Times New Roman" w:hAnsi="Times New Roman" w:cs="Times New Roman"/>
                <w:b/>
                <w:noProof/>
                <w:color w:val="000000" w:themeColor="text1"/>
                <w:lang w:eastAsia="en-IE"/>
              </w:rPr>
            </w:pPr>
            <w:r>
              <w:rPr>
                <w:rFonts w:ascii="Times New Roman" w:eastAsia="Times New Roman" w:hAnsi="Times New Roman" w:cs="Times New Roman"/>
                <w:b/>
                <w:noProof/>
                <w:color w:val="000000" w:themeColor="text1"/>
                <w:lang w:eastAsia="en-IE"/>
              </w:rPr>
              <w:t>THE EUROPEAN UNION FOR AN AMBITIOUS GLOBAL BIODIVERSITY AGENDA</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Broker an agreement for an ambitious post-2020 biodiversity framework at the 15th Conference of the Parties to the Convention on Biological Diversity (CBD COP15)</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2020-21</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rPr>
              <w:t xml:space="preserve">Broker an ambitious </w:t>
            </w:r>
            <w:r>
              <w:rPr>
                <w:rFonts w:ascii="Times New Roman" w:hAnsi="Times New Roman" w:cs="Times New Roman"/>
                <w:noProof/>
                <w:szCs w:val="24"/>
              </w:rPr>
              <w:t>agreement on marine biological diversity of areas beyond national jurisdiction</w:t>
            </w:r>
            <w:r>
              <w:rPr>
                <w:rFonts w:ascii="Times New Roman" w:hAnsi="Times New Roman" w:cs="Times New Roman"/>
                <w:noProof/>
              </w:rPr>
              <w:t xml:space="preserve"> and on three vast Marine Protected Areas in the Southern Ocean</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as of 2020</w:t>
            </w:r>
          </w:p>
        </w:tc>
      </w:tr>
      <w:tr>
        <w:tc>
          <w:tcPr>
            <w:tcW w:w="7067" w:type="dxa"/>
          </w:tcPr>
          <w:p>
            <w:pPr>
              <w:spacing w:before="120" w:after="120"/>
              <w:jc w:val="both"/>
              <w:rPr>
                <w:rFonts w:ascii="Times New Roman" w:hAnsi="Times New Roman" w:cs="Times New Roman"/>
                <w:noProof/>
              </w:rPr>
            </w:pPr>
            <w:r>
              <w:rPr>
                <w:rFonts w:ascii="Times New Roman" w:hAnsi="Times New Roman" w:cs="Times New Roman"/>
                <w:noProof/>
                <w:szCs w:val="24"/>
              </w:rPr>
              <w:t xml:space="preserve">Assess the impact of trade agreements on biodiversity, with follow-up where needed </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szCs w:val="24"/>
              </w:rPr>
              <w:t>as of 2020</w:t>
            </w:r>
          </w:p>
        </w:tc>
      </w:tr>
      <w:tr>
        <w:tc>
          <w:tcPr>
            <w:tcW w:w="7067" w:type="dxa"/>
          </w:tcPr>
          <w:p>
            <w:pPr>
              <w:spacing w:before="120" w:after="120"/>
              <w:jc w:val="both"/>
              <w:rPr>
                <w:rFonts w:ascii="Times New Roman" w:hAnsi="Times New Roman" w:cs="Times New Roman"/>
                <w:noProof/>
                <w:szCs w:val="24"/>
              </w:rPr>
            </w:pPr>
            <w:r>
              <w:rPr>
                <w:rFonts w:ascii="Times New Roman" w:hAnsi="Times New Roman" w:cs="Times New Roman"/>
                <w:noProof/>
                <w:szCs w:val="24"/>
                <w:lang w:bidi="en-US"/>
              </w:rPr>
              <w:t xml:space="preserve">Measures to avoid or minimise the placing of products associated </w:t>
            </w:r>
            <w:r>
              <w:rPr>
                <w:rFonts w:ascii="Times New Roman" w:hAnsi="Times New Roman" w:cs="Times New Roman"/>
                <w:noProof/>
                <w:szCs w:val="24"/>
              </w:rPr>
              <w:t>with deforestation or forest degradation</w:t>
            </w:r>
            <w:r>
              <w:rPr>
                <w:rFonts w:ascii="Times New Roman" w:hAnsi="Times New Roman" w:cs="Times New Roman"/>
                <w:b/>
                <w:noProof/>
                <w:szCs w:val="24"/>
              </w:rPr>
              <w:t xml:space="preserve"> </w:t>
            </w:r>
            <w:r>
              <w:rPr>
                <w:rFonts w:ascii="Times New Roman" w:hAnsi="Times New Roman" w:cs="Times New Roman"/>
                <w:noProof/>
                <w:szCs w:val="24"/>
              </w:rPr>
              <w:t>on the EU market</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2021</w:t>
            </w:r>
          </w:p>
        </w:tc>
      </w:tr>
      <w:tr>
        <w:tc>
          <w:tcPr>
            <w:tcW w:w="7067" w:type="dxa"/>
            <w:shd w:val="clear" w:color="auto" w:fill="auto"/>
          </w:tcPr>
          <w:p>
            <w:pPr>
              <w:spacing w:before="120" w:after="120"/>
              <w:jc w:val="both"/>
              <w:rPr>
                <w:rFonts w:ascii="Times New Roman" w:hAnsi="Times New Roman" w:cs="Times New Roman"/>
                <w:noProof/>
              </w:rPr>
            </w:pPr>
            <w:r>
              <w:rPr>
                <w:rFonts w:ascii="Times New Roman" w:hAnsi="Times New Roman" w:cs="Times New Roman"/>
                <w:noProof/>
              </w:rPr>
              <w:t xml:space="preserve">Revision of the EU Action Plan against Wildlife Trafficking </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2021</w:t>
            </w:r>
          </w:p>
        </w:tc>
      </w:tr>
      <w:tr>
        <w:tc>
          <w:tcPr>
            <w:tcW w:w="7067" w:type="dxa"/>
            <w:shd w:val="clear" w:color="auto" w:fill="auto"/>
          </w:tcPr>
          <w:p>
            <w:pPr>
              <w:spacing w:before="120" w:after="120"/>
              <w:jc w:val="both"/>
              <w:rPr>
                <w:rFonts w:ascii="Times New Roman" w:hAnsi="Times New Roman" w:cs="Times New Roman"/>
                <w:noProof/>
              </w:rPr>
            </w:pPr>
            <w:r>
              <w:rPr>
                <w:rFonts w:ascii="Times New Roman" w:hAnsi="Times New Roman" w:cs="Times New Roman"/>
                <w:noProof/>
              </w:rPr>
              <w:t xml:space="preserve">Proposal for  further tightening of the rules on EU ivory trade </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2020</w:t>
            </w:r>
          </w:p>
        </w:tc>
      </w:tr>
      <w:tr>
        <w:tc>
          <w:tcPr>
            <w:tcW w:w="7067" w:type="dxa"/>
            <w:shd w:val="clear" w:color="auto" w:fill="auto"/>
          </w:tcPr>
          <w:p>
            <w:pPr>
              <w:spacing w:before="120" w:after="120"/>
              <w:jc w:val="both"/>
              <w:rPr>
                <w:rFonts w:ascii="Times New Roman" w:hAnsi="Times New Roman" w:cs="Times New Roman"/>
                <w:noProof/>
              </w:rPr>
            </w:pPr>
            <w:r>
              <w:rPr>
                <w:rFonts w:ascii="Times New Roman" w:hAnsi="Times New Roman" w:cs="Times New Roman"/>
                <w:noProof/>
                <w:lang w:val="en-US"/>
              </w:rPr>
              <w:t>NaturAfrica initiative to protect wildlife and key ecosystems</w:t>
            </w:r>
          </w:p>
        </w:tc>
        <w:tc>
          <w:tcPr>
            <w:tcW w:w="2572" w:type="dxa"/>
          </w:tcPr>
          <w:p>
            <w:pPr>
              <w:spacing w:before="120" w:after="120"/>
              <w:jc w:val="both"/>
              <w:rPr>
                <w:rFonts w:ascii="Times New Roman" w:hAnsi="Times New Roman" w:cs="Times New Roman"/>
                <w:noProof/>
              </w:rPr>
            </w:pPr>
            <w:r>
              <w:rPr>
                <w:rFonts w:ascii="Times New Roman" w:hAnsi="Times New Roman" w:cs="Times New Roman"/>
                <w:noProof/>
              </w:rPr>
              <w:t>As of 2021</w:t>
            </w:r>
          </w:p>
        </w:tc>
      </w:tr>
    </w:tbl>
    <w:p>
      <w:pPr>
        <w:rPr>
          <w:rFonts w:ascii="Times New Roman" w:hAnsi="Times New Roman" w:cs="Times New Roman"/>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30628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92272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E377F"/>
    <w:multiLevelType w:val="hybridMultilevel"/>
    <w:tmpl w:val="F3549252"/>
    <w:lvl w:ilvl="0" w:tplc="90CEADFC">
      <w:start w:val="2020"/>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134321C"/>
    <w:multiLevelType w:val="multilevel"/>
    <w:tmpl w:val="18A01D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251C07"/>
    <w:multiLevelType w:val="hybridMultilevel"/>
    <w:tmpl w:val="F6C8F7AC"/>
    <w:lvl w:ilvl="0" w:tplc="26584B4A">
      <w:start w:val="1"/>
      <w:numFmt w:val="bullet"/>
      <w:lvlText w:val="-"/>
      <w:lvlJc w:val="left"/>
      <w:pPr>
        <w:ind w:left="360" w:hanging="360"/>
      </w:pPr>
      <w:rPr>
        <w:rFonts w:ascii="Calibri" w:eastAsia="Times New Roman"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9880712"/>
    <w:multiLevelType w:val="hybridMultilevel"/>
    <w:tmpl w:val="D2709E76"/>
    <w:lvl w:ilvl="0" w:tplc="0C0EEB7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A6C31AE"/>
    <w:multiLevelType w:val="hybridMultilevel"/>
    <w:tmpl w:val="C7AE0E3A"/>
    <w:lvl w:ilvl="0" w:tplc="5062306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114800"/>
    <w:multiLevelType w:val="hybridMultilevel"/>
    <w:tmpl w:val="666A540C"/>
    <w:lvl w:ilvl="0" w:tplc="60C83EAA">
      <w:numFmt w:val="bullet"/>
      <w:lvlText w:val=""/>
      <w:lvlJc w:val="left"/>
      <w:pPr>
        <w:ind w:left="720" w:hanging="360"/>
      </w:pPr>
      <w:rPr>
        <w:rFonts w:ascii="Symbol" w:eastAsiaTheme="minorHAns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4B8160A1"/>
    <w:multiLevelType w:val="hybridMultilevel"/>
    <w:tmpl w:val="E4E6F362"/>
    <w:lvl w:ilvl="0" w:tplc="51F81068">
      <w:numFmt w:val="bullet"/>
      <w:lvlText w:val=""/>
      <w:lvlJc w:val="left"/>
      <w:pPr>
        <w:ind w:left="720" w:hanging="360"/>
      </w:pPr>
      <w:rPr>
        <w:rFonts w:ascii="Symbol" w:eastAsiaTheme="minorHAns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7C65145E"/>
    <w:multiLevelType w:val="multilevel"/>
    <w:tmpl w:val="B1048310"/>
    <w:name w:val="EurolookHeading"/>
    <w:lvl w:ilvl="0">
      <w:start w:val="1"/>
      <w:numFmt w:val="decimal"/>
      <w:lvlText w:val="%1."/>
      <w:lvlJc w:val="left"/>
      <w:pPr>
        <w:tabs>
          <w:tab w:val="num" w:pos="482"/>
        </w:tabs>
        <w:ind w:left="482" w:hanging="482"/>
      </w:pPr>
    </w:lvl>
    <w:lvl w:ilvl="1">
      <w:start w:val="1"/>
      <w:numFmt w:val="decimal"/>
      <w:lvlText w:val="%1.%2."/>
      <w:lvlJc w:val="left"/>
      <w:pPr>
        <w:tabs>
          <w:tab w:val="num" w:pos="5682"/>
        </w:tabs>
        <w:ind w:left="5682" w:hanging="720"/>
      </w:pPr>
    </w:lvl>
    <w:lvl w:ilvl="2">
      <w:start w:val="1"/>
      <w:numFmt w:val="decimal"/>
      <w:lvlText w:val="%1.%2.%3."/>
      <w:lvlJc w:val="left"/>
      <w:pPr>
        <w:tabs>
          <w:tab w:val="num" w:pos="1922"/>
        </w:tabs>
        <w:ind w:left="1922" w:hanging="720"/>
      </w:pPr>
    </w:lvl>
    <w:lvl w:ilvl="3">
      <w:start w:val="1"/>
      <w:numFmt w:val="decimal"/>
      <w:lvlText w:val="%1.%2.%3.%4."/>
      <w:lvlJc w:val="left"/>
      <w:pPr>
        <w:tabs>
          <w:tab w:val="num" w:pos="1922"/>
        </w:tabs>
        <w:ind w:left="1922" w:hanging="720"/>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num w:numId="1">
    <w:abstractNumId w:val="7"/>
  </w:num>
  <w:num w:numId="2">
    <w:abstractNumId w:val="6"/>
  </w:num>
  <w:num w:numId="3">
    <w:abstractNumId w:val="5"/>
  </w:num>
  <w:num w:numId="4">
    <w:abstractNumId w:val="4"/>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it-IT" w:vendorID="64" w:dllVersion="131078" w:nlCheck="1" w:checkStyle="0"/>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
    <w:docVar w:name="LW_ANNEX_NBR_FIRST" w:val="1"/>
    <w:docVar w:name="LW_ANNEX_NBR_LAST" w:val="1"/>
    <w:docVar w:name="LW_ANNEX_UNIQUE" w:val="1"/>
    <w:docVar w:name="LW_CORRIGENDUM" w:val="&lt;UNUSED&gt;"/>
    <w:docVar w:name="LW_COVERPAGE_EXISTS" w:val="True"/>
    <w:docVar w:name="LW_COVERPAGE_GUID" w:val="36D42490-4C97-4495-8229-D2CE43691F72"/>
    <w:docVar w:name="LW_COVERPAGE_TYPE" w:val="1"/>
    <w:docVar w:name="LW_CROSSREFERENCE" w:val="&lt;UNUSED&gt;"/>
    <w:docVar w:name="LW_DocType" w:val="NORMAL"/>
    <w:docVar w:name="LW_EMISSION" w:val="20.5.2020"/>
    <w:docVar w:name="LW_EMISSION_ISODATE" w:val="2020-05-20"/>
    <w:docVar w:name="LW_EMISSION_LOCATION" w:val="BRX"/>
    <w:docVar w:name="LW_EMISSION_PREFIX" w:val="Brussels, "/>
    <w:docVar w:name="LW_EMISSION_SUFFIX" w:val=" "/>
    <w:docVar w:name="LW_ID_DOCTYPE_NONLW" w:val="CP-039"/>
    <w:docVar w:name="LW_LANGUE" w:val="EN"/>
    <w:docVar w:name="LW_LEVEL_OF_SENSITIVITY" w:val="Standard treatment"/>
    <w:docVar w:name="LW_NOM.INST" w:val="EUROPEAN COMMISSION"/>
    <w:docVar w:name="LW_NOM.INST_JOINTDOC" w:val="&lt;EMPTY&gt;"/>
    <w:docVar w:name="LW_OBJETACTEPRINCIPAL.CP" w:val="EU Biodiversity Strategy for 2030_x000d__x000d__x000d__x000d__x000d__x000d__x000d__x000b__x000d__x000d__x000b_Bringing nature back into our lives"/>
    <w:docVar w:name="LW_PART_NBR" w:val="1"/>
    <w:docVar w:name="LW_PART_NBR_TOTAL" w:val="1"/>
    <w:docVar w:name="LW_REF.INST.NEW" w:val="COM"/>
    <w:docVar w:name="LW_REF.INST.NEW_ADOPTED" w:val="final"/>
    <w:docVar w:name="LW_REF.INST.NEW_TEXT" w:val="(2020) 38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UNICATION FROM THE COMMISSION TO THE EUROPEAN PARLIAMENT, THE COUNCIL, THE EUROPEAN ECONOMIC AND SOCIAL COMMITTEE AND THE COMMITTEE OF THE REGIONS_x000b_"/>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0" w:qFormat="1"/>
    <w:lsdException w:name="heading 4" w:uiPriority="9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tabs>
        <w:tab w:val="num" w:pos="482"/>
      </w:tabs>
      <w:spacing w:before="240" w:after="240" w:line="240" w:lineRule="auto"/>
      <w:ind w:left="482" w:hanging="482"/>
      <w:jc w:val="both"/>
      <w:outlineLvl w:val="0"/>
    </w:pPr>
    <w:rPr>
      <w:rFonts w:ascii="Times New Roman" w:eastAsia="Times New Roman" w:hAnsi="Times New Roman" w:cs="Times New Roman"/>
      <w:b/>
      <w:smallCaps/>
      <w:sz w:val="24"/>
      <w:szCs w:val="20"/>
      <w:lang w:eastAsia="en-IE"/>
    </w:rPr>
  </w:style>
  <w:style w:type="paragraph" w:styleId="Heading2">
    <w:name w:val="heading 2"/>
    <w:basedOn w:val="Normal"/>
    <w:next w:val="Normal"/>
    <w:link w:val="Heading2Char"/>
    <w:qFormat/>
    <w:pPr>
      <w:keepNext/>
      <w:tabs>
        <w:tab w:val="num" w:pos="709"/>
      </w:tabs>
      <w:spacing w:after="240" w:line="240" w:lineRule="auto"/>
      <w:ind w:left="709" w:hanging="709"/>
      <w:jc w:val="both"/>
      <w:outlineLvl w:val="1"/>
    </w:pPr>
    <w:rPr>
      <w:rFonts w:ascii="Times New Roman" w:eastAsia="Times New Roman" w:hAnsi="Times New Roman" w:cs="Times New Roman"/>
      <w:b/>
      <w:sz w:val="24"/>
      <w:szCs w:val="20"/>
      <w:lang w:eastAsia="en-IE"/>
    </w:rPr>
  </w:style>
  <w:style w:type="paragraph" w:styleId="Heading3">
    <w:name w:val="heading 3"/>
    <w:basedOn w:val="Normal"/>
    <w:next w:val="Normal"/>
    <w:link w:val="Heading3Char"/>
    <w:uiPriority w:val="90"/>
    <w:qFormat/>
    <w:pPr>
      <w:keepNext/>
      <w:tabs>
        <w:tab w:val="num" w:pos="1922"/>
      </w:tabs>
      <w:spacing w:after="240" w:line="240" w:lineRule="auto"/>
      <w:ind w:left="1922" w:hanging="720"/>
      <w:jc w:val="both"/>
      <w:outlineLvl w:val="2"/>
    </w:pPr>
    <w:rPr>
      <w:rFonts w:ascii="Times New Roman" w:eastAsia="Times New Roman" w:hAnsi="Times New Roman" w:cs="Times New Roman"/>
      <w:i/>
      <w:sz w:val="24"/>
      <w:szCs w:val="20"/>
      <w:lang w:eastAsia="en-IE"/>
    </w:rPr>
  </w:style>
  <w:style w:type="paragraph" w:styleId="Heading4">
    <w:name w:val="heading 4"/>
    <w:basedOn w:val="Normal"/>
    <w:next w:val="Normal"/>
    <w:link w:val="Heading4Char"/>
    <w:uiPriority w:val="90"/>
    <w:qFormat/>
    <w:pPr>
      <w:keepNext/>
      <w:tabs>
        <w:tab w:val="num" w:pos="1922"/>
      </w:tabs>
      <w:spacing w:after="240" w:line="240" w:lineRule="auto"/>
      <w:ind w:left="1922" w:hanging="720"/>
      <w:jc w:val="both"/>
      <w:outlineLvl w:val="3"/>
    </w:pPr>
    <w:rPr>
      <w:rFonts w:ascii="Times New Roman" w:eastAsia="Times New Roman" w:hAnsi="Times New Roman" w:cs="Times New Roman"/>
      <w:sz w:val="24"/>
      <w:szCs w:val="20"/>
      <w:lang w:eastAsia="en-IE"/>
    </w:rPr>
  </w:style>
  <w:style w:type="paragraph" w:styleId="Heading5">
    <w:name w:val="heading 5"/>
    <w:basedOn w:val="Normal"/>
    <w:next w:val="Normal"/>
    <w:link w:val="Heading5Char"/>
    <w:semiHidden/>
    <w:pPr>
      <w:keepNext/>
      <w:tabs>
        <w:tab w:val="num" w:pos="2880"/>
      </w:tabs>
      <w:spacing w:after="240" w:line="240" w:lineRule="auto"/>
      <w:ind w:left="3838" w:hanging="958"/>
      <w:jc w:val="both"/>
      <w:outlineLvl w:val="4"/>
    </w:pPr>
    <w:rPr>
      <w:rFonts w:ascii="Times New Roman" w:eastAsia="Times New Roman" w:hAnsi="Times New Roman" w:cs="Times New Roman"/>
      <w:sz w:val="24"/>
      <w:szCs w:val="20"/>
      <w:lang w:eastAsia="en-IE"/>
    </w:rPr>
  </w:style>
  <w:style w:type="paragraph" w:styleId="Heading6">
    <w:name w:val="heading 6"/>
    <w:basedOn w:val="Normal"/>
    <w:next w:val="Normal"/>
    <w:link w:val="Heading6Char"/>
    <w:semiHidden/>
    <w:pPr>
      <w:keepNext/>
      <w:tabs>
        <w:tab w:val="num" w:pos="2880"/>
      </w:tabs>
      <w:spacing w:after="240" w:line="240" w:lineRule="auto"/>
      <w:ind w:left="3838" w:hanging="958"/>
      <w:jc w:val="both"/>
      <w:outlineLvl w:val="5"/>
    </w:pPr>
    <w:rPr>
      <w:rFonts w:ascii="Times New Roman" w:eastAsia="Times New Roman" w:hAnsi="Times New Roman" w:cs="Times New Roman"/>
      <w:sz w:val="24"/>
      <w:szCs w:val="20"/>
      <w:lang w:eastAsia="en-IE"/>
    </w:rPr>
  </w:style>
  <w:style w:type="paragraph" w:styleId="Heading7">
    <w:name w:val="heading 7"/>
    <w:basedOn w:val="Normal"/>
    <w:next w:val="Normal"/>
    <w:link w:val="Heading7Char"/>
    <w:semiHidden/>
    <w:pPr>
      <w:keepNext/>
      <w:tabs>
        <w:tab w:val="num" w:pos="2880"/>
      </w:tabs>
      <w:spacing w:after="240" w:line="240" w:lineRule="auto"/>
      <w:ind w:left="3838" w:hanging="958"/>
      <w:jc w:val="both"/>
      <w:outlineLvl w:val="6"/>
    </w:pPr>
    <w:rPr>
      <w:rFonts w:ascii="Times New Roman" w:eastAsia="Times New Roman" w:hAnsi="Times New Roman" w:cs="Times New Roman"/>
      <w:sz w:val="24"/>
      <w:szCs w:val="20"/>
      <w:lang w:eastAsia="en-IE"/>
    </w:rPr>
  </w:style>
  <w:style w:type="paragraph" w:styleId="Heading8">
    <w:name w:val="heading 8"/>
    <w:basedOn w:val="Normal"/>
    <w:next w:val="Normal"/>
    <w:link w:val="Heading8Char"/>
    <w:semiHidden/>
    <w:pPr>
      <w:keepNext/>
      <w:tabs>
        <w:tab w:val="num" w:pos="2880"/>
      </w:tabs>
      <w:spacing w:after="240" w:line="240" w:lineRule="auto"/>
      <w:ind w:left="3838" w:hanging="958"/>
      <w:jc w:val="both"/>
      <w:outlineLvl w:val="7"/>
    </w:pPr>
    <w:rPr>
      <w:rFonts w:ascii="Times New Roman" w:eastAsia="Times New Roman" w:hAnsi="Times New Roman" w:cs="Times New Roman"/>
      <w:sz w:val="24"/>
      <w:szCs w:val="20"/>
      <w:lang w:eastAsia="en-IE"/>
    </w:rPr>
  </w:style>
  <w:style w:type="paragraph" w:styleId="Heading9">
    <w:name w:val="heading 9"/>
    <w:basedOn w:val="Normal"/>
    <w:next w:val="Normal"/>
    <w:link w:val="Heading9Char"/>
    <w:semiHidden/>
    <w:pPr>
      <w:keepNext/>
      <w:tabs>
        <w:tab w:val="num" w:pos="2880"/>
      </w:tabs>
      <w:spacing w:after="240" w:line="240" w:lineRule="auto"/>
      <w:ind w:left="3838" w:hanging="958"/>
      <w:jc w:val="both"/>
      <w:outlineLvl w:val="8"/>
    </w:pPr>
    <w:rPr>
      <w:rFonts w:ascii="Times New Roman" w:eastAsia="Times New Roman" w:hAnsi="Times New Roman" w:cs="Times New Roman"/>
      <w:sz w:val="24"/>
      <w:szCs w:val="20"/>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lang w:eastAsia="en-IE"/>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eastAsia="en-IE"/>
    </w:rPr>
  </w:style>
  <w:style w:type="character" w:customStyle="1" w:styleId="Heading3Char">
    <w:name w:val="Heading 3 Char"/>
    <w:basedOn w:val="DefaultParagraphFont"/>
    <w:link w:val="Heading3"/>
    <w:uiPriority w:val="90"/>
    <w:rPr>
      <w:rFonts w:ascii="Times New Roman" w:eastAsia="Times New Roman" w:hAnsi="Times New Roman" w:cs="Times New Roman"/>
      <w:i/>
      <w:sz w:val="24"/>
      <w:szCs w:val="20"/>
      <w:lang w:eastAsia="en-IE"/>
    </w:rPr>
  </w:style>
  <w:style w:type="character" w:customStyle="1" w:styleId="Heading4Char">
    <w:name w:val="Heading 4 Char"/>
    <w:basedOn w:val="DefaultParagraphFont"/>
    <w:link w:val="Heading4"/>
    <w:uiPriority w:val="90"/>
    <w:rPr>
      <w:rFonts w:ascii="Times New Roman" w:eastAsia="Times New Roman" w:hAnsi="Times New Roman" w:cs="Times New Roman"/>
      <w:sz w:val="24"/>
      <w:szCs w:val="20"/>
      <w:lang w:eastAsia="en-IE"/>
    </w:rPr>
  </w:style>
  <w:style w:type="character" w:customStyle="1" w:styleId="Heading5Char">
    <w:name w:val="Heading 5 Char"/>
    <w:basedOn w:val="DefaultParagraphFont"/>
    <w:link w:val="Heading5"/>
    <w:semiHidden/>
    <w:rPr>
      <w:rFonts w:ascii="Times New Roman" w:eastAsia="Times New Roman" w:hAnsi="Times New Roman" w:cs="Times New Roman"/>
      <w:sz w:val="24"/>
      <w:szCs w:val="20"/>
      <w:lang w:eastAsia="en-IE"/>
    </w:rPr>
  </w:style>
  <w:style w:type="character" w:customStyle="1" w:styleId="Heading6Char">
    <w:name w:val="Heading 6 Char"/>
    <w:basedOn w:val="DefaultParagraphFont"/>
    <w:link w:val="Heading6"/>
    <w:semiHidden/>
    <w:rPr>
      <w:rFonts w:ascii="Times New Roman" w:eastAsia="Times New Roman" w:hAnsi="Times New Roman" w:cs="Times New Roman"/>
      <w:sz w:val="24"/>
      <w:szCs w:val="20"/>
      <w:lang w:eastAsia="en-IE"/>
    </w:rPr>
  </w:style>
  <w:style w:type="character" w:customStyle="1" w:styleId="Heading7Char">
    <w:name w:val="Heading 7 Char"/>
    <w:basedOn w:val="DefaultParagraphFont"/>
    <w:link w:val="Heading7"/>
    <w:semiHidden/>
    <w:rPr>
      <w:rFonts w:ascii="Times New Roman" w:eastAsia="Times New Roman" w:hAnsi="Times New Roman" w:cs="Times New Roman"/>
      <w:sz w:val="24"/>
      <w:szCs w:val="20"/>
      <w:lang w:eastAsia="en-IE"/>
    </w:rPr>
  </w:style>
  <w:style w:type="character" w:customStyle="1" w:styleId="Heading8Char">
    <w:name w:val="Heading 8 Char"/>
    <w:basedOn w:val="DefaultParagraphFont"/>
    <w:link w:val="Heading8"/>
    <w:semiHidden/>
    <w:rPr>
      <w:rFonts w:ascii="Times New Roman" w:eastAsia="Times New Roman" w:hAnsi="Times New Roman" w:cs="Times New Roman"/>
      <w:sz w:val="24"/>
      <w:szCs w:val="20"/>
      <w:lang w:eastAsia="en-IE"/>
    </w:rPr>
  </w:style>
  <w:style w:type="character" w:customStyle="1" w:styleId="Heading9Char">
    <w:name w:val="Heading 9 Char"/>
    <w:basedOn w:val="DefaultParagraphFont"/>
    <w:link w:val="Heading9"/>
    <w:semiHidden/>
    <w:rPr>
      <w:rFonts w:ascii="Times New Roman" w:eastAsia="Times New Roman" w:hAnsi="Times New Roman" w:cs="Times New Roman"/>
      <w:sz w:val="24"/>
      <w:szCs w:val="20"/>
      <w:lang w:eastAsia="en-IE"/>
    </w:rPr>
  </w:style>
  <w:style w:type="paragraph" w:customStyle="1" w:styleId="FooterLine">
    <w:name w:val="Footer Line"/>
    <w:basedOn w:val="Footer"/>
    <w:next w:val="Footer"/>
    <w:uiPriority w:val="99"/>
    <w:pPr>
      <w:tabs>
        <w:tab w:val="clear" w:pos="4680"/>
        <w:tab w:val="clear" w:pos="9360"/>
        <w:tab w:val="right" w:pos="8646"/>
      </w:tabs>
      <w:spacing w:before="120" w:line="264" w:lineRule="auto"/>
      <w:jc w:val="both"/>
    </w:pPr>
    <w:rPr>
      <w:rFonts w:ascii="Times New Roman" w:eastAsia="Times New Roman" w:hAnsi="Times New Roman" w:cs="Times New Roman"/>
      <w:sz w:val="16"/>
      <w:szCs w:val="20"/>
      <w:lang w:eastAsia="en-IE"/>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Fußnotentextf,ft"/>
    <w:basedOn w:val="Normal"/>
    <w:link w:val="FootnoteTextChar"/>
    <w:uiPriority w:val="99"/>
    <w:qFormat/>
    <w:pPr>
      <w:spacing w:after="120" w:line="240" w:lineRule="auto"/>
      <w:ind w:left="357" w:hanging="357"/>
      <w:jc w:val="both"/>
    </w:pPr>
    <w:rPr>
      <w:rFonts w:ascii="Times New Roman" w:eastAsia="Times New Roman" w:hAnsi="Times New Roman" w:cs="Times New Roman"/>
      <w:sz w:val="20"/>
      <w:szCs w:val="20"/>
      <w:lang w:eastAsia="en-IE"/>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Pr>
      <w:rFonts w:ascii="Times New Roman" w:eastAsia="Times New Roman" w:hAnsi="Times New Roman" w:cs="Times New Roman"/>
      <w:sz w:val="20"/>
      <w:szCs w:val="20"/>
      <w:lang w:eastAsia="en-IE"/>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styli"/>
    <w:link w:val="SUPERSCharCharCharCharCharCharCharChar"/>
    <w:uiPriority w:val="99"/>
    <w:qFormat/>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after="160" w:line="240" w:lineRule="exact"/>
      <w:jc w:val="both"/>
    </w:pPr>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3,CV text"/>
    <w:basedOn w:val="Normal"/>
    <w:link w:val="ListParagraphChar"/>
    <w:uiPriority w:val="34"/>
    <w:qFormat/>
    <w:pPr>
      <w:ind w:left="720"/>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character" w:styleId="Hyperlink">
    <w:name w:val="Hyperlink"/>
    <w:basedOn w:val="DefaultParagraphFont"/>
    <w:uiPriority w:val="99"/>
    <w:unhideWhenUsed/>
    <w:rPr>
      <w:color w:val="0000FF"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jc w:val="both"/>
    </w:pPr>
    <w:rPr>
      <w:vertAlign w:val="superscript"/>
      <w:lang w:val="fr-FR"/>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3 Char"/>
    <w:link w:val="ListParagraph"/>
    <w:uiPriority w:val="34"/>
    <w:qFormat/>
    <w:locked/>
  </w:style>
  <w:style w:type="paragraph" w:customStyle="1" w:styleId="FigureBody">
    <w:name w:val="Figure Body"/>
    <w:basedOn w:val="Normal"/>
    <w:uiPriority w:val="7"/>
    <w:pPr>
      <w:keepNext/>
      <w:spacing w:after="40" w:line="240" w:lineRule="auto"/>
      <w:jc w:val="both"/>
    </w:pPr>
    <w:rPr>
      <w:rFonts w:ascii="Times New Roman" w:hAnsi="Times New Roman" w:cs="Times New Roman"/>
      <w:sz w:val="24"/>
      <w:szCs w:val="24"/>
      <w:lang w:eastAsia="en-GB"/>
    </w:rPr>
  </w:style>
  <w:style w:type="paragraph" w:customStyle="1" w:styleId="Annexetitre">
    <w:name w:val="Annexe titre"/>
    <w:basedOn w:val="Normal"/>
    <w:next w:val="Normal"/>
    <w:pPr>
      <w:spacing w:before="120" w:after="120" w:line="240" w:lineRule="auto"/>
      <w:jc w:val="center"/>
    </w:pPr>
    <w:rPr>
      <w:rFonts w:ascii="Times New Roman" w:hAnsi="Times New Roman" w:cs="Times New Roman"/>
      <w:b/>
      <w:sz w:val="24"/>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0" w:qFormat="1"/>
    <w:lsdException w:name="heading 4" w:uiPriority="9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tabs>
        <w:tab w:val="num" w:pos="482"/>
      </w:tabs>
      <w:spacing w:before="240" w:after="240" w:line="240" w:lineRule="auto"/>
      <w:ind w:left="482" w:hanging="482"/>
      <w:jc w:val="both"/>
      <w:outlineLvl w:val="0"/>
    </w:pPr>
    <w:rPr>
      <w:rFonts w:ascii="Times New Roman" w:eastAsia="Times New Roman" w:hAnsi="Times New Roman" w:cs="Times New Roman"/>
      <w:b/>
      <w:smallCaps/>
      <w:sz w:val="24"/>
      <w:szCs w:val="20"/>
      <w:lang w:eastAsia="en-IE"/>
    </w:rPr>
  </w:style>
  <w:style w:type="paragraph" w:styleId="Heading2">
    <w:name w:val="heading 2"/>
    <w:basedOn w:val="Normal"/>
    <w:next w:val="Normal"/>
    <w:link w:val="Heading2Char"/>
    <w:qFormat/>
    <w:pPr>
      <w:keepNext/>
      <w:tabs>
        <w:tab w:val="num" w:pos="709"/>
      </w:tabs>
      <w:spacing w:after="240" w:line="240" w:lineRule="auto"/>
      <w:ind w:left="709" w:hanging="709"/>
      <w:jc w:val="both"/>
      <w:outlineLvl w:val="1"/>
    </w:pPr>
    <w:rPr>
      <w:rFonts w:ascii="Times New Roman" w:eastAsia="Times New Roman" w:hAnsi="Times New Roman" w:cs="Times New Roman"/>
      <w:b/>
      <w:sz w:val="24"/>
      <w:szCs w:val="20"/>
      <w:lang w:eastAsia="en-IE"/>
    </w:rPr>
  </w:style>
  <w:style w:type="paragraph" w:styleId="Heading3">
    <w:name w:val="heading 3"/>
    <w:basedOn w:val="Normal"/>
    <w:next w:val="Normal"/>
    <w:link w:val="Heading3Char"/>
    <w:uiPriority w:val="90"/>
    <w:qFormat/>
    <w:pPr>
      <w:keepNext/>
      <w:tabs>
        <w:tab w:val="num" w:pos="1922"/>
      </w:tabs>
      <w:spacing w:after="240" w:line="240" w:lineRule="auto"/>
      <w:ind w:left="1922" w:hanging="720"/>
      <w:jc w:val="both"/>
      <w:outlineLvl w:val="2"/>
    </w:pPr>
    <w:rPr>
      <w:rFonts w:ascii="Times New Roman" w:eastAsia="Times New Roman" w:hAnsi="Times New Roman" w:cs="Times New Roman"/>
      <w:i/>
      <w:sz w:val="24"/>
      <w:szCs w:val="20"/>
      <w:lang w:eastAsia="en-IE"/>
    </w:rPr>
  </w:style>
  <w:style w:type="paragraph" w:styleId="Heading4">
    <w:name w:val="heading 4"/>
    <w:basedOn w:val="Normal"/>
    <w:next w:val="Normal"/>
    <w:link w:val="Heading4Char"/>
    <w:uiPriority w:val="90"/>
    <w:qFormat/>
    <w:pPr>
      <w:keepNext/>
      <w:tabs>
        <w:tab w:val="num" w:pos="1922"/>
      </w:tabs>
      <w:spacing w:after="240" w:line="240" w:lineRule="auto"/>
      <w:ind w:left="1922" w:hanging="720"/>
      <w:jc w:val="both"/>
      <w:outlineLvl w:val="3"/>
    </w:pPr>
    <w:rPr>
      <w:rFonts w:ascii="Times New Roman" w:eastAsia="Times New Roman" w:hAnsi="Times New Roman" w:cs="Times New Roman"/>
      <w:sz w:val="24"/>
      <w:szCs w:val="20"/>
      <w:lang w:eastAsia="en-IE"/>
    </w:rPr>
  </w:style>
  <w:style w:type="paragraph" w:styleId="Heading5">
    <w:name w:val="heading 5"/>
    <w:basedOn w:val="Normal"/>
    <w:next w:val="Normal"/>
    <w:link w:val="Heading5Char"/>
    <w:semiHidden/>
    <w:pPr>
      <w:keepNext/>
      <w:tabs>
        <w:tab w:val="num" w:pos="2880"/>
      </w:tabs>
      <w:spacing w:after="240" w:line="240" w:lineRule="auto"/>
      <w:ind w:left="3838" w:hanging="958"/>
      <w:jc w:val="both"/>
      <w:outlineLvl w:val="4"/>
    </w:pPr>
    <w:rPr>
      <w:rFonts w:ascii="Times New Roman" w:eastAsia="Times New Roman" w:hAnsi="Times New Roman" w:cs="Times New Roman"/>
      <w:sz w:val="24"/>
      <w:szCs w:val="20"/>
      <w:lang w:eastAsia="en-IE"/>
    </w:rPr>
  </w:style>
  <w:style w:type="paragraph" w:styleId="Heading6">
    <w:name w:val="heading 6"/>
    <w:basedOn w:val="Normal"/>
    <w:next w:val="Normal"/>
    <w:link w:val="Heading6Char"/>
    <w:semiHidden/>
    <w:pPr>
      <w:keepNext/>
      <w:tabs>
        <w:tab w:val="num" w:pos="2880"/>
      </w:tabs>
      <w:spacing w:after="240" w:line="240" w:lineRule="auto"/>
      <w:ind w:left="3838" w:hanging="958"/>
      <w:jc w:val="both"/>
      <w:outlineLvl w:val="5"/>
    </w:pPr>
    <w:rPr>
      <w:rFonts w:ascii="Times New Roman" w:eastAsia="Times New Roman" w:hAnsi="Times New Roman" w:cs="Times New Roman"/>
      <w:sz w:val="24"/>
      <w:szCs w:val="20"/>
      <w:lang w:eastAsia="en-IE"/>
    </w:rPr>
  </w:style>
  <w:style w:type="paragraph" w:styleId="Heading7">
    <w:name w:val="heading 7"/>
    <w:basedOn w:val="Normal"/>
    <w:next w:val="Normal"/>
    <w:link w:val="Heading7Char"/>
    <w:semiHidden/>
    <w:pPr>
      <w:keepNext/>
      <w:tabs>
        <w:tab w:val="num" w:pos="2880"/>
      </w:tabs>
      <w:spacing w:after="240" w:line="240" w:lineRule="auto"/>
      <w:ind w:left="3838" w:hanging="958"/>
      <w:jc w:val="both"/>
      <w:outlineLvl w:val="6"/>
    </w:pPr>
    <w:rPr>
      <w:rFonts w:ascii="Times New Roman" w:eastAsia="Times New Roman" w:hAnsi="Times New Roman" w:cs="Times New Roman"/>
      <w:sz w:val="24"/>
      <w:szCs w:val="20"/>
      <w:lang w:eastAsia="en-IE"/>
    </w:rPr>
  </w:style>
  <w:style w:type="paragraph" w:styleId="Heading8">
    <w:name w:val="heading 8"/>
    <w:basedOn w:val="Normal"/>
    <w:next w:val="Normal"/>
    <w:link w:val="Heading8Char"/>
    <w:semiHidden/>
    <w:pPr>
      <w:keepNext/>
      <w:tabs>
        <w:tab w:val="num" w:pos="2880"/>
      </w:tabs>
      <w:spacing w:after="240" w:line="240" w:lineRule="auto"/>
      <w:ind w:left="3838" w:hanging="958"/>
      <w:jc w:val="both"/>
      <w:outlineLvl w:val="7"/>
    </w:pPr>
    <w:rPr>
      <w:rFonts w:ascii="Times New Roman" w:eastAsia="Times New Roman" w:hAnsi="Times New Roman" w:cs="Times New Roman"/>
      <w:sz w:val="24"/>
      <w:szCs w:val="20"/>
      <w:lang w:eastAsia="en-IE"/>
    </w:rPr>
  </w:style>
  <w:style w:type="paragraph" w:styleId="Heading9">
    <w:name w:val="heading 9"/>
    <w:basedOn w:val="Normal"/>
    <w:next w:val="Normal"/>
    <w:link w:val="Heading9Char"/>
    <w:semiHidden/>
    <w:pPr>
      <w:keepNext/>
      <w:tabs>
        <w:tab w:val="num" w:pos="2880"/>
      </w:tabs>
      <w:spacing w:after="240" w:line="240" w:lineRule="auto"/>
      <w:ind w:left="3838" w:hanging="958"/>
      <w:jc w:val="both"/>
      <w:outlineLvl w:val="8"/>
    </w:pPr>
    <w:rPr>
      <w:rFonts w:ascii="Times New Roman" w:eastAsia="Times New Roman" w:hAnsi="Times New Roman" w:cs="Times New Roman"/>
      <w:sz w:val="24"/>
      <w:szCs w:val="20"/>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lang w:eastAsia="en-IE"/>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eastAsia="en-IE"/>
    </w:rPr>
  </w:style>
  <w:style w:type="character" w:customStyle="1" w:styleId="Heading3Char">
    <w:name w:val="Heading 3 Char"/>
    <w:basedOn w:val="DefaultParagraphFont"/>
    <w:link w:val="Heading3"/>
    <w:uiPriority w:val="90"/>
    <w:rPr>
      <w:rFonts w:ascii="Times New Roman" w:eastAsia="Times New Roman" w:hAnsi="Times New Roman" w:cs="Times New Roman"/>
      <w:i/>
      <w:sz w:val="24"/>
      <w:szCs w:val="20"/>
      <w:lang w:eastAsia="en-IE"/>
    </w:rPr>
  </w:style>
  <w:style w:type="character" w:customStyle="1" w:styleId="Heading4Char">
    <w:name w:val="Heading 4 Char"/>
    <w:basedOn w:val="DefaultParagraphFont"/>
    <w:link w:val="Heading4"/>
    <w:uiPriority w:val="90"/>
    <w:rPr>
      <w:rFonts w:ascii="Times New Roman" w:eastAsia="Times New Roman" w:hAnsi="Times New Roman" w:cs="Times New Roman"/>
      <w:sz w:val="24"/>
      <w:szCs w:val="20"/>
      <w:lang w:eastAsia="en-IE"/>
    </w:rPr>
  </w:style>
  <w:style w:type="character" w:customStyle="1" w:styleId="Heading5Char">
    <w:name w:val="Heading 5 Char"/>
    <w:basedOn w:val="DefaultParagraphFont"/>
    <w:link w:val="Heading5"/>
    <w:semiHidden/>
    <w:rPr>
      <w:rFonts w:ascii="Times New Roman" w:eastAsia="Times New Roman" w:hAnsi="Times New Roman" w:cs="Times New Roman"/>
      <w:sz w:val="24"/>
      <w:szCs w:val="20"/>
      <w:lang w:eastAsia="en-IE"/>
    </w:rPr>
  </w:style>
  <w:style w:type="character" w:customStyle="1" w:styleId="Heading6Char">
    <w:name w:val="Heading 6 Char"/>
    <w:basedOn w:val="DefaultParagraphFont"/>
    <w:link w:val="Heading6"/>
    <w:semiHidden/>
    <w:rPr>
      <w:rFonts w:ascii="Times New Roman" w:eastAsia="Times New Roman" w:hAnsi="Times New Roman" w:cs="Times New Roman"/>
      <w:sz w:val="24"/>
      <w:szCs w:val="20"/>
      <w:lang w:eastAsia="en-IE"/>
    </w:rPr>
  </w:style>
  <w:style w:type="character" w:customStyle="1" w:styleId="Heading7Char">
    <w:name w:val="Heading 7 Char"/>
    <w:basedOn w:val="DefaultParagraphFont"/>
    <w:link w:val="Heading7"/>
    <w:semiHidden/>
    <w:rPr>
      <w:rFonts w:ascii="Times New Roman" w:eastAsia="Times New Roman" w:hAnsi="Times New Roman" w:cs="Times New Roman"/>
      <w:sz w:val="24"/>
      <w:szCs w:val="20"/>
      <w:lang w:eastAsia="en-IE"/>
    </w:rPr>
  </w:style>
  <w:style w:type="character" w:customStyle="1" w:styleId="Heading8Char">
    <w:name w:val="Heading 8 Char"/>
    <w:basedOn w:val="DefaultParagraphFont"/>
    <w:link w:val="Heading8"/>
    <w:semiHidden/>
    <w:rPr>
      <w:rFonts w:ascii="Times New Roman" w:eastAsia="Times New Roman" w:hAnsi="Times New Roman" w:cs="Times New Roman"/>
      <w:sz w:val="24"/>
      <w:szCs w:val="20"/>
      <w:lang w:eastAsia="en-IE"/>
    </w:rPr>
  </w:style>
  <w:style w:type="character" w:customStyle="1" w:styleId="Heading9Char">
    <w:name w:val="Heading 9 Char"/>
    <w:basedOn w:val="DefaultParagraphFont"/>
    <w:link w:val="Heading9"/>
    <w:semiHidden/>
    <w:rPr>
      <w:rFonts w:ascii="Times New Roman" w:eastAsia="Times New Roman" w:hAnsi="Times New Roman" w:cs="Times New Roman"/>
      <w:sz w:val="24"/>
      <w:szCs w:val="20"/>
      <w:lang w:eastAsia="en-IE"/>
    </w:rPr>
  </w:style>
  <w:style w:type="paragraph" w:customStyle="1" w:styleId="FooterLine">
    <w:name w:val="Footer Line"/>
    <w:basedOn w:val="Footer"/>
    <w:next w:val="Footer"/>
    <w:uiPriority w:val="99"/>
    <w:pPr>
      <w:tabs>
        <w:tab w:val="clear" w:pos="4680"/>
        <w:tab w:val="clear" w:pos="9360"/>
        <w:tab w:val="right" w:pos="8646"/>
      </w:tabs>
      <w:spacing w:before="120" w:line="264" w:lineRule="auto"/>
      <w:jc w:val="both"/>
    </w:pPr>
    <w:rPr>
      <w:rFonts w:ascii="Times New Roman" w:eastAsia="Times New Roman" w:hAnsi="Times New Roman" w:cs="Times New Roman"/>
      <w:sz w:val="16"/>
      <w:szCs w:val="20"/>
      <w:lang w:eastAsia="en-IE"/>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Fußnotentextf,ft"/>
    <w:basedOn w:val="Normal"/>
    <w:link w:val="FootnoteTextChar"/>
    <w:uiPriority w:val="99"/>
    <w:qFormat/>
    <w:pPr>
      <w:spacing w:after="120" w:line="240" w:lineRule="auto"/>
      <w:ind w:left="357" w:hanging="357"/>
      <w:jc w:val="both"/>
    </w:pPr>
    <w:rPr>
      <w:rFonts w:ascii="Times New Roman" w:eastAsia="Times New Roman" w:hAnsi="Times New Roman" w:cs="Times New Roman"/>
      <w:sz w:val="20"/>
      <w:szCs w:val="20"/>
      <w:lang w:eastAsia="en-IE"/>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Pr>
      <w:rFonts w:ascii="Times New Roman" w:eastAsia="Times New Roman" w:hAnsi="Times New Roman" w:cs="Times New Roman"/>
      <w:sz w:val="20"/>
      <w:szCs w:val="20"/>
      <w:lang w:eastAsia="en-IE"/>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styli"/>
    <w:link w:val="SUPERSCharCharCharCharCharCharCharChar"/>
    <w:uiPriority w:val="99"/>
    <w:qFormat/>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pPr>
      <w:spacing w:after="160" w:line="240" w:lineRule="exact"/>
      <w:jc w:val="both"/>
    </w:pPr>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3,CV text"/>
    <w:basedOn w:val="Normal"/>
    <w:link w:val="ListParagraphChar"/>
    <w:uiPriority w:val="34"/>
    <w:qFormat/>
    <w:pPr>
      <w:ind w:left="720"/>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character" w:styleId="Hyperlink">
    <w:name w:val="Hyperlink"/>
    <w:basedOn w:val="DefaultParagraphFont"/>
    <w:uiPriority w:val="99"/>
    <w:unhideWhenUsed/>
    <w:rPr>
      <w:color w:val="0000FF"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after="160" w:line="240" w:lineRule="exact"/>
      <w:jc w:val="both"/>
    </w:pPr>
    <w:rPr>
      <w:vertAlign w:val="superscript"/>
      <w:lang w:val="fr-FR"/>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3 Char"/>
    <w:link w:val="ListParagraph"/>
    <w:uiPriority w:val="34"/>
    <w:qFormat/>
    <w:locked/>
  </w:style>
  <w:style w:type="paragraph" w:customStyle="1" w:styleId="FigureBody">
    <w:name w:val="Figure Body"/>
    <w:basedOn w:val="Normal"/>
    <w:uiPriority w:val="7"/>
    <w:pPr>
      <w:keepNext/>
      <w:spacing w:after="40" w:line="240" w:lineRule="auto"/>
      <w:jc w:val="both"/>
    </w:pPr>
    <w:rPr>
      <w:rFonts w:ascii="Times New Roman" w:hAnsi="Times New Roman" w:cs="Times New Roman"/>
      <w:sz w:val="24"/>
      <w:szCs w:val="24"/>
      <w:lang w:eastAsia="en-GB"/>
    </w:rPr>
  </w:style>
  <w:style w:type="paragraph" w:customStyle="1" w:styleId="Annexetitre">
    <w:name w:val="Annexe titre"/>
    <w:basedOn w:val="Normal"/>
    <w:next w:val="Normal"/>
    <w:pPr>
      <w:spacing w:before="120" w:after="120" w:line="240" w:lineRule="auto"/>
      <w:jc w:val="center"/>
    </w:pPr>
    <w:rPr>
      <w:rFonts w:ascii="Times New Roman" w:hAnsi="Times New Roman" w:cs="Times New Roman"/>
      <w:b/>
      <w:sz w:val="24"/>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E15A990-9260-4429-AF8D-E4B77FB5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764</Words>
  <Characters>4413</Characters>
  <Application>Microsoft Office Word</Application>
  <DocSecurity>0</DocSecurity>
  <Lines>129</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2020-05-19T15:55:00Z</dcterms:created>
  <dcterms:modified xsi:type="dcterms:W3CDTF">2020-05-19T16:11:00Z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CP-039</vt:lpwstr>
  </property>
</Properties>
</file>