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49CF889-F35C-4DAE-BFD7-21DFA87F6D66" style="width:450.75pt;height:366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Les effets directs et indirects de la pandémie de COVID-19 continuent de s’amplifier dans l’ensemble des États membres. La situation actuelle est sans précédent et nécessite la mise en œuvre de mesures exceptionnelles, adaptées aux circonstances.</w:t>
      </w:r>
    </w:p>
    <w:p>
      <w:pPr>
        <w:pBdr>
          <w:top w:val="nil"/>
          <w:left w:val="nil"/>
          <w:bottom w:val="nil"/>
          <w:right w:val="nil"/>
          <w:between w:val="nil"/>
          <w:bar w:val="nil"/>
        </w:pBdr>
        <w:spacing w:before="0" w:after="240"/>
        <w:rPr>
          <w:noProof/>
        </w:rPr>
      </w:pPr>
      <w:r>
        <w:rPr>
          <w:noProof/>
        </w:rPr>
        <w:t>Dans les secteurs de l’agriculture et de l’alimentation, il est fait état de nombreuses difficultés, qui résultent des lourdes restrictions de mouvement mises en place dans les États membres, ainsi que des fermetures obligatoires de magasins, de marchés de plein air, de restaurants et autres établissements assimilés. Les perturbations économiques subies par le secteur agricole et les communautés rurales entraînent des problèmes de liquidités et de trésorerie pour les agriculteurs et les petites entreprises rurales qui transforment les produits agricoles.</w:t>
      </w:r>
    </w:p>
    <w:p>
      <w:pPr>
        <w:pBdr>
          <w:top w:val="nil"/>
          <w:left w:val="nil"/>
          <w:bottom w:val="nil"/>
          <w:right w:val="nil"/>
          <w:between w:val="nil"/>
          <w:bar w:val="nil"/>
        </w:pBdr>
        <w:spacing w:before="0" w:after="240"/>
        <w:rPr>
          <w:noProof/>
        </w:rPr>
      </w:pPr>
      <w:r>
        <w:rPr>
          <w:noProof/>
        </w:rPr>
        <w:t>Certaines petites entreprises et certains agriculteurs ont ainsi impérativement besoin d’une aide d’urgence pour maintenir leurs activités.</w:t>
      </w:r>
    </w:p>
    <w:p>
      <w:pPr>
        <w:pBdr>
          <w:top w:val="nil"/>
          <w:left w:val="nil"/>
          <w:bottom w:val="nil"/>
          <w:right w:val="nil"/>
          <w:between w:val="nil"/>
          <w:bar w:val="nil"/>
        </w:pBdr>
        <w:spacing w:before="0" w:after="240"/>
        <w:rPr>
          <w:noProof/>
        </w:rPr>
      </w:pPr>
      <w:r>
        <w:rPr>
          <w:noProof/>
        </w:rPr>
        <w:t>Compte tenu des difficultés que rencontrent parallèlement les administrations, qui font qu’il n’est pas envisageable que des conseillers soient physiquement présents pour aider les bénéficiaires potentiels ou que des contrôleurs effectuent des contrôles in situ ou ex ante, il est indispensable d’offrir des solutions simples et pratiques qui puissent être déployées par les États membres et répondre à des situations diverses sur le terrain tout en étant facilement accessibles aux bénéficiaires.</w:t>
      </w:r>
    </w:p>
    <w:p>
      <w:pPr>
        <w:pBdr>
          <w:top w:val="nil"/>
          <w:left w:val="nil"/>
          <w:bottom w:val="nil"/>
          <w:right w:val="nil"/>
          <w:between w:val="nil"/>
          <w:bar w:val="nil"/>
        </w:pBdr>
        <w:spacing w:before="0" w:after="240"/>
        <w:rPr>
          <w:noProof/>
        </w:rPr>
      </w:pPr>
      <w:r>
        <w:rPr>
          <w:noProof/>
        </w:rPr>
        <w:t>Le soutien devra prendre la forme d’une aide temporaire, à la finalité très ciblée dans des circonstances inédites. Pour atteindre les objectifs visés, ce soutien consistera en l’attribution d’un montant forfaitaire unique aux agriculteurs et aux PME exerçant des activités de transformation, de commercialisation et/ou de développement des produits agricoles. Les paiements de la Commission seront effectués en fonction des crédits budgétaires et sous réserve des disponibilités financières.</w:t>
      </w:r>
    </w:p>
    <w:p>
      <w:pPr>
        <w:pBdr>
          <w:top w:val="nil"/>
          <w:left w:val="nil"/>
          <w:bottom w:val="nil"/>
          <w:right w:val="nil"/>
          <w:between w:val="nil"/>
          <w:bar w:val="nil"/>
        </w:pBdr>
        <w:spacing w:before="0" w:after="240"/>
        <w:rPr>
          <w:noProof/>
        </w:rPr>
      </w:pPr>
      <w:r>
        <w:rPr>
          <w:noProof/>
        </w:rPr>
        <w:t>Afin de garantir l’utilisation la plus efficace possible des ressources disponibles au titre des programmes de développement rural existants, les États membres seront tenus de prouver que l’aide est bien destinée aux plus touchés, selon des critères objectifs et non discriminatoires. Il conviendra que les États membres intègrent la mesure dans les PDR par une modification de ces derniers, étant entendu que les dépenses seront admissibles à partir du début de l’événement catastrophique (flambée de COVID-19).</w:t>
      </w:r>
    </w:p>
    <w:p>
      <w:pPr>
        <w:pBdr>
          <w:top w:val="nil"/>
          <w:left w:val="nil"/>
          <w:bottom w:val="nil"/>
          <w:right w:val="nil"/>
          <w:between w:val="nil"/>
          <w:bar w:val="nil"/>
        </w:pBdr>
        <w:spacing w:before="0" w:after="240"/>
        <w:rPr>
          <w:noProof/>
          <w:lang w:eastAsia="en-GB"/>
        </w:rPr>
      </w:pP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La proposition est compatible avec le cadre juridique général établi pour la politique agricole commune et les Fonds structurels et d’investissement européens (Fonds ESI) et se limite à une modification ciblée du règlement (UE) nº 1305/2013. Elle vient compléter l’ensemble des autres mesures visant à remédier à la situation inédite actuelle qui ont été prises par l’Union, en particulier les mesures de soutien des marchés. La proposition est sans préjudice des exigences en matière de dépenses minimales qui sont définies à l’article 59, paragraphes 5 et 6, du règlement (UE) nº 1305/2013.</w:t>
      </w:r>
    </w:p>
    <w:p>
      <w:pPr>
        <w:pStyle w:val="ManualHeading2"/>
        <w:rPr>
          <w:rFonts w:eastAsia="Arial Unicode MS"/>
          <w:noProof/>
        </w:rPr>
      </w:pPr>
      <w:r>
        <w:rPr>
          <w:noProof/>
          <w:color w:val="000000"/>
          <w:u w:color="000000"/>
          <w:bdr w:val="nil"/>
        </w:rPr>
        <w:lastRenderedPageBreak/>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proposition se limite à des modifications ciblées du règlement (UE) nº 1305/2013 et assure la cohérence avec les autres politiques de l’Union.</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noProof/>
        </w:rPr>
      </w:pPr>
      <w:r>
        <w:rPr>
          <w:noProof/>
        </w:rPr>
        <w:t>La proposition est fondée sur les articles 42 et 43 du traité sur le fonctionnement de l’Union européenne.</w:t>
      </w:r>
    </w:p>
    <w:p>
      <w:pPr>
        <w:pStyle w:val="ManualHeading2"/>
        <w:rPr>
          <w:rFonts w:eastAsia="Arial Unicode MS"/>
          <w:noProof/>
          <w:u w:color="000000"/>
          <w:bdr w:val="nil"/>
        </w:rPr>
      </w:pPr>
      <w:r>
        <w:rPr>
          <w:noProof/>
          <w:u w:color="000000"/>
          <w:bdr w:val="nil"/>
        </w:rPr>
        <w:t>•</w:t>
      </w:r>
      <w:r>
        <w:rPr>
          <w:noProof/>
        </w:rPr>
        <w:tab/>
      </w:r>
      <w:r>
        <w:rPr>
          <w:noProof/>
          <w:u w:color="000000"/>
          <w:bdr w:val="nil"/>
        </w:rPr>
        <w:t>Subsidiarité (en cas de compétence non exclusive)</w:t>
      </w:r>
    </w:p>
    <w:p>
      <w:pPr>
        <w:pStyle w:val="ManualHeading2"/>
        <w:rPr>
          <w:noProof/>
          <w:sz w:val="23"/>
          <w:szCs w:val="23"/>
        </w:rPr>
      </w:pPr>
      <w:r>
        <w:rPr>
          <w:noProof/>
          <w:sz w:val="23"/>
          <w:szCs w:val="23"/>
        </w:rPr>
        <w:t>Le traité sur le fonctionnement de l’Union européenne dispose que la compétence dans le domaine de l’agriculture est partagée entre l’Union et les États membres, tout en instaurant une politique agricole commune poursuivant des objectifs communs et une mise en œuvre commune. La proposition vise à garantir les objectifs communs et la mise en œuvre commune d’une nouvelle mesure de développement rural.</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after="240"/>
        <w:rPr>
          <w:rFonts w:eastAsia="Arial Unicode MS"/>
          <w:noProof/>
        </w:rPr>
      </w:pPr>
      <w:r>
        <w:rPr>
          <w:noProof/>
        </w:rPr>
        <w:t>La proposition comporte des modifications limitées et ciblées qui ne vont pas au-delà de ce qui est nécessaire pour atteindre l’objectif consistant à fournir une aide exceptionnelle et temporaire aux agriculteurs et aux PME exerçant des activités de transformation, de commercialisation et/ou de développement des produits agricoles, qui sont particulièrement touchés par la crise COVID-19.</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before="0" w:after="240"/>
        <w:rPr>
          <w:noProof/>
        </w:rPr>
      </w:pPr>
      <w:r>
        <w:rPr>
          <w:noProof/>
        </w:rPr>
        <w:t>Un règlement est l’instrument approprié pour introduire la mesure supplémentaire nécessaire afin de faire face à ces circonstances sans précédent.</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Évaluations ex post/bilans de qualité de la législation existante</w:t>
      </w:r>
    </w:p>
    <w:p>
      <w:pPr>
        <w:pBdr>
          <w:top w:val="nil"/>
          <w:left w:val="nil"/>
          <w:bottom w:val="nil"/>
          <w:right w:val="nil"/>
          <w:between w:val="nil"/>
          <w:bar w:val="nil"/>
        </w:pBdr>
        <w:spacing w:before="0" w:after="240"/>
        <w:rPr>
          <w:noProof/>
        </w:rPr>
      </w:pPr>
      <w:r>
        <w:rPr>
          <w:noProof/>
        </w:rPr>
        <w:t>s.o.</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pBdr>
          <w:top w:val="nil"/>
          <w:left w:val="nil"/>
          <w:bottom w:val="nil"/>
          <w:right w:val="nil"/>
          <w:between w:val="nil"/>
          <w:bar w:val="nil"/>
        </w:pBdr>
        <w:spacing w:before="0" w:after="240"/>
        <w:rPr>
          <w:noProof/>
        </w:rPr>
      </w:pPr>
      <w:r>
        <w:rPr>
          <w:noProof/>
        </w:rPr>
        <w:t>Aucune partie intéressée externe n’a été consultée. La proposition fait toutefois suite aux consultations menées avec les États membres et les députés européens au cours des dernières semaines.</w:t>
      </w:r>
    </w:p>
    <w:p>
      <w:pPr>
        <w:pStyle w:val="ManualHeading2"/>
        <w:rPr>
          <w:rFonts w:eastAsia="Arial Unicode MS"/>
          <w:noProof/>
          <w:u w:color="000000"/>
          <w:bdr w:val="nil"/>
        </w:rPr>
      </w:pPr>
      <w:r>
        <w:rPr>
          <w:noProof/>
          <w:u w:color="000000"/>
          <w:bdr w:val="nil"/>
        </w:rPr>
        <w:t>•</w:t>
      </w:r>
      <w:r>
        <w:rPr>
          <w:noProof/>
        </w:rPr>
        <w:tab/>
      </w:r>
      <w:r>
        <w:rPr>
          <w:noProof/>
          <w:u w:color="000000"/>
          <w:bdr w:val="nil"/>
        </w:rPr>
        <w:t>Obtention et utilisation d’expertise</w:t>
      </w:r>
    </w:p>
    <w:p>
      <w:pPr>
        <w:rPr>
          <w:noProof/>
        </w:rPr>
      </w:pPr>
      <w:r>
        <w:rPr>
          <w:noProof/>
        </w:rPr>
        <w:t>s.o.</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pBdr>
          <w:top w:val="nil"/>
          <w:left w:val="nil"/>
          <w:bottom w:val="nil"/>
          <w:right w:val="nil"/>
          <w:between w:val="nil"/>
          <w:bar w:val="nil"/>
        </w:pBdr>
        <w:spacing w:before="0" w:after="240"/>
        <w:rPr>
          <w:rFonts w:eastAsia="Arial Unicode MS"/>
          <w:noProof/>
        </w:rPr>
      </w:pPr>
      <w:r>
        <w:rPr>
          <w:noProof/>
        </w:rPr>
        <w:t>Une analyse d’impact a été menée afin de préparer la proposition de règlement (UE) nº 1305/2013. Les modifications limitées qui sont proposées ne nécessitent pas d’analyse d’impact distincte.</w:t>
      </w:r>
    </w:p>
    <w:p>
      <w:pPr>
        <w:pStyle w:val="ManualHeading2"/>
        <w:rPr>
          <w:rFonts w:eastAsia="Arial Unicode MS"/>
          <w:noProof/>
          <w:u w:color="000000"/>
          <w:bdr w:val="nil"/>
        </w:rPr>
      </w:pPr>
      <w:r>
        <w:rPr>
          <w:noProof/>
          <w:u w:color="000000"/>
          <w:bdr w:val="nil"/>
        </w:rPr>
        <w:t>•</w:t>
      </w:r>
      <w:r>
        <w:rPr>
          <w:noProof/>
        </w:rPr>
        <w:tab/>
      </w:r>
      <w:r>
        <w:rPr>
          <w:noProof/>
          <w:u w:color="000000"/>
          <w:bdr w:val="nil"/>
        </w:rPr>
        <w:t>Réglementation affûtée et simplification</w:t>
      </w:r>
    </w:p>
    <w:p>
      <w:pPr>
        <w:rPr>
          <w:noProof/>
        </w:rPr>
      </w:pPr>
      <w:r>
        <w:rPr>
          <w:noProof/>
        </w:rPr>
        <w:t>s.o.</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Droits fondamentaux</w:t>
      </w:r>
    </w:p>
    <w:p>
      <w:pPr>
        <w:rPr>
          <w:noProof/>
        </w:rPr>
      </w:pPr>
      <w:r>
        <w:rPr>
          <w:noProof/>
        </w:rPr>
        <w:t>s.o.</w:t>
      </w:r>
    </w:p>
    <w:p>
      <w:pPr>
        <w:pStyle w:val="ManualHeading1"/>
        <w:rPr>
          <w:noProof/>
        </w:rPr>
      </w:pPr>
      <w:r>
        <w:rPr>
          <w:noProof/>
        </w:rPr>
        <w:t>4.</w:t>
      </w:r>
      <w:r>
        <w:rPr>
          <w:noProof/>
        </w:rPr>
        <w:tab/>
        <w:t>INCIDENCE BUDGÉTAIRE</w:t>
      </w:r>
    </w:p>
    <w:p>
      <w:pPr>
        <w:rPr>
          <w:noProof/>
        </w:rPr>
      </w:pPr>
      <w:r>
        <w:rPr>
          <w:noProof/>
        </w:rPr>
        <w:t>La modification proposée n’entraîne aucun changement dans les plafonds annuels du cadre financier pluriannuel en matière d’engagements et de paiements figurant à l’annexe du règlement (UE) nº 1311/2013. La ventilation annuelle totale des crédits d’engagement au titre du Fonds européen agricole pour le développement rural (Feader) reste inchangée. Compte tenu du temps nécessaire à la mise en œuvre de cette nouvelle mesure, on considère que les paiements aux bénéficiaires seront effectués au cours du quatrième trimestre 2020 et qu’ils seront donc à financer au titre du budget 2021. Les crédits de paiement nécessaires pour financer cette mesure doivent être couverts par les crédits destinés au Feader à inclure dans le futur projet de budget 2021 de la Commission et seront compensés par une diminution correspondante des besoins de paiement au cours des années suivantes.</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La mise en œuvre des mesures fera l’objet d’un suivi et de rapports dans le cadre du dispositif général fixé en matière d’établissement de rapports par les règlements (UE) nº 1303/2013 et nº 1305/2013.</w:t>
      </w:r>
    </w:p>
    <w:p>
      <w:pPr>
        <w:pStyle w:val="ManualHeading2"/>
        <w:rPr>
          <w:rFonts w:eastAsia="Arial Unicode MS"/>
          <w:noProof/>
          <w:u w:color="000000"/>
          <w:bdr w:val="nil"/>
        </w:rPr>
      </w:pPr>
      <w:r>
        <w:rPr>
          <w:noProof/>
          <w:u w:color="000000"/>
          <w:bdr w:val="nil"/>
        </w:rPr>
        <w:t>•</w:t>
      </w:r>
      <w:r>
        <w:rPr>
          <w:noProof/>
        </w:rPr>
        <w:tab/>
      </w:r>
      <w:r>
        <w:rPr>
          <w:noProof/>
          <w:u w:color="000000"/>
          <w:bdr w:val="nil"/>
        </w:rPr>
        <w:t>Documents explicatifs (pour les directives)</w:t>
      </w:r>
    </w:p>
    <w:p>
      <w:pPr>
        <w:pBdr>
          <w:top w:val="nil"/>
          <w:left w:val="nil"/>
          <w:bottom w:val="nil"/>
          <w:right w:val="nil"/>
          <w:between w:val="nil"/>
          <w:bar w:val="nil"/>
        </w:pBdr>
        <w:spacing w:before="0" w:after="240"/>
        <w:rPr>
          <w:noProof/>
        </w:rPr>
      </w:pPr>
      <w:r>
        <w:rPr>
          <w:noProof/>
        </w:rPr>
        <w:t>s.o.</w:t>
      </w:r>
    </w:p>
    <w:p>
      <w:pPr>
        <w:pStyle w:val="ManualHeading2"/>
        <w:rPr>
          <w:rFonts w:eastAsia="Arial Unicode MS"/>
          <w:noProof/>
          <w:u w:color="000000"/>
          <w:bdr w:val="nil"/>
        </w:rPr>
      </w:pPr>
      <w:r>
        <w:rPr>
          <w:noProof/>
          <w:u w:color="000000"/>
          <w:bdr w:val="nil"/>
        </w:rPr>
        <w:t>•</w:t>
      </w:r>
      <w:r>
        <w:rPr>
          <w:noProof/>
        </w:rPr>
        <w:tab/>
      </w:r>
      <w:r>
        <w:rPr>
          <w:noProof/>
          <w:u w:color="000000"/>
          <w:bdr w:val="nil"/>
        </w:rPr>
        <w:t>Explication détaillée des différentes dispositions de la proposition</w:t>
      </w:r>
    </w:p>
    <w:p>
      <w:pPr>
        <w:rPr>
          <w:noProof/>
        </w:rPr>
      </w:pPr>
      <w:r>
        <w:rPr>
          <w:noProof/>
        </w:rPr>
        <w:t xml:space="preserve">Il est proposé de modifier le règlement (UE) nº 1305/2013. </w:t>
      </w:r>
    </w:p>
    <w:p>
      <w:pPr>
        <w:spacing w:before="0" w:after="200"/>
        <w:jc w:val="left"/>
        <w:rPr>
          <w:noProof/>
        </w:rPr>
        <w:sectPr>
          <w:footerReference w:type="default" r:id="rId14"/>
          <w:footerReference w:type="first" r:id="rId15"/>
          <w:pgSz w:w="11907" w:h="16839"/>
          <w:pgMar w:top="1134" w:right="1417" w:bottom="1134" w:left="1417" w:header="709" w:footer="709" w:gutter="0"/>
          <w:cols w:space="720"/>
          <w:docGrid w:linePitch="360"/>
        </w:sectPr>
      </w:pPr>
    </w:p>
    <w:p>
      <w:pPr>
        <w:pStyle w:val="Rfrenceinterinstitutionnelle"/>
        <w:rPr>
          <w:noProof/>
        </w:rPr>
      </w:pPr>
      <w:r>
        <w:rPr>
          <w:noProof/>
        </w:rPr>
        <w:lastRenderedPageBreak/>
        <w:t>2020/0075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(UE) nº 1305/2013 en ce qui concerne des mesures spécifiques destinées à fournir un soutien temporaire exceptionnel au titre du Feader en réaction à la pandémie de COVID-19</w:t>
      </w:r>
    </w:p>
    <w:p>
      <w:pPr>
        <w:pStyle w:val="Institutionquiagit"/>
        <w:rPr>
          <w:noProof/>
        </w:rPr>
      </w:pPr>
      <w:r>
        <w:rPr>
          <w:noProof/>
        </w:rPr>
        <w:t>LE PARLEMENT EUROPÉEN ET LE CONSEIL DE L’UNION EUROPÉENNE,</w:t>
      </w:r>
    </w:p>
    <w:p>
      <w:pPr>
        <w:rPr>
          <w:noProof/>
        </w:rPr>
      </w:pPr>
      <w:r>
        <w:rPr>
          <w:noProof/>
        </w:rPr>
        <w:t xml:space="preserve">vu le traité sur le fonctionnement de l’Union européenne, et notamment son article 42 et son article 43, paragraphe 2, </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2"/>
      </w:r>
      <w:r>
        <w:rPr>
          <w:noProof/>
        </w:rPr>
        <w:t xml:space="preserve">, </w:t>
      </w:r>
    </w:p>
    <w:p>
      <w:pPr>
        <w:rPr>
          <w:noProof/>
        </w:rPr>
      </w:pPr>
      <w:r>
        <w:rPr>
          <w:noProof/>
        </w:rPr>
        <w:t>vu l’avis du Comité des régions</w:t>
      </w:r>
      <w:r>
        <w:rPr>
          <w:rStyle w:val="FootnoteReference"/>
          <w:noProof/>
        </w:rPr>
        <w:footnoteReference w:id="3"/>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Les conséquences de la crise provoquée par la pandémie de COVID-19 pour les agriculteurs et les entreprises rurales sont sans précédent. Les lourdes restrictions de mouvement mises en place dans les États membres, ainsi que les fermetures obligatoires de magasins, de marchés de plein air, de restaurants et autres établissements assimilés, ont engendré des perturbations économiques pour le secteur agricole et les communautés rurales et des problèmes de liquidités et de trésorerie pour les agriculteurs et les petites entreprises rurales exerçant des activités de transformation, de commercialisation et/ou de développement des produits agricoles. Il en résulte une situation exceptionnelle, à laquelle il faut remédier.</w:t>
      </w:r>
    </w:p>
    <w:p>
      <w:pPr>
        <w:pStyle w:val="ManualConsidrant"/>
        <w:rPr>
          <w:noProof/>
        </w:rPr>
      </w:pPr>
      <w:r>
        <w:t>(2)</w:t>
      </w:r>
      <w:r>
        <w:tab/>
      </w:r>
      <w:r>
        <w:rPr>
          <w:noProof/>
        </w:rPr>
        <w:t>Afin de lutter contre les effets de la crise, il y a lieu de prévoir une nouvelle mesure exceptionnelle et temporaire répondant aux problèmes de liquidités qui mettent en péril la continuité des activités agricoles et la pérennité des petites entreprises exerçant des activités de transformation, de commercialisation et/ou de développement des produits agricoles.</w:t>
      </w:r>
    </w:p>
    <w:p>
      <w:pPr>
        <w:pStyle w:val="ManualConsidrant"/>
        <w:rPr>
          <w:noProof/>
        </w:rPr>
      </w:pPr>
      <w:r>
        <w:t>(3)</w:t>
      </w:r>
      <w:r>
        <w:tab/>
      </w:r>
      <w:r>
        <w:rPr>
          <w:noProof/>
        </w:rPr>
        <w:t xml:space="preserve">Le soutien, qui vise à garantir la compétitivité du secteur agroalimentaire et la viabilité des exploitations agricoles, devrait être octroyé sur la base de critères objectifs et non discriminatoires, afin de canaliser au mieux les ressources disponibles vers les bénéficiaires souffrant le plus de la crise. En ce qui concerne les agriculteurs, ces critères peuvent inclure les secteurs de production, les types d’agriculture, les structures des exploitations agricoles, le type de commercialisation des produits agricoles, le nombre de travailleurs saisonniers employés et, en ce qui concerne les </w:t>
      </w:r>
      <w:r>
        <w:rPr>
          <w:noProof/>
        </w:rPr>
        <w:lastRenderedPageBreak/>
        <w:t>PME, les secteurs, les types d’activité, le type de régions et d’autres contraintes spécifiques.</w:t>
      </w:r>
    </w:p>
    <w:p>
      <w:pPr>
        <w:pStyle w:val="ManualConsidrant"/>
        <w:rPr>
          <w:noProof/>
        </w:rPr>
      </w:pPr>
      <w:r>
        <w:t>(4)</w:t>
      </w:r>
      <w:r>
        <w:tab/>
      </w:r>
      <w:r>
        <w:rPr>
          <w:noProof/>
        </w:rPr>
        <w:t xml:space="preserve">En raison de l’urgence et du caractère exceptionnel de cette mesure, il convient de prévoir un paiement unique et une date butoir pour l’application de la mesure, tout en rappelant le principe selon lequel les paiements de la Commission doivent être effectués en fonction des crédits budgétaires et sous réserve des disponibilités financières. </w:t>
      </w:r>
    </w:p>
    <w:p>
      <w:pPr>
        <w:pStyle w:val="ManualConsidrant"/>
        <w:rPr>
          <w:noProof/>
        </w:rPr>
      </w:pPr>
      <w:r>
        <w:t>(5)</w:t>
      </w:r>
      <w:r>
        <w:tab/>
      </w:r>
      <w:r>
        <w:rPr>
          <w:noProof/>
        </w:rPr>
        <w:t>Afin que l’aide soit plus importante là où les agriculteurs ou les PME sont le plus durement touchés, il y a lieu d’autoriser les États membres à adapter le niveau des sommes forfaitaires pour certaines catégories de bénéficiaires admissibles, sur la base de critères objectifs et non discriminatoires.</w:t>
      </w:r>
    </w:p>
    <w:p>
      <w:pPr>
        <w:pStyle w:val="ManualConsidrant"/>
        <w:rPr>
          <w:noProof/>
        </w:rPr>
      </w:pPr>
      <w:r>
        <w:t>(6)</w:t>
      </w:r>
      <w:r>
        <w:tab/>
      </w:r>
      <w:r>
        <w:rPr>
          <w:noProof/>
        </w:rPr>
        <w:t>Pour garantir un financement adéquat de la nouvelle mesure sans mettre en péril les autres objectifs des programmes de développement rural, il importe de fixer la part maximale de la contribution de l’Union à cette mesure.</w:t>
      </w:r>
    </w:p>
    <w:p>
      <w:pPr>
        <w:pStyle w:val="ManualConsidrant"/>
        <w:rPr>
          <w:noProof/>
        </w:rPr>
      </w:pPr>
      <w:r>
        <w:t>(7)</w:t>
      </w:r>
      <w:r>
        <w:tab/>
      </w:r>
      <w:r>
        <w:rPr>
          <w:noProof/>
        </w:rPr>
        <w:t>Il y a donc lieu de modifier le règlement (UE) nº 1305/2013 en conséquence.</w:t>
      </w:r>
    </w:p>
    <w:p>
      <w:pPr>
        <w:pStyle w:val="ManualConsidrant"/>
        <w:rPr>
          <w:noProof/>
        </w:rPr>
      </w:pPr>
      <w:r>
        <w:t>(8)</w:t>
      </w:r>
      <w:r>
        <w:tab/>
      </w:r>
      <w:r>
        <w:rPr>
          <w:noProof/>
        </w:rPr>
        <w:t>Compte tenu de la pandémie de COVID-19 et de l’urgence de résoudre la crise de santé publique qui en découle, il est jugé nécessaire d’avoir recours à l’exception au délai de huit semaines visé à l’article 4 du protocole nº 1 sur le rôle des parlements nationaux dans l’Union européenne, annexé au traité sur l’Union européenne, au traité sur le fonctionnement de l’Union européenne et au traité instituant la Communauté européenne de l’énergie atomique.</w:t>
      </w:r>
    </w:p>
    <w:p>
      <w:pPr>
        <w:pStyle w:val="ManualConsidrant"/>
        <w:rPr>
          <w:noProof/>
        </w:rPr>
      </w:pPr>
      <w:r>
        <w:t>(9)</w:t>
      </w:r>
      <w:r>
        <w:tab/>
      </w:r>
      <w:r>
        <w:rPr>
          <w:noProof/>
        </w:rPr>
        <w:t xml:space="preserve">Vu l’urgence de la situation liée à la crise COVID-19, il convient que le présent règlement entre en vigueur le jour de sa publication au </w:t>
      </w:r>
      <w:r>
        <w:rPr>
          <w:i/>
          <w:iCs/>
          <w:noProof/>
        </w:rPr>
        <w:t>Journal officiel de l’Union européenne</w:t>
      </w:r>
      <w:r>
        <w:rPr>
          <w:noProof/>
        </w:rPr>
        <w:t>,</w:t>
      </w:r>
    </w:p>
    <w:p>
      <w:pPr>
        <w:pStyle w:val="Formuledadoption"/>
        <w:rPr>
          <w:noProof/>
        </w:rPr>
      </w:pPr>
      <w:r>
        <w:rPr>
          <w:noProof/>
        </w:rPr>
        <w:t>ONT ADOPTÉ LE PRÉSENT RÈGLEMENT:</w:t>
      </w:r>
    </w:p>
    <w:p>
      <w:pPr>
        <w:pStyle w:val="Titrearticle"/>
        <w:rPr>
          <w:b/>
          <w:noProof/>
        </w:rPr>
      </w:pPr>
      <w:r>
        <w:rPr>
          <w:noProof/>
        </w:rPr>
        <w:t xml:space="preserve">Article premier </w:t>
      </w:r>
      <w:r>
        <w:rPr>
          <w:noProof/>
        </w:rPr>
        <w:br/>
      </w:r>
      <w:r>
        <w:rPr>
          <w:b/>
          <w:i w:val="0"/>
          <w:noProof/>
        </w:rPr>
        <w:t>Modification du règlement (UE) nº 1305/2013</w:t>
      </w:r>
    </w:p>
    <w:p>
      <w:pPr>
        <w:rPr>
          <w:noProof/>
        </w:rPr>
      </w:pPr>
      <w:r>
        <w:rPr>
          <w:noProof/>
        </w:rPr>
        <w:t>Le règlement (UE) nº 1305/2013 est modifié comme suit:</w:t>
      </w:r>
    </w:p>
    <w:p>
      <w:pPr>
        <w:pStyle w:val="ManualNumPar1"/>
        <w:rPr>
          <w:noProof/>
        </w:rPr>
      </w:pPr>
      <w:r>
        <w:rPr>
          <w:noProof/>
        </w:rPr>
        <w:t>1)</w:t>
      </w:r>
      <w:r>
        <w:rPr>
          <w:noProof/>
        </w:rPr>
        <w:tab/>
        <w:t xml:space="preserve">L’article 39 </w:t>
      </w:r>
      <w:r>
        <w:rPr>
          <w:i/>
          <w:iCs/>
          <w:noProof/>
        </w:rPr>
        <w:t>ter</w:t>
      </w:r>
      <w:r>
        <w:rPr>
          <w:noProof/>
        </w:rPr>
        <w:t xml:space="preserve"> suivant est inséré:</w:t>
      </w:r>
      <w:r>
        <w:rPr>
          <w:noProof/>
          <w:color w:val="1F497D"/>
        </w:rPr>
        <w:t xml:space="preserve"> </w:t>
      </w:r>
    </w:p>
    <w:p>
      <w:pPr>
        <w:pStyle w:val="Titrearticle"/>
        <w:ind w:left="284"/>
        <w:rPr>
          <w:noProof/>
        </w:rPr>
      </w:pPr>
      <w:r>
        <w:rPr>
          <w:i w:val="0"/>
          <w:noProof/>
        </w:rPr>
        <w:t>«</w:t>
      </w:r>
      <w:r>
        <w:rPr>
          <w:noProof/>
        </w:rPr>
        <w:t>Article 39 </w:t>
      </w:r>
      <w:r>
        <w:rPr>
          <w:i w:val="0"/>
          <w:noProof/>
        </w:rPr>
        <w:t xml:space="preserve">ter </w:t>
      </w:r>
      <w:r>
        <w:rPr>
          <w:noProof/>
        </w:rPr>
        <w:br/>
        <w:t>Mesure de secours temporaire exceptionnelle en faveur des agriculteurs et des PME exerçant des activités de transformation, de commercialisation et/ou de développement des produits agricoles, particulièrement touchés par la crise COVID-19</w:t>
      </w:r>
    </w:p>
    <w:p>
      <w:pPr>
        <w:ind w:left="568"/>
        <w:rPr>
          <w:noProof/>
        </w:rPr>
      </w:pPr>
      <w:r>
        <w:rPr>
          <w:noProof/>
        </w:rPr>
        <w:t xml:space="preserve"> </w:t>
      </w:r>
    </w:p>
    <w:p>
      <w:pPr>
        <w:pStyle w:val="ListNumber"/>
        <w:rPr>
          <w:noProof/>
        </w:rPr>
      </w:pPr>
      <w:r>
        <w:rPr>
          <w:noProof/>
        </w:rPr>
        <w:t xml:space="preserve">Le soutien apporté au titre de cette mesure consiste en une aide d’urgence aux agriculteurs et aux PME particulièrement touchés par la crise COVID-19, destinée à garantir la continuité de leurs activités, sous réserve des conditions énoncées au présent article. </w:t>
      </w:r>
    </w:p>
    <w:p>
      <w:pPr>
        <w:rPr>
          <w:noProof/>
        </w:rPr>
      </w:pPr>
    </w:p>
    <w:p>
      <w:pPr>
        <w:pStyle w:val="ListNumber"/>
        <w:rPr>
          <w:noProof/>
        </w:rPr>
      </w:pPr>
      <w:r>
        <w:rPr>
          <w:noProof/>
        </w:rPr>
        <w:t xml:space="preserve">Le soutien est accordé aux agriculteurs et aux PME exerçant des activités de transformation, de commercialisation et/ou de développement des produits agricoles relevant de l’annexe I du TFUE, ou du coton, à l’exception des produits de la pêche; le </w:t>
      </w:r>
      <w:r>
        <w:rPr>
          <w:noProof/>
        </w:rPr>
        <w:lastRenderedPageBreak/>
        <w:t>produit issu du processus de production peut être un produit ne relevant pas de cette annexe.</w:t>
      </w:r>
    </w:p>
    <w:p>
      <w:pPr>
        <w:rPr>
          <w:noProof/>
        </w:rPr>
      </w:pPr>
    </w:p>
    <w:p>
      <w:pPr>
        <w:pStyle w:val="ListNumber"/>
        <w:rPr>
          <w:noProof/>
        </w:rPr>
      </w:pPr>
      <w:r>
        <w:rPr>
          <w:noProof/>
        </w:rPr>
        <w:t>Les États membres destinent ce soutien aux bénéficiaires les plus touchés par la crise et définissent à cet effet des conditions d’admissibilité et, le cas échéant, des critères de sélection, qui doivent être objectifs et non discriminatoires, sur la base des éléments probants disponibles.</w:t>
      </w:r>
    </w:p>
    <w:p>
      <w:pPr>
        <w:rPr>
          <w:noProof/>
        </w:rPr>
      </w:pPr>
    </w:p>
    <w:p>
      <w:pPr>
        <w:pStyle w:val="ListNumber"/>
        <w:rPr>
          <w:noProof/>
        </w:rPr>
      </w:pPr>
      <w:r>
        <w:rPr>
          <w:noProof/>
        </w:rPr>
        <w:t>Le soutien prend la forme d’un paiement forfaitaire à réaliser au plus tard le [31/12/2020] et le remboursement ultérieur par la Commission est effectué en fonction des crédits budgétaires et sous réserve des disponibilités financières. Le niveau de paiement peut être différencié par catégories de bénéficiaires, selon des critères objectifs et non discriminatoires.</w:t>
      </w:r>
    </w:p>
    <w:p>
      <w:pPr>
        <w:rPr>
          <w:noProof/>
        </w:rPr>
      </w:pPr>
    </w:p>
    <w:p>
      <w:pPr>
        <w:pStyle w:val="ListNumber"/>
        <w:rPr>
          <w:noProof/>
        </w:rPr>
      </w:pPr>
      <w:r>
        <w:rPr>
          <w:noProof/>
        </w:rPr>
        <w:t>Le montant maximal du soutien ne dépasse pas 5 000 EUR par agriculteur et 50 000 EUR par PME.</w:t>
      </w:r>
    </w:p>
    <w:p>
      <w:pPr>
        <w:pStyle w:val="ListParagraph"/>
        <w:ind w:left="568"/>
        <w:rPr>
          <w:noProof/>
        </w:rPr>
      </w:pPr>
    </w:p>
    <w:p>
      <w:pPr>
        <w:pStyle w:val="ListNumber"/>
        <w:rPr>
          <w:noProof/>
        </w:rPr>
      </w:pPr>
      <w:r>
        <w:rPr>
          <w:noProof/>
        </w:rPr>
        <w:t>Lorsqu’ils accordent un soutien au titre du présent article, les États membres tiennent compte de l’aide octroyée au titre d’autres instruments nationaux ou de l’Union ou bien de régimes privés en vue de faire face aux répercussions de la crise COVID-19.»</w:t>
      </w:r>
    </w:p>
    <w:p>
      <w:pPr>
        <w:ind w:left="284"/>
        <w:rPr>
          <w:noProof/>
        </w:rPr>
      </w:pPr>
    </w:p>
    <w:p>
      <w:pPr>
        <w:pStyle w:val="ManualNumPar1"/>
        <w:ind w:left="720" w:firstLine="0"/>
        <w:rPr>
          <w:noProof/>
          <w:color w:val="1F497D"/>
        </w:rPr>
      </w:pPr>
      <w:r>
        <w:rPr>
          <w:noProof/>
        </w:rPr>
        <w:t xml:space="preserve"> 2)</w:t>
      </w:r>
      <w:r>
        <w:rPr>
          <w:noProof/>
        </w:rPr>
        <w:tab/>
        <w:t>À l’article 59, le paragraphe 6 </w:t>
      </w:r>
      <w:r>
        <w:rPr>
          <w:i/>
          <w:iCs/>
          <w:noProof/>
        </w:rPr>
        <w:t>bis</w:t>
      </w:r>
      <w:r>
        <w:rPr>
          <w:noProof/>
        </w:rPr>
        <w:t xml:space="preserve"> suivant est ajouté:</w:t>
      </w:r>
      <w:r>
        <w:rPr>
          <w:noProof/>
          <w:color w:val="1F497D"/>
        </w:rPr>
        <w:t xml:space="preserve"> </w:t>
      </w:r>
    </w:p>
    <w:p>
      <w:pPr>
        <w:pStyle w:val="ListParagraph"/>
        <w:spacing w:before="0" w:after="0"/>
        <w:contextualSpacing w:val="0"/>
        <w:rPr>
          <w:noProof/>
        </w:rPr>
      </w:pPr>
      <w:r>
        <w:rPr>
          <w:noProof/>
        </w:rPr>
        <w:t>«6 </w:t>
      </w:r>
      <w:r>
        <w:rPr>
          <w:i/>
          <w:iCs/>
          <w:noProof/>
        </w:rPr>
        <w:t>bis</w:t>
      </w:r>
      <w:r>
        <w:rPr>
          <w:noProof/>
        </w:rPr>
        <w:t xml:space="preserve">. Le soutien du Feader accordé au titre de la mesure visée à l’article 39 </w:t>
      </w:r>
      <w:r>
        <w:rPr>
          <w:i/>
          <w:iCs/>
          <w:noProof/>
        </w:rPr>
        <w:t>ter</w:t>
      </w:r>
      <w:r>
        <w:rPr>
          <w:noProof/>
        </w:rPr>
        <w:t xml:space="preserve"> est limité à un maximum de 1 % de la contribution totale du Feader au programme de développement rural.»</w:t>
      </w:r>
    </w:p>
    <w:p>
      <w:pPr>
        <w:pStyle w:val="ManualNumPar1"/>
        <w:ind w:left="720" w:firstLine="0"/>
        <w:rPr>
          <w:noProof/>
        </w:rPr>
      </w:pPr>
    </w:p>
    <w:p>
      <w:pPr>
        <w:pStyle w:val="ManualNumPar1"/>
        <w:ind w:left="720" w:firstLine="0"/>
        <w:rPr>
          <w:noProof/>
        </w:rPr>
      </w:pPr>
    </w:p>
    <w:p>
      <w:pPr>
        <w:pStyle w:val="ManualNumPar1"/>
        <w:ind w:left="720" w:firstLine="0"/>
        <w:rPr>
          <w:noProof/>
        </w:rPr>
      </w:pPr>
      <w:r>
        <w:rPr>
          <w:noProof/>
        </w:rPr>
        <w:t xml:space="preserve">3) À l’article 49, le paragraphe 2 est modifié comme suit: </w:t>
      </w:r>
    </w:p>
    <w:p>
      <w:pPr>
        <w:pStyle w:val="Text1"/>
        <w:ind w:left="1440"/>
        <w:rPr>
          <w:noProof/>
        </w:rPr>
      </w:pPr>
      <w:r>
        <w:rPr>
          <w:noProof/>
        </w:rPr>
        <w:t xml:space="preserve">«2. L’autorité de l’État membre chargée de la sélection des opérations s’assure que les opérations, à l’exception des opérations prévues à l’article 18, paragraphe 1, point b), à l’article 24, paragraphe 1, point d), aux articles 28 à 31, 33, 34 et 36 à 39 </w:t>
      </w:r>
      <w:r>
        <w:rPr>
          <w:i/>
          <w:iCs/>
          <w:noProof/>
        </w:rPr>
        <w:t>ter</w:t>
      </w:r>
      <w:r>
        <w:rPr>
          <w:noProof/>
        </w:rPr>
        <w:t>, sont sélectionnées selon les critères visés au paragraphe 1 et suivant une procédure transparente et bien établie.»</w:t>
      </w:r>
    </w:p>
    <w:p>
      <w:pPr>
        <w:pStyle w:val="Text1"/>
        <w:rPr>
          <w:noProof/>
        </w:rPr>
      </w:pPr>
    </w:p>
    <w:p>
      <w:pPr>
        <w:ind w:left="-76"/>
        <w:rPr>
          <w:noProof/>
        </w:rPr>
      </w:pPr>
    </w:p>
    <w:p>
      <w:pPr>
        <w:pStyle w:val="Titrearticle"/>
        <w:rPr>
          <w:noProof/>
        </w:rPr>
      </w:pPr>
      <w:r>
        <w:rPr>
          <w:noProof/>
        </w:rPr>
        <w:t>Article 2</w:t>
      </w:r>
    </w:p>
    <w:p>
      <w:pPr>
        <w:rPr>
          <w:noProof/>
        </w:rPr>
      </w:pPr>
      <w:r>
        <w:rPr>
          <w:noProof/>
        </w:rPr>
        <w:t xml:space="preserve">Le présent règlement entre en vigueur le jour de sa publication au </w:t>
      </w:r>
      <w:r>
        <w:rPr>
          <w:i/>
          <w:noProof/>
        </w:rPr>
        <w:t>Journal officiel de l’Union européenne</w:t>
      </w:r>
      <w:r>
        <w:rPr>
          <w:noProof/>
        </w:rPr>
        <w:t>.</w:t>
      </w:r>
    </w:p>
    <w:p>
      <w:pPr>
        <w:pStyle w:val="Applicationdirecte"/>
        <w:keepNext/>
        <w:keepLines/>
        <w:rPr>
          <w:noProof/>
        </w:rPr>
      </w:pPr>
      <w:r>
        <w:rPr>
          <w:noProof/>
        </w:rPr>
        <w:lastRenderedPageBreak/>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p>
      <w:pPr>
        <w:rPr>
          <w:noProof/>
        </w:rPr>
        <w:sectPr>
          <w:pgSz w:w="11907" w:h="16839"/>
          <w:pgMar w:top="1134" w:right="1417" w:bottom="1134" w:left="1417" w:header="709" w:footer="709" w:gutter="0"/>
          <w:cols w:space="720"/>
          <w:docGrid w:linePitch="360"/>
        </w:sectPr>
      </w:pPr>
    </w:p>
    <w:p>
      <w:pPr>
        <w:pStyle w:val="Fichefinanciretitre"/>
        <w:rPr>
          <w:noProof/>
        </w:rPr>
      </w:pPr>
      <w:r>
        <w:rPr>
          <w:noProof/>
        </w:rPr>
        <w:lastRenderedPageBreak/>
        <w:t>FICHE FINANCIÈRE LÉGISLATIVE</w:t>
      </w:r>
    </w:p>
    <w:p>
      <w:pPr>
        <w:pStyle w:val="ManualHeading1"/>
        <w:rPr>
          <w:noProof/>
        </w:rPr>
      </w:pPr>
      <w:bookmarkStart w:id="1" w:name="_Toc514938007"/>
      <w:bookmarkStart w:id="2" w:name="_Toc520485025"/>
      <w:r>
        <w:t>1.</w:t>
      </w:r>
      <w:r>
        <w:tab/>
      </w:r>
      <w:r>
        <w:rPr>
          <w:noProof/>
        </w:rPr>
        <w:t>CADRE DE LA PROPOSITION/DE L’INITIATIVE</w:t>
      </w:r>
      <w:bookmarkEnd w:id="1"/>
      <w:bookmarkEnd w:id="2"/>
      <w:r>
        <w:rPr>
          <w:noProof/>
        </w:rPr>
        <w:t xml:space="preserve"> </w:t>
      </w:r>
    </w:p>
    <w:p>
      <w:pPr>
        <w:pStyle w:val="ManualHeading2"/>
        <w:rPr>
          <w:noProof/>
        </w:rPr>
      </w:pPr>
      <w:bookmarkStart w:id="3" w:name="_Toc514938008"/>
      <w:bookmarkStart w:id="4" w:name="_Toc520485026"/>
      <w:r>
        <w:t>1.1.</w:t>
      </w:r>
      <w:r>
        <w:tab/>
      </w:r>
      <w:r>
        <w:rPr>
          <w:noProof/>
        </w:rPr>
        <w:t>Dénomination de la proposition/de l’initiative</w:t>
      </w:r>
      <w:bookmarkEnd w:id="3"/>
      <w:bookmarkEnd w:id="4"/>
    </w:p>
    <w:p>
      <w:pPr>
        <w:pStyle w:val="Text1"/>
        <w:pBdr>
          <w:top w:val="single" w:sz="4" w:space="1" w:color="auto"/>
          <w:left w:val="single" w:sz="4" w:space="4" w:color="auto"/>
          <w:bottom w:val="single" w:sz="4" w:space="1" w:color="auto"/>
          <w:right w:val="single" w:sz="4" w:space="4" w:color="auto"/>
        </w:pBdr>
        <w:rPr>
          <w:noProof/>
        </w:rPr>
      </w:pPr>
      <w:r>
        <w:t>Proposition de règlement du Parlement européen et du Conseil modifiant le règlement (UE) nº 1305/2013 en ce qui concerne des mesures spécifiques destinées à fournir un soutien temporaire exceptionnel au titre du Feader en réaction à la pandémie de COVID-19</w:t>
      </w:r>
    </w:p>
    <w:p>
      <w:pPr>
        <w:pStyle w:val="ManualHeading2"/>
        <w:rPr>
          <w:bCs/>
          <w:noProof/>
          <w:szCs w:val="24"/>
        </w:rPr>
      </w:pPr>
      <w:bookmarkStart w:id="5" w:name="_Toc514938014"/>
      <w:bookmarkStart w:id="6" w:name="_Toc520485028"/>
      <w:r>
        <w:t>1.2.</w:t>
      </w:r>
      <w:r>
        <w:tab/>
      </w:r>
      <w:r>
        <w:rPr>
          <w:noProof/>
        </w:rPr>
        <w:t>La proposition/l’initiative porte sur:</w:t>
      </w:r>
      <w:bookmarkEnd w:id="5"/>
      <w:bookmarkEnd w:id="6"/>
      <w:r>
        <w:rPr>
          <w:noProof/>
        </w:rPr>
        <w:t xml:space="preserve"> </w:t>
      </w:r>
    </w:p>
    <w:p>
      <w:pPr>
        <w:pStyle w:val="Text1"/>
        <w:rPr>
          <w:b/>
          <w:noProof/>
          <w:sz w:val="22"/>
        </w:rPr>
      </w:pPr>
      <w:r>
        <w:rPr>
          <w:noProof/>
          <w:sz w:val="22"/>
        </w:rPr>
        <w:sym w:font="Wingdings" w:char="F0A8"/>
      </w:r>
      <w:r>
        <w:rPr>
          <w:b/>
          <w:i/>
          <w:noProof/>
          <w:sz w:val="22"/>
        </w:rPr>
        <w:t xml:space="preserve"> </w:t>
      </w:r>
      <w:r>
        <w:rPr>
          <w:b/>
          <w:noProof/>
        </w:rPr>
        <w:t>une action nouvelle</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une action nouvelle suite à un projet pilote/une action préparatoire</w:t>
      </w:r>
      <w:r>
        <w:rPr>
          <w:rStyle w:val="FootnoteReference"/>
          <w:b/>
          <w:noProof/>
        </w:rPr>
        <w:footnoteReference w:id="4"/>
      </w:r>
      <w:r>
        <w:rPr>
          <w:noProof/>
          <w:sz w:val="22"/>
        </w:rPr>
        <w:t xml:space="preserve"> </w:t>
      </w:r>
    </w:p>
    <w:p>
      <w:pPr>
        <w:pStyle w:val="Text1"/>
        <w:rPr>
          <w:noProof/>
          <w:sz w:val="22"/>
        </w:rPr>
      </w:pPr>
      <w:r>
        <w:rPr>
          <w:noProof/>
          <w:sz w:val="22"/>
        </w:rPr>
        <w:sym w:font="Wingdings" w:char="F0A8"/>
      </w:r>
      <w:r>
        <w:rPr>
          <w:i/>
          <w:noProof/>
          <w:sz w:val="22"/>
        </w:rPr>
        <w:t xml:space="preserve"> </w:t>
      </w:r>
      <w:r>
        <w:rPr>
          <w:b/>
          <w:noProof/>
        </w:rPr>
        <w:t>la prolongation d’une action existante</w:t>
      </w:r>
      <w:r>
        <w:rPr>
          <w:noProof/>
          <w:sz w:val="22"/>
        </w:rPr>
        <w:t xml:space="preserve"> </w:t>
      </w:r>
    </w:p>
    <w:p>
      <w:pPr>
        <w:pStyle w:val="Text1"/>
        <w:rPr>
          <w:noProof/>
        </w:rPr>
      </w:pPr>
      <w:r>
        <w:rPr>
          <w:noProof/>
          <w:sz w:val="22"/>
        </w:rPr>
        <w:t>X</w:t>
      </w:r>
      <w:r>
        <w:rPr>
          <w:i/>
          <w:noProof/>
          <w:sz w:val="22"/>
        </w:rPr>
        <w:t xml:space="preserve"> </w:t>
      </w:r>
      <w:r>
        <w:rPr>
          <w:b/>
          <w:noProof/>
        </w:rPr>
        <w:t>une fusion ou une réorientation d’une ou de plusieurs actions vers une autre action/une action nouvelle</w:t>
      </w:r>
      <w:r>
        <w:rPr>
          <w:noProof/>
        </w:rPr>
        <w:t xml:space="preserve"> </w:t>
      </w:r>
    </w:p>
    <w:p>
      <w:pPr>
        <w:pStyle w:val="ManualHeading2"/>
        <w:rPr>
          <w:bCs/>
          <w:noProof/>
          <w:szCs w:val="24"/>
        </w:rPr>
      </w:pPr>
      <w:bookmarkStart w:id="7" w:name="_Toc514938015"/>
      <w:bookmarkStart w:id="8" w:name="_Toc520485029"/>
      <w:r>
        <w:t>1.3.</w:t>
      </w:r>
      <w:r>
        <w:tab/>
      </w:r>
      <w:r>
        <w:rPr>
          <w:noProof/>
        </w:rPr>
        <w:t>Objectif(s)</w:t>
      </w:r>
      <w:bookmarkEnd w:id="7"/>
      <w:bookmarkEnd w:id="8"/>
    </w:p>
    <w:p>
      <w:pPr>
        <w:pStyle w:val="ManualHeading3"/>
        <w:rPr>
          <w:noProof/>
        </w:rPr>
      </w:pPr>
      <w:bookmarkStart w:id="9" w:name="_Toc514938016"/>
      <w:bookmarkStart w:id="10" w:name="_Toc520485030"/>
      <w:r>
        <w:t>1.3.1.</w:t>
      </w:r>
      <w:r>
        <w:tab/>
      </w:r>
      <w:r>
        <w:rPr>
          <w:noProof/>
        </w:rPr>
        <w:t>Objectif général / objectifs généraux</w:t>
      </w:r>
      <w:bookmarkEnd w:id="9"/>
      <w:bookmarkEnd w:id="10"/>
    </w:p>
    <w:p>
      <w:pPr>
        <w:pStyle w:val="Text1"/>
        <w:pBdr>
          <w:top w:val="single" w:sz="4" w:space="1" w:color="auto"/>
          <w:left w:val="single" w:sz="4" w:space="4" w:color="auto"/>
          <w:bottom w:val="single" w:sz="4" w:space="1" w:color="auto"/>
          <w:right w:val="single" w:sz="4" w:space="4" w:color="auto"/>
        </w:pBdr>
      </w:pPr>
      <w:r>
        <w:rPr>
          <w:noProof/>
        </w:rPr>
        <w:t>Prévoir une nouvelle mesure exceptionnelle et temporaire pour répondre aux problèmes de liquidités qui mettent en péril la continuité des activités agricoles et la pérennité des petites entreprises qui transforment les produits agricoles.</w:t>
      </w:r>
      <w:r>
        <w:t xml:space="preserve"> </w:t>
      </w:r>
    </w:p>
    <w:p>
      <w:pPr>
        <w:pStyle w:val="ManualHeading3"/>
        <w:rPr>
          <w:bCs/>
          <w:noProof/>
          <w:szCs w:val="24"/>
        </w:rPr>
      </w:pPr>
      <w:bookmarkStart w:id="11" w:name="_Toc514938018"/>
      <w:bookmarkStart w:id="12" w:name="_Toc520485031"/>
      <w:r>
        <w:t>1.3.2.</w:t>
      </w:r>
      <w:r>
        <w:tab/>
      </w:r>
      <w:r>
        <w:rPr>
          <w:noProof/>
        </w:rPr>
        <w:t>Objectif(s) spécifique(s)</w:t>
      </w:r>
      <w:bookmarkEnd w:id="11"/>
      <w:bookmarkEnd w:id="12"/>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nº</w:t>
      </w:r>
    </w:p>
    <w:p>
      <w:pPr>
        <w:pStyle w:val="Text1"/>
        <w:pBdr>
          <w:top w:val="single" w:sz="4" w:space="1" w:color="auto"/>
          <w:left w:val="single" w:sz="4" w:space="4" w:color="auto"/>
          <w:bottom w:val="single" w:sz="4" w:space="1" w:color="auto"/>
          <w:right w:val="single" w:sz="4" w:space="4" w:color="auto"/>
        </w:pBdr>
      </w:pPr>
      <w:r>
        <w:t>s.o.</w:t>
      </w:r>
    </w:p>
    <w:p>
      <w:pPr>
        <w:pStyle w:val="ManualHeading3"/>
        <w:rPr>
          <w:noProof/>
        </w:rPr>
      </w:pPr>
      <w:bookmarkStart w:id="13" w:name="_Toc514938019"/>
      <w:bookmarkStart w:id="14" w:name="_Toc520485032"/>
      <w:r>
        <w:t>1.3.3.</w:t>
      </w:r>
      <w:r>
        <w:tab/>
      </w:r>
      <w:r>
        <w:rPr>
          <w:noProof/>
        </w:rPr>
        <w:t>Résultat(s) et incidence(s) attendus</w:t>
      </w:r>
      <w:bookmarkEnd w:id="13"/>
      <w:bookmarkEnd w:id="14"/>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t>s.o.</w:t>
      </w:r>
    </w:p>
    <w:p>
      <w:pPr>
        <w:pStyle w:val="ManualHeading3"/>
        <w:rPr>
          <w:noProof/>
          <w:szCs w:val="24"/>
        </w:rPr>
      </w:pPr>
      <w:bookmarkStart w:id="15" w:name="_Toc514938023"/>
      <w:bookmarkStart w:id="16" w:name="_Toc520485033"/>
      <w:r>
        <w:t>1.3.4.</w:t>
      </w:r>
      <w:r>
        <w:tab/>
      </w:r>
      <w:r>
        <w:rPr>
          <w:noProof/>
        </w:rPr>
        <w:t>Indicateurs de performance</w:t>
      </w:r>
      <w:bookmarkEnd w:id="15"/>
      <w:bookmarkEnd w:id="16"/>
    </w:p>
    <w:p>
      <w:pPr>
        <w:pStyle w:val="Text1"/>
        <w:rPr>
          <w:i/>
          <w:noProof/>
          <w:sz w:val="20"/>
        </w:rPr>
      </w:pPr>
      <w:r>
        <w:rPr>
          <w:i/>
          <w:noProof/>
          <w:sz w:val="20"/>
        </w:rPr>
        <w:t>Préciser les indicateurs permettant de suivre l’avancement et les réalisations.</w:t>
      </w:r>
    </w:p>
    <w:p>
      <w:pPr>
        <w:pStyle w:val="Text1"/>
        <w:pBdr>
          <w:top w:val="single" w:sz="4" w:space="1" w:color="auto"/>
          <w:left w:val="single" w:sz="4" w:space="4" w:color="auto"/>
          <w:bottom w:val="single" w:sz="4" w:space="1" w:color="auto"/>
          <w:right w:val="single" w:sz="4" w:space="4" w:color="auto"/>
        </w:pBdr>
      </w:pPr>
      <w:r>
        <w:t>s.o.</w:t>
      </w:r>
    </w:p>
    <w:p>
      <w:pPr>
        <w:pStyle w:val="ManualHeading2"/>
        <w:rPr>
          <w:bCs/>
          <w:noProof/>
          <w:szCs w:val="24"/>
        </w:rPr>
      </w:pPr>
      <w:bookmarkStart w:id="17" w:name="_Toc514938025"/>
      <w:bookmarkStart w:id="18" w:name="_Toc520485034"/>
      <w:r>
        <w:t>1.4.</w:t>
      </w:r>
      <w:r>
        <w:tab/>
      </w:r>
      <w:r>
        <w:rPr>
          <w:noProof/>
        </w:rPr>
        <w:t>Justifications de la proposition/de l’initiative</w:t>
      </w:r>
      <w:bookmarkEnd w:id="17"/>
      <w:bookmarkEnd w:id="18"/>
      <w:r>
        <w:rPr>
          <w:noProof/>
        </w:rPr>
        <w:t xml:space="preserve"> </w:t>
      </w:r>
    </w:p>
    <w:p>
      <w:pPr>
        <w:pStyle w:val="ManualHeading3"/>
        <w:rPr>
          <w:noProof/>
        </w:rPr>
      </w:pPr>
      <w:bookmarkStart w:id="19" w:name="_Toc514938026"/>
      <w:bookmarkStart w:id="20" w:name="_Toc520485035"/>
      <w:r>
        <w:t>1.4.1.</w:t>
      </w:r>
      <w:r>
        <w:tab/>
      </w:r>
      <w:r>
        <w:rPr>
          <w:noProof/>
        </w:rPr>
        <w:t>Besoin(s) à satisfaire à court ou à long terme, assorti(s) d’un calendrier détaillé pour la mise en œuvre de l’initiative</w:t>
      </w:r>
      <w:bookmarkEnd w:id="19"/>
      <w:bookmarkEnd w:id="20"/>
    </w:p>
    <w:p>
      <w:pPr>
        <w:pStyle w:val="Text1"/>
        <w:pBdr>
          <w:top w:val="single" w:sz="4" w:space="1" w:color="auto"/>
          <w:left w:val="single" w:sz="4" w:space="4" w:color="auto"/>
          <w:bottom w:val="single" w:sz="4" w:space="1" w:color="auto"/>
          <w:right w:val="single" w:sz="4" w:space="4" w:color="auto"/>
        </w:pBdr>
        <w:rPr>
          <w:noProof/>
        </w:rPr>
      </w:pPr>
      <w:r>
        <w:rPr>
          <w:noProof/>
        </w:rPr>
        <w:t>s.o.</w:t>
      </w:r>
    </w:p>
    <w:p>
      <w:pPr>
        <w:pStyle w:val="ManualHeading3"/>
        <w:rPr>
          <w:bCs/>
          <w:noProof/>
          <w:szCs w:val="24"/>
        </w:rPr>
      </w:pPr>
      <w:bookmarkStart w:id="21" w:name="_Toc514938029"/>
      <w:bookmarkStart w:id="22" w:name="_Toc520485036"/>
      <w:r>
        <w:t>1.4.2.</w:t>
      </w:r>
      <w:r>
        <w:tab/>
      </w:r>
      <w:r>
        <w:rPr>
          <w:noProof/>
        </w:rPr>
        <w:t>Valeur ajoutée de l’intervention de l’Union (celle-ci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bookmarkEnd w:id="21"/>
      <w:bookmarkEnd w:id="22"/>
    </w:p>
    <w:p>
      <w:pPr>
        <w:pStyle w:val="Text1"/>
        <w:pBdr>
          <w:top w:val="single" w:sz="4" w:space="1" w:color="auto"/>
          <w:left w:val="single" w:sz="4" w:space="4" w:color="auto"/>
          <w:bottom w:val="single" w:sz="4" w:space="1" w:color="auto"/>
          <w:right w:val="single" w:sz="4" w:space="4" w:color="auto"/>
        </w:pBdr>
        <w:rPr>
          <w:noProof/>
        </w:rPr>
      </w:pPr>
      <w:r>
        <w:rPr>
          <w:noProof/>
        </w:rPr>
        <w:t>s.o.</w:t>
      </w:r>
    </w:p>
    <w:p>
      <w:pPr>
        <w:pStyle w:val="ManualHeading3"/>
        <w:rPr>
          <w:noProof/>
        </w:rPr>
      </w:pPr>
      <w:bookmarkStart w:id="23" w:name="_Toc514938030"/>
      <w:bookmarkStart w:id="24" w:name="_Toc520485037"/>
      <w:r>
        <w:t>1.4.3.</w:t>
      </w:r>
      <w:r>
        <w:tab/>
      </w:r>
      <w:r>
        <w:rPr>
          <w:noProof/>
        </w:rPr>
        <w:t>Leçons tirées d’expériences similaires</w:t>
      </w:r>
      <w:bookmarkEnd w:id="23"/>
      <w:bookmarkEnd w:id="24"/>
    </w:p>
    <w:p>
      <w:pPr>
        <w:pStyle w:val="Text1"/>
        <w:pBdr>
          <w:top w:val="single" w:sz="4" w:space="1" w:color="auto"/>
          <w:left w:val="single" w:sz="4" w:space="4" w:color="auto"/>
          <w:bottom w:val="single" w:sz="4" w:space="1" w:color="auto"/>
          <w:right w:val="single" w:sz="4" w:space="4" w:color="auto"/>
        </w:pBdr>
        <w:rPr>
          <w:noProof/>
        </w:rPr>
      </w:pPr>
      <w:r>
        <w:rPr>
          <w:noProof/>
        </w:rPr>
        <w:t>s.o.</w:t>
      </w:r>
    </w:p>
    <w:p>
      <w:pPr>
        <w:pStyle w:val="ManualHeading3"/>
        <w:rPr>
          <w:noProof/>
        </w:rPr>
      </w:pPr>
      <w:bookmarkStart w:id="25" w:name="_Toc514938033"/>
      <w:bookmarkStart w:id="26" w:name="_Toc520485038"/>
      <w:r>
        <w:t>1.4.4.</w:t>
      </w:r>
      <w:r>
        <w:tab/>
      </w:r>
      <w:r>
        <w:rPr>
          <w:noProof/>
        </w:rPr>
        <w:t>Compatibilité avec le cadre financier pluriannuel et synergies éventuelles avec d’autres instruments appropriés</w:t>
      </w:r>
      <w:bookmarkEnd w:id="25"/>
      <w:bookmarkEnd w:id="26"/>
    </w:p>
    <w:p>
      <w:pPr>
        <w:pStyle w:val="Text1"/>
        <w:pBdr>
          <w:top w:val="single" w:sz="4" w:space="1" w:color="auto"/>
          <w:left w:val="single" w:sz="4" w:space="4" w:color="auto"/>
          <w:bottom w:val="single" w:sz="4" w:space="1" w:color="auto"/>
          <w:right w:val="single" w:sz="4" w:space="4" w:color="auto"/>
        </w:pBdr>
        <w:rPr>
          <w:noProof/>
        </w:rPr>
      </w:pPr>
      <w:r>
        <w:t>s.o.</w:t>
      </w:r>
    </w:p>
    <w:p>
      <w:pPr>
        <w:pStyle w:val="ManualHeading3"/>
        <w:rPr>
          <w:noProof/>
        </w:rPr>
      </w:pPr>
      <w:bookmarkStart w:id="27" w:name="_Toc514938036"/>
      <w:bookmarkStart w:id="28" w:name="_Toc520485039"/>
      <w:r>
        <w:t>1.4.5.</w:t>
      </w:r>
      <w:r>
        <w:tab/>
      </w:r>
      <w:r>
        <w:rPr>
          <w:noProof/>
        </w:rPr>
        <w:t>Évaluation des différentes possibilités de financement disponibles, y compris des possibilités de redéploiement</w:t>
      </w:r>
      <w:bookmarkEnd w:id="27"/>
      <w:bookmarkEnd w:id="28"/>
    </w:p>
    <w:p>
      <w:pPr>
        <w:pStyle w:val="Text1"/>
        <w:pBdr>
          <w:top w:val="single" w:sz="4" w:space="1" w:color="auto"/>
          <w:left w:val="single" w:sz="4" w:space="4" w:color="auto"/>
          <w:bottom w:val="single" w:sz="4" w:space="1" w:color="auto"/>
          <w:right w:val="single" w:sz="4" w:space="4" w:color="auto"/>
        </w:pBdr>
        <w:rPr>
          <w:noProof/>
        </w:rPr>
      </w:pPr>
      <w:r>
        <w:t>s.o.</w:t>
      </w:r>
    </w:p>
    <w:p>
      <w:pPr>
        <w:pStyle w:val="Text1"/>
        <w:rPr>
          <w:noProof/>
        </w:rPr>
      </w:pPr>
    </w:p>
    <w:p>
      <w:pPr>
        <w:pStyle w:val="ManualHeading2"/>
        <w:rPr>
          <w:bCs/>
          <w:noProof/>
          <w:szCs w:val="24"/>
        </w:rPr>
      </w:pPr>
      <w:r>
        <w:rPr>
          <w:noProof/>
        </w:rPr>
        <w:br w:type="page"/>
      </w:r>
      <w:bookmarkStart w:id="29" w:name="_Toc514938039"/>
      <w:bookmarkStart w:id="30" w:name="_Toc520485040"/>
      <w:r>
        <w:t>1.5.</w:t>
      </w:r>
      <w:r>
        <w:tab/>
      </w:r>
      <w:r>
        <w:rPr>
          <w:noProof/>
        </w:rPr>
        <w:t>Durée et incidence financière de la proposition/de l’initiative</w:t>
      </w:r>
      <w:bookmarkEnd w:id="29"/>
      <w:bookmarkEnd w:id="30"/>
    </w:p>
    <w:p>
      <w:pPr>
        <w:pStyle w:val="Text1"/>
        <w:rPr>
          <w:noProof/>
        </w:rPr>
      </w:pPr>
      <w:r>
        <w:rPr>
          <w:noProof/>
        </w:rPr>
        <w:t>X</w:t>
      </w:r>
      <w:r>
        <w:rPr>
          <w:b/>
          <w:i/>
          <w:noProof/>
        </w:rPr>
        <w:t xml:space="preserve"> </w:t>
      </w:r>
      <w:r>
        <w:rPr>
          <w:b/>
          <w:noProof/>
        </w:rPr>
        <w:t xml:space="preserve">durée limitée </w:t>
      </w:r>
    </w:p>
    <w:p>
      <w:pPr>
        <w:pStyle w:val="ListDash2"/>
        <w:rPr>
          <w:noProof/>
        </w:rPr>
      </w:pPr>
      <w:r>
        <w:rPr>
          <w:noProof/>
        </w:rPr>
        <w:sym w:font="Wingdings" w:char="F0A8"/>
      </w:r>
      <w:r>
        <w:rPr>
          <w:noProof/>
        </w:rPr>
        <w:tab/>
        <w:t xml:space="preserve">En vigueur à partir de [JJ/MM]AAAA jusqu’en [JJ/MM]AAAA </w:t>
      </w:r>
    </w:p>
    <w:p>
      <w:pPr>
        <w:pStyle w:val="ListDash2"/>
        <w:rPr>
          <w:noProof/>
        </w:rPr>
      </w:pPr>
      <w:r>
        <w:rPr>
          <w:noProof/>
        </w:rPr>
        <w:t>X</w:t>
      </w:r>
      <w:r>
        <w:rPr>
          <w:noProof/>
        </w:rPr>
        <w:tab/>
        <w:t xml:space="preserve">Pas d’incidence financière globale pour les crédits d’engagement et de paiement </w:t>
      </w:r>
    </w:p>
    <w:p>
      <w:pPr>
        <w:pStyle w:val="Text1"/>
        <w:rPr>
          <w:noProof/>
        </w:rPr>
      </w:pPr>
      <w:r>
        <w:rPr>
          <w:noProof/>
        </w:rPr>
        <w:sym w:font="Wingdings" w:char="F0A8"/>
      </w:r>
      <w:r>
        <w:rPr>
          <w:b/>
          <w:i/>
          <w:noProof/>
        </w:rPr>
        <w:t xml:space="preserve"> </w:t>
      </w:r>
      <w:r>
        <w:rPr>
          <w:b/>
          <w:noProof/>
        </w:rPr>
        <w:t>durée illimitée</w:t>
      </w:r>
    </w:p>
    <w:p>
      <w:pPr>
        <w:pStyle w:val="ListDash1"/>
        <w:rPr>
          <w:noProof/>
        </w:rPr>
      </w:pPr>
      <w:r>
        <w:rPr>
          <w:noProof/>
        </w:rPr>
        <w:t>Mise en œuvre avec une période de montée en puissance de AAAA jusqu’en AAAA,</w:t>
      </w:r>
    </w:p>
    <w:p>
      <w:pPr>
        <w:pStyle w:val="ListDash1"/>
        <w:rPr>
          <w:noProof/>
        </w:rPr>
      </w:pPr>
      <w:r>
        <w:rPr>
          <w:noProof/>
        </w:rPr>
        <w:t>puis un fonctionnement en rythme de croisière au-delà.</w:t>
      </w:r>
    </w:p>
    <w:p>
      <w:pPr>
        <w:pStyle w:val="ManualHeading2"/>
        <w:rPr>
          <w:bCs/>
          <w:noProof/>
          <w:szCs w:val="24"/>
        </w:rPr>
      </w:pPr>
      <w:bookmarkStart w:id="31" w:name="_Toc514938040"/>
      <w:bookmarkStart w:id="32" w:name="_Toc520485041"/>
      <w:r>
        <w:t>1.6.</w:t>
      </w:r>
      <w:r>
        <w:tab/>
      </w:r>
      <w:r>
        <w:rPr>
          <w:noProof/>
        </w:rPr>
        <w:t>Mode(s) de gestion prévu(s)</w:t>
      </w:r>
      <w:r>
        <w:rPr>
          <w:rStyle w:val="FootnoteReference"/>
          <w:noProof/>
        </w:rPr>
        <w:footnoteReference w:id="5"/>
      </w:r>
      <w:bookmarkEnd w:id="31"/>
      <w:bookmarkEnd w:id="32"/>
    </w:p>
    <w:p>
      <w:pPr>
        <w:pStyle w:val="Text1"/>
        <w:rPr>
          <w:noProof/>
        </w:rPr>
      </w:pPr>
      <w:r>
        <w:rPr>
          <w:noProof/>
        </w:rPr>
        <w:sym w:font="Wingdings" w:char="F0A8"/>
      </w:r>
      <w:r>
        <w:rPr>
          <w:i/>
          <w:noProof/>
        </w:rPr>
        <w:t xml:space="preserve"> </w:t>
      </w:r>
      <w:r>
        <w:rPr>
          <w:b/>
          <w:noProof/>
        </w:rPr>
        <w:t>Gestion directe</w:t>
      </w:r>
      <w:r>
        <w:rPr>
          <w:noProof/>
        </w:rPr>
        <w:t xml:space="preserve"> par la Commission</w:t>
      </w:r>
    </w:p>
    <w:p>
      <w:pPr>
        <w:pStyle w:val="ListDash2"/>
        <w:rPr>
          <w:rFonts w:cs="EUAlbertina"/>
          <w:noProof/>
        </w:rPr>
      </w:pPr>
      <w:r>
        <w:rPr>
          <w:noProof/>
        </w:rPr>
        <w:sym w:font="Wingdings" w:char="F0A8"/>
      </w:r>
      <w:r>
        <w:rPr>
          <w:noProof/>
        </w:rPr>
        <w:t xml:space="preserve"> dans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rPr>
      </w:pPr>
      <w:r>
        <w:rPr>
          <w:noProof/>
        </w:rPr>
        <w:t>X</w:t>
      </w:r>
      <w:r>
        <w:rPr>
          <w:b/>
          <w:i/>
          <w:noProof/>
        </w:rPr>
        <w:t xml:space="preserve"> </w:t>
      </w:r>
      <w:r>
        <w:rPr>
          <w:b/>
          <w:noProof/>
        </w:rPr>
        <w:t>Gestion partagée</w:t>
      </w:r>
      <w:r>
        <w:rPr>
          <w:noProof/>
        </w:rPr>
        <w:t xml:space="preserve"> avec les États membres </w:t>
      </w:r>
    </w:p>
    <w:p>
      <w:pPr>
        <w:pStyle w:val="Text1"/>
        <w:rPr>
          <w:noProof/>
        </w:rPr>
      </w:pPr>
      <w:r>
        <w:rPr>
          <w:noProof/>
        </w:rPr>
        <w:sym w:font="Wingdings" w:char="F0A8"/>
      </w:r>
      <w:r>
        <w:rPr>
          <w:i/>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A8"/>
      </w:r>
      <w:r>
        <w:rPr>
          <w:noProof/>
        </w:rPr>
        <w:t xml:space="preserve"> aux organismes visés aux articles 70 et 71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pPr>
      <w:r>
        <w:t>Cette nouvelle proposition n’entraîne aucun changement dans les plafonds annuels du cadre financier pluriannuel en matière d’engagements et de paiements figurant à l’annexe du règlement (UE) nº 1311/2013. La ventilation annuelle des crédits d’engagement au titre du Fonds européen agricole pour le développement rural reste inchangée.</w:t>
      </w:r>
    </w:p>
    <w:p>
      <w:pPr>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r>
        <w:t>Globalement, cette mesure ne nécessite pas de crédits de paiement supplémentaires. Les crédits de paiement 2021 nécessaires pour financer cette mesure seront compensés par une diminution des besoins de paiement au cours des années suivantes.</w:t>
      </w:r>
    </w:p>
    <w:p>
      <w:pPr>
        <w:pStyle w:val="ManualHeading1"/>
        <w:rPr>
          <w:bCs/>
          <w:noProof/>
          <w:szCs w:val="24"/>
        </w:rPr>
      </w:pPr>
      <w:bookmarkStart w:id="33" w:name="_Toc514938041"/>
      <w:bookmarkStart w:id="34" w:name="_Toc520485042"/>
      <w:r>
        <w:t>2.</w:t>
      </w:r>
      <w:r>
        <w:tab/>
      </w:r>
      <w:r>
        <w:rPr>
          <w:noProof/>
        </w:rPr>
        <w:t>MESURES DE GESTION</w:t>
      </w:r>
      <w:bookmarkEnd w:id="33"/>
      <w:bookmarkEnd w:id="34"/>
      <w:r>
        <w:rPr>
          <w:noProof/>
        </w:rPr>
        <w:t xml:space="preserve"> </w:t>
      </w:r>
    </w:p>
    <w:p>
      <w:pPr>
        <w:pStyle w:val="ManualHeading2"/>
        <w:rPr>
          <w:noProof/>
        </w:rPr>
      </w:pPr>
      <w:bookmarkStart w:id="35" w:name="_Toc514938042"/>
      <w:bookmarkStart w:id="36" w:name="_Toc520485043"/>
      <w:r>
        <w:t>2.1.</w:t>
      </w:r>
      <w:r>
        <w:tab/>
      </w:r>
      <w:r>
        <w:rPr>
          <w:noProof/>
        </w:rPr>
        <w:t>Dispositions en matière de suivi et de compte rendu</w:t>
      </w:r>
      <w:bookmarkEnd w:id="35"/>
      <w:bookmarkEnd w:id="36"/>
      <w:r>
        <w:rPr>
          <w:noProof/>
        </w:rPr>
        <w:t xml:space="preserve"> </w:t>
      </w:r>
    </w:p>
    <w:p>
      <w:pPr>
        <w:pStyle w:val="Text1"/>
        <w:rPr>
          <w:i/>
          <w:noProof/>
          <w:sz w:val="20"/>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t>s.o.</w:t>
      </w:r>
    </w:p>
    <w:p>
      <w:pPr>
        <w:pStyle w:val="ManualHeading2"/>
        <w:rPr>
          <w:bCs/>
          <w:noProof/>
          <w:szCs w:val="24"/>
        </w:rPr>
      </w:pPr>
      <w:bookmarkStart w:id="37" w:name="_Toc514938045"/>
      <w:bookmarkStart w:id="38" w:name="_Toc520485044"/>
      <w:r>
        <w:t>2.2.</w:t>
      </w:r>
      <w:r>
        <w:tab/>
      </w:r>
      <w:r>
        <w:rPr>
          <w:noProof/>
        </w:rPr>
        <w:t>Système(s) de gestion et de contrôle</w:t>
      </w:r>
      <w:bookmarkEnd w:id="37"/>
      <w:bookmarkEnd w:id="38"/>
      <w:r>
        <w:rPr>
          <w:noProof/>
        </w:rPr>
        <w:t xml:space="preserve"> </w:t>
      </w:r>
    </w:p>
    <w:p>
      <w:pPr>
        <w:pStyle w:val="ManualHeading3"/>
        <w:rPr>
          <w:noProof/>
        </w:rPr>
      </w:pPr>
      <w:bookmarkStart w:id="39" w:name="_Toc514938046"/>
      <w:bookmarkStart w:id="40" w:name="_Toc520485045"/>
      <w:r>
        <w:t>2.2.1.</w:t>
      </w:r>
      <w:r>
        <w:tab/>
      </w:r>
      <w:r>
        <w:rPr>
          <w:noProof/>
        </w:rPr>
        <w:t>Justification du (des) mode(s) de gestion, du (des) mécanisme(s) de mise en œuvre du financement, des modalités de paiement et de la stratégie de contrôle proposée</w:t>
      </w:r>
      <w:bookmarkEnd w:id="39"/>
      <w:bookmarkEnd w:id="40"/>
    </w:p>
    <w:p>
      <w:pPr>
        <w:pStyle w:val="Text1"/>
        <w:pBdr>
          <w:top w:val="single" w:sz="4" w:space="1" w:color="auto"/>
          <w:left w:val="single" w:sz="4" w:space="4" w:color="auto"/>
          <w:bottom w:val="single" w:sz="4" w:space="1" w:color="auto"/>
          <w:right w:val="single" w:sz="4" w:space="4" w:color="auto"/>
        </w:pBdr>
        <w:rPr>
          <w:noProof/>
        </w:rPr>
      </w:pPr>
      <w:r>
        <w:rPr>
          <w:noProof/>
        </w:rPr>
        <w:t>s.o.</w:t>
      </w:r>
    </w:p>
    <w:p>
      <w:pPr>
        <w:pStyle w:val="ManualHeading3"/>
        <w:rPr>
          <w:bCs/>
          <w:noProof/>
          <w:szCs w:val="24"/>
        </w:rPr>
      </w:pPr>
      <w:bookmarkStart w:id="41" w:name="_Toc514938047"/>
      <w:bookmarkStart w:id="42" w:name="_Toc520485046"/>
      <w:r>
        <w:t>2.2.2.</w:t>
      </w:r>
      <w:r>
        <w:tab/>
      </w:r>
      <w:r>
        <w:rPr>
          <w:noProof/>
        </w:rPr>
        <w:t>Informations sur les risques recensés et sur le(s) système(s) de contrôle interne mis en place pour les atténuer</w:t>
      </w:r>
      <w:bookmarkEnd w:id="41"/>
      <w:bookmarkEnd w:id="42"/>
    </w:p>
    <w:p>
      <w:pPr>
        <w:pStyle w:val="Text1"/>
        <w:pBdr>
          <w:top w:val="single" w:sz="4" w:space="1" w:color="auto"/>
          <w:left w:val="single" w:sz="4" w:space="4" w:color="auto"/>
          <w:bottom w:val="single" w:sz="4" w:space="1" w:color="auto"/>
          <w:right w:val="single" w:sz="4" w:space="4" w:color="auto"/>
        </w:pBdr>
        <w:rPr>
          <w:noProof/>
        </w:rPr>
      </w:pPr>
      <w:r>
        <w:t>s.o.</w:t>
      </w:r>
    </w:p>
    <w:p>
      <w:pPr>
        <w:pStyle w:val="ManualHeading3"/>
        <w:rPr>
          <w:noProof/>
        </w:rPr>
      </w:pPr>
      <w:bookmarkStart w:id="43" w:name="_Toc514938048"/>
      <w:bookmarkStart w:id="44" w:name="_Toc520485047"/>
      <w:r>
        <w:t>2.2.3.</w:t>
      </w:r>
      <w:r>
        <w:tab/>
      </w:r>
      <w:r>
        <w:rPr>
          <w:noProof/>
        </w:rPr>
        <w:t>Estimation et justification du rapport coût/efficacité des contrôles (rapport «coûts du contrôle ÷ valeur des fonds gérés concernés»), et évaluation du niveau attendu de risque d’erreur (lors du paiement et lors de la clôture)</w:t>
      </w:r>
      <w:bookmarkEnd w:id="43"/>
      <w:bookmarkEnd w:id="44"/>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t>s.o.</w:t>
      </w:r>
    </w:p>
    <w:p>
      <w:pPr>
        <w:pStyle w:val="ManualHeading2"/>
        <w:rPr>
          <w:bCs/>
          <w:noProof/>
          <w:szCs w:val="24"/>
        </w:rPr>
      </w:pPr>
      <w:bookmarkStart w:id="45" w:name="_Toc514938049"/>
      <w:bookmarkStart w:id="46" w:name="_Toc520485048"/>
      <w:r>
        <w:t>2.3.</w:t>
      </w:r>
      <w:r>
        <w:tab/>
      </w:r>
      <w:r>
        <w:rPr>
          <w:noProof/>
        </w:rPr>
        <w:t>Mesures de prévention des fraudes et irrégularités</w:t>
      </w:r>
      <w:bookmarkEnd w:id="45"/>
      <w:bookmarkEnd w:id="46"/>
      <w:r>
        <w:rPr>
          <w:noProof/>
        </w:rPr>
        <w:t xml:space="preserve"> </w:t>
      </w:r>
    </w:p>
    <w:p>
      <w:pPr>
        <w:pStyle w:val="Text1"/>
        <w:rPr>
          <w:i/>
          <w:noProof/>
          <w:sz w:val="20"/>
        </w:rPr>
      </w:pPr>
      <w:r>
        <w:rPr>
          <w:i/>
          <w:noProof/>
          <w:sz w:val="20"/>
        </w:rPr>
        <w:t>Préciser les mesures de prévention et de protection existantes ou envisagées, au titre de la stratégie antifraude par exemple.</w:t>
      </w:r>
    </w:p>
    <w:p>
      <w:pPr>
        <w:pStyle w:val="Text1"/>
        <w:pBdr>
          <w:top w:val="single" w:sz="4" w:space="1" w:color="auto"/>
          <w:left w:val="single" w:sz="4" w:space="4" w:color="auto"/>
          <w:bottom w:val="single" w:sz="4" w:space="1" w:color="auto"/>
          <w:right w:val="single" w:sz="4" w:space="4" w:color="auto"/>
        </w:pBdr>
        <w:rPr>
          <w:noProof/>
        </w:rPr>
      </w:pPr>
      <w:r>
        <w:t>s.o.</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47" w:name="_Toc514938050"/>
      <w:bookmarkStart w:id="48" w:name="_Toc520485049"/>
      <w:r>
        <w:t>3.</w:t>
      </w:r>
      <w:r>
        <w:tab/>
      </w:r>
      <w:r>
        <w:rPr>
          <w:noProof/>
        </w:rPr>
        <w:t>INCIDENCE FINANCIÈRE ESTIMÉE DE LA PROPOSITION/DE L’INITIATIVE</w:t>
      </w:r>
      <w:bookmarkEnd w:id="47"/>
      <w:bookmarkEnd w:id="48"/>
      <w:r>
        <w:rPr>
          <w:noProof/>
        </w:rPr>
        <w:t xml:space="preserve"> </w:t>
      </w:r>
    </w:p>
    <w:p>
      <w:pPr>
        <w:pStyle w:val="ManualHeading2"/>
        <w:rPr>
          <w:noProof/>
        </w:rPr>
      </w:pPr>
      <w:bookmarkStart w:id="49" w:name="_Toc514938051"/>
      <w:bookmarkStart w:id="50" w:name="_Toc520485050"/>
      <w:r>
        <w:t>3.1.</w:t>
      </w:r>
      <w:r>
        <w:tab/>
      </w:r>
      <w:r>
        <w:rPr>
          <w:noProof/>
        </w:rPr>
        <w:t>Rubrique(s) du cadre financier pluriannuel et ligne(s) budgétaire(s) de dépenses concernée(s)</w:t>
      </w:r>
      <w:bookmarkEnd w:id="49"/>
      <w:bookmarkEnd w:id="50"/>
      <w:r>
        <w:rPr>
          <w:noProof/>
        </w:rPr>
        <w:t xml:space="preserve"> </w:t>
      </w:r>
    </w:p>
    <w:p>
      <w:pPr>
        <w:pStyle w:val="ListBullet1"/>
        <w:rPr>
          <w:noProof/>
        </w:rPr>
      </w:pPr>
      <w:r>
        <w:rPr>
          <w:noProof/>
        </w:rPr>
        <w:t xml:space="preserve">Lignes budgétaires existantes </w:t>
      </w:r>
    </w:p>
    <w:p>
      <w:pPr>
        <w:pStyle w:val="Text1"/>
        <w:rPr>
          <w:i/>
          <w:noProof/>
        </w:rPr>
      </w:pPr>
      <w:r>
        <w:rPr>
          <w:i/>
          <w:noProof/>
          <w:u w:val="single"/>
        </w:rPr>
        <w:t>Dans 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Nature de</w:t>
            </w:r>
            <w:r>
              <w:rPr>
                <w:noProof/>
              </w:rPr>
              <w:t xml:space="preserve"> </w:t>
            </w:r>
            <w:r>
              <w:rPr>
                <w:noProof/>
              </w:rPr>
              <w:br/>
            </w:r>
            <w:r>
              <w:rPr>
                <w:noProof/>
                <w:sz w:val="18"/>
              </w:rPr>
              <w:t>la dépense</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rPr>
                <w:noProof/>
              </w:rPr>
            </w:pPr>
            <w:r>
              <w:rPr>
                <w:noProof/>
                <w:sz w:val="20"/>
              </w:rPr>
              <w:t>Numéro</w:t>
            </w:r>
            <w:r>
              <w:rPr>
                <w:noProof/>
              </w:rPr>
              <w:br/>
            </w:r>
          </w:p>
        </w:tc>
        <w:tc>
          <w:tcPr>
            <w:tcW w:w="1080" w:type="dxa"/>
            <w:vAlign w:val="center"/>
          </w:tcPr>
          <w:p>
            <w:pPr>
              <w:jc w:val="center"/>
              <w:rPr>
                <w:noProof/>
              </w:rPr>
            </w:pPr>
            <w:r>
              <w:rPr>
                <w:noProof/>
                <w:sz w:val="18"/>
              </w:rPr>
              <w:t>CD/CND</w:t>
            </w:r>
            <w:r>
              <w:rPr>
                <w:rStyle w:val="FootnoteReference"/>
                <w:noProof/>
                <w:sz w:val="18"/>
              </w:rPr>
              <w:footnoteReference w:id="6"/>
            </w:r>
          </w:p>
        </w:tc>
        <w:tc>
          <w:tcPr>
            <w:tcW w:w="956" w:type="dxa"/>
            <w:vAlign w:val="center"/>
          </w:tcPr>
          <w:p>
            <w:pPr>
              <w:jc w:val="center"/>
              <w:rPr>
                <w:noProof/>
              </w:rPr>
            </w:pPr>
            <w:r>
              <w:rPr>
                <w:noProof/>
                <w:sz w:val="18"/>
              </w:rPr>
              <w:t>de pays AELE</w:t>
            </w:r>
            <w:r>
              <w:rPr>
                <w:rStyle w:val="FootnoteReference"/>
                <w:noProof/>
                <w:sz w:val="18"/>
              </w:rPr>
              <w:footnoteReference w:id="7"/>
            </w:r>
          </w:p>
          <w:p>
            <w:pPr>
              <w:spacing w:before="0" w:after="0"/>
              <w:jc w:val="center"/>
              <w:rPr>
                <w:b/>
                <w:noProof/>
                <w:sz w:val="18"/>
              </w:rPr>
            </w:pPr>
          </w:p>
        </w:tc>
        <w:tc>
          <w:tcPr>
            <w:tcW w:w="1080" w:type="dxa"/>
            <w:vAlign w:val="center"/>
          </w:tcPr>
          <w:p>
            <w:pPr>
              <w:jc w:val="center"/>
              <w:rPr>
                <w:noProof/>
              </w:rPr>
            </w:pPr>
            <w:r>
              <w:rPr>
                <w:noProof/>
                <w:sz w:val="18"/>
              </w:rPr>
              <w:t>de pays candidats</w:t>
            </w:r>
            <w:r>
              <w:rPr>
                <w:rStyle w:val="FootnoteReference"/>
                <w:noProof/>
                <w:sz w:val="18"/>
              </w:rPr>
              <w:footnoteReference w:id="8"/>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color w:val="0000FF"/>
              </w:rPr>
            </w:pPr>
          </w:p>
        </w:tc>
        <w:tc>
          <w:tcPr>
            <w:tcW w:w="3960" w:type="dxa"/>
            <w:vAlign w:val="center"/>
          </w:tcPr>
          <w:p>
            <w:pPr>
              <w:spacing w:before="60"/>
              <w:rPr>
                <w:noProof/>
              </w:rPr>
            </w:pPr>
            <w:r>
              <w:rPr>
                <w:noProof/>
              </w:rPr>
              <w:t>05.046001</w:t>
            </w:r>
            <w:r>
              <w:rPr>
                <w:rStyle w:val="FootnoteReference"/>
                <w:noProof/>
              </w:rPr>
              <w:footnoteReference w:id="9"/>
            </w:r>
          </w:p>
        </w:tc>
        <w:tc>
          <w:tcPr>
            <w:tcW w:w="1080" w:type="dxa"/>
            <w:vAlign w:val="center"/>
          </w:tcPr>
          <w:p>
            <w:pPr>
              <w:jc w:val="center"/>
              <w:rPr>
                <w:noProof/>
                <w:color w:val="0000FF"/>
              </w:rPr>
            </w:pPr>
            <w:r>
              <w:rPr>
                <w:noProof/>
                <w:sz w:val="22"/>
              </w:rPr>
              <w:t>CD</w:t>
            </w:r>
          </w:p>
        </w:tc>
        <w:tc>
          <w:tcPr>
            <w:tcW w:w="956" w:type="dxa"/>
            <w:vAlign w:val="center"/>
          </w:tcPr>
          <w:p>
            <w:pPr>
              <w:jc w:val="center"/>
              <w:rPr>
                <w:noProof/>
                <w:sz w:val="20"/>
                <w:szCs w:val="20"/>
              </w:rPr>
            </w:pPr>
            <w:r>
              <w:rPr>
                <w:noProof/>
                <w:sz w:val="20"/>
                <w:szCs w:val="20"/>
              </w:rPr>
              <w:t>NON</w:t>
            </w:r>
          </w:p>
        </w:tc>
        <w:tc>
          <w:tcPr>
            <w:tcW w:w="1080" w:type="dxa"/>
            <w:vAlign w:val="center"/>
          </w:tcPr>
          <w:p>
            <w:pPr>
              <w:jc w:val="center"/>
              <w:rPr>
                <w:noProof/>
                <w:sz w:val="20"/>
                <w:szCs w:val="20"/>
              </w:rPr>
            </w:pPr>
            <w:r>
              <w:rPr>
                <w:noProof/>
                <w:sz w:val="20"/>
                <w:szCs w:val="20"/>
              </w:rPr>
              <w:t>NON</w:t>
            </w:r>
          </w:p>
        </w:tc>
        <w:tc>
          <w:tcPr>
            <w:tcW w:w="956" w:type="dxa"/>
            <w:vAlign w:val="center"/>
          </w:tcPr>
          <w:p>
            <w:pPr>
              <w:jc w:val="center"/>
              <w:rPr>
                <w:noProof/>
                <w:sz w:val="20"/>
                <w:szCs w:val="20"/>
              </w:rPr>
            </w:pPr>
            <w:r>
              <w:rPr>
                <w:noProof/>
                <w:sz w:val="20"/>
                <w:szCs w:val="20"/>
              </w:rPr>
              <w:t>NON</w:t>
            </w:r>
          </w:p>
        </w:tc>
        <w:tc>
          <w:tcPr>
            <w:tcW w:w="1448" w:type="dxa"/>
            <w:vAlign w:val="center"/>
          </w:tcPr>
          <w:p>
            <w:pPr>
              <w:jc w:val="center"/>
              <w:rPr>
                <w:noProof/>
                <w:sz w:val="20"/>
                <w:szCs w:val="20"/>
              </w:rPr>
            </w:pPr>
            <w:r>
              <w:rPr>
                <w:noProof/>
                <w:sz w:val="20"/>
                <w:szCs w:val="20"/>
              </w:rPr>
              <w:t>NON</w:t>
            </w:r>
          </w:p>
        </w:tc>
      </w:tr>
    </w:tbl>
    <w:p>
      <w:pPr>
        <w:pStyle w:val="ListBullet1"/>
        <w:rPr>
          <w:noProof/>
        </w:rPr>
      </w:pPr>
      <w:r>
        <w:rPr>
          <w:noProof/>
        </w:rPr>
        <w:t xml:space="preserve">Nouvelles lignes budgétaires, dont la création est demandée </w:t>
      </w:r>
    </w:p>
    <w:p>
      <w:pPr>
        <w:pStyle w:val="Text1"/>
        <w:rPr>
          <w:i/>
          <w:noProof/>
          <w:sz w:val="20"/>
        </w:rPr>
      </w:pPr>
      <w:r>
        <w:rPr>
          <w:i/>
          <w:noProof/>
          <w:u w:val="single"/>
        </w:rPr>
        <w:t>Dans 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Nature de</w:t>
            </w:r>
            <w:r>
              <w:rPr>
                <w:noProof/>
              </w:rPr>
              <w:t xml:space="preserve"> </w:t>
            </w:r>
            <w:r>
              <w:rPr>
                <w:noProof/>
              </w:rPr>
              <w:br/>
            </w:r>
            <w:r>
              <w:rPr>
                <w:noProof/>
                <w:sz w:val="18"/>
              </w:rPr>
              <w:t>la dépense</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rPr>
                <w:noProof/>
              </w:rPr>
            </w:pPr>
            <w:r>
              <w:rPr>
                <w:noProof/>
                <w:sz w:val="20"/>
              </w:rPr>
              <w:t>Numéro</w:t>
            </w:r>
            <w:r>
              <w:rPr>
                <w:noProof/>
              </w:rPr>
              <w:br/>
            </w:r>
          </w:p>
        </w:tc>
        <w:tc>
          <w:tcPr>
            <w:tcW w:w="1080" w:type="dxa"/>
            <w:vAlign w:val="center"/>
          </w:tcPr>
          <w:p>
            <w:pPr>
              <w:jc w:val="center"/>
              <w:rPr>
                <w:noProof/>
              </w:rPr>
            </w:pPr>
            <w:r>
              <w:rPr>
                <w:noProof/>
                <w:sz w:val="18"/>
              </w:rPr>
              <w:t>CD/CND</w:t>
            </w:r>
          </w:p>
        </w:tc>
        <w:tc>
          <w:tcPr>
            <w:tcW w:w="956" w:type="dxa"/>
            <w:vAlign w:val="center"/>
          </w:tcPr>
          <w:p>
            <w:pPr>
              <w:jc w:val="center"/>
              <w:rPr>
                <w:noProof/>
                <w:sz w:val="18"/>
              </w:rPr>
            </w:pPr>
            <w:r>
              <w:rPr>
                <w:noProof/>
                <w:sz w:val="18"/>
              </w:rPr>
              <w:t>de pays AELE</w:t>
            </w:r>
          </w:p>
        </w:tc>
        <w:tc>
          <w:tcPr>
            <w:tcW w:w="1080" w:type="dxa"/>
            <w:vAlign w:val="center"/>
          </w:tcPr>
          <w:p>
            <w:pPr>
              <w:jc w:val="center"/>
              <w:rPr>
                <w:noProof/>
                <w:sz w:val="18"/>
              </w:rPr>
            </w:pPr>
            <w:r>
              <w:rPr>
                <w:noProof/>
                <w:sz w:val="18"/>
              </w:rPr>
              <w:t>de pays candidats</w:t>
            </w:r>
          </w:p>
        </w:tc>
        <w:tc>
          <w:tcPr>
            <w:tcW w:w="956"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color w:val="0000FF"/>
              </w:rPr>
            </w:pPr>
          </w:p>
        </w:tc>
        <w:tc>
          <w:tcPr>
            <w:tcW w:w="3960" w:type="dxa"/>
            <w:vAlign w:val="center"/>
          </w:tcPr>
          <w:p>
            <w:pPr>
              <w:spacing w:before="60"/>
              <w:rPr>
                <w:noProof/>
              </w:rPr>
            </w:pPr>
            <w:r>
              <w:rPr>
                <w:noProof/>
                <w:sz w:val="22"/>
              </w:rPr>
              <w:t>s.o.</w:t>
            </w:r>
          </w:p>
          <w:p>
            <w:pPr>
              <w:spacing w:after="60"/>
              <w:rPr>
                <w:noProof/>
                <w:color w:val="0000FF"/>
              </w:rPr>
            </w:pPr>
          </w:p>
        </w:tc>
        <w:tc>
          <w:tcPr>
            <w:tcW w:w="1080" w:type="dxa"/>
            <w:vAlign w:val="center"/>
          </w:tcPr>
          <w:p>
            <w:pPr>
              <w:jc w:val="center"/>
              <w:rPr>
                <w:noProof/>
                <w:color w:val="0000FF"/>
              </w:rPr>
            </w:pPr>
          </w:p>
        </w:tc>
        <w:tc>
          <w:tcPr>
            <w:tcW w:w="956" w:type="dxa"/>
            <w:vAlign w:val="center"/>
          </w:tcPr>
          <w:p>
            <w:pPr>
              <w:jc w:val="center"/>
              <w:rPr>
                <w:noProof/>
                <w:sz w:val="20"/>
                <w:szCs w:val="20"/>
              </w:rPr>
            </w:pPr>
            <w:r>
              <w:rPr>
                <w:noProof/>
                <w:sz w:val="20"/>
                <w:szCs w:val="20"/>
              </w:rPr>
              <w:t>OUI/NON</w:t>
            </w:r>
          </w:p>
        </w:tc>
        <w:tc>
          <w:tcPr>
            <w:tcW w:w="1080" w:type="dxa"/>
            <w:vAlign w:val="center"/>
          </w:tcPr>
          <w:p>
            <w:pPr>
              <w:jc w:val="center"/>
              <w:rPr>
                <w:noProof/>
                <w:color w:val="0000FF"/>
                <w:sz w:val="20"/>
                <w:szCs w:val="20"/>
              </w:rPr>
            </w:pPr>
            <w:r>
              <w:rPr>
                <w:noProof/>
                <w:sz w:val="20"/>
                <w:szCs w:val="20"/>
              </w:rPr>
              <w:t>OUI/NON</w:t>
            </w:r>
          </w:p>
        </w:tc>
        <w:tc>
          <w:tcPr>
            <w:tcW w:w="956" w:type="dxa"/>
            <w:vAlign w:val="center"/>
          </w:tcPr>
          <w:p>
            <w:pPr>
              <w:jc w:val="center"/>
              <w:rPr>
                <w:noProof/>
                <w:color w:val="0000FF"/>
                <w:sz w:val="20"/>
                <w:szCs w:val="20"/>
              </w:rPr>
            </w:pPr>
            <w:r>
              <w:rPr>
                <w:noProof/>
                <w:sz w:val="20"/>
                <w:szCs w:val="20"/>
              </w:rPr>
              <w:t>OUI/NON</w:t>
            </w:r>
          </w:p>
        </w:tc>
        <w:tc>
          <w:tcPr>
            <w:tcW w:w="1448" w:type="dxa"/>
            <w:vAlign w:val="center"/>
          </w:tcPr>
          <w:p>
            <w:pPr>
              <w:jc w:val="center"/>
              <w:rPr>
                <w:noProof/>
                <w:sz w:val="20"/>
                <w:szCs w:val="20"/>
              </w:rPr>
            </w:pPr>
            <w:r>
              <w:rPr>
                <w:noProof/>
                <w:sz w:val="20"/>
                <w:szCs w:val="20"/>
              </w:rPr>
              <w:t>OUI/NON</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bookmarkStart w:id="51" w:name="_Toc514938052"/>
      <w:bookmarkStart w:id="52" w:name="_Toc520485051"/>
      <w:r>
        <w:t>3.2.</w:t>
      </w:r>
      <w:r>
        <w:tab/>
      </w:r>
      <w:r>
        <w:rPr>
          <w:noProof/>
        </w:rPr>
        <w:t>Incidence financière estimée de la proposition sur les crédits</w:t>
      </w:r>
      <w:bookmarkEnd w:id="51"/>
      <w:bookmarkEnd w:id="52"/>
      <w:r>
        <w:rPr>
          <w:noProof/>
        </w:rPr>
        <w:t xml:space="preserve"> </w:t>
      </w:r>
    </w:p>
    <w:p>
      <w:pPr>
        <w:pStyle w:val="ManualHeading3"/>
        <w:rPr>
          <w:noProof/>
        </w:rPr>
      </w:pPr>
      <w:bookmarkStart w:id="53" w:name="_Toc514938053"/>
      <w:bookmarkStart w:id="54" w:name="_Toc520485052"/>
      <w:r>
        <w:t>3.2.1.</w:t>
      </w:r>
      <w:r>
        <w:tab/>
      </w:r>
      <w:r>
        <w:rPr>
          <w:noProof/>
        </w:rPr>
        <w:t>Synthèse de l’incidence estimée sur les crédits opérationnels</w:t>
      </w:r>
      <w:bookmarkEnd w:id="53"/>
      <w:bookmarkEnd w:id="54"/>
      <w:r>
        <w:rPr>
          <w:noProof/>
        </w:rPr>
        <w:t xml:space="preserve"> </w:t>
      </w:r>
    </w:p>
    <w:p>
      <w:pPr>
        <w:pStyle w:val="ListDash1"/>
        <w:rPr>
          <w:noProof/>
        </w:rPr>
      </w:pPr>
      <w:r>
        <w:rPr>
          <w:noProof/>
        </w:rPr>
        <w:sym w:font="Wingdings" w:char="F0A8"/>
      </w:r>
      <w:r>
        <w:rPr>
          <w:noProof/>
        </w:rPr>
        <w:tab/>
        <w:t xml:space="preserve">La proposition/l’initiative n’engendre pas l’utilisation de crédits opérationnels </w:t>
      </w:r>
    </w:p>
    <w:p>
      <w:pPr>
        <w:pStyle w:val="ListDash1"/>
        <w:rPr>
          <w:noProof/>
        </w:rPr>
      </w:pPr>
      <w:r>
        <w:rPr>
          <w:noProof/>
        </w:rPr>
        <w:t>X</w:t>
      </w:r>
      <w:r>
        <w:rPr>
          <w:noProof/>
        </w:rPr>
        <w:tab/>
        <w:t>La proposition/l’initiative engendre l’utilisation de crédits opérationnels, comme expliqué ci-après:</w:t>
      </w:r>
    </w:p>
    <w:p>
      <w:pPr>
        <w:jc w:val="right"/>
        <w:rPr>
          <w:noProof/>
          <w:sz w:val="18"/>
          <w:szCs w:val="18"/>
        </w:rPr>
      </w:pPr>
      <w:r>
        <w:rPr>
          <w:noProof/>
          <w:sz w:val="18"/>
          <w:szCs w:val="18"/>
        </w:rPr>
        <w:t>En Mio EUR (à la 3</w:t>
      </w:r>
      <w:r>
        <w:rPr>
          <w:noProof/>
          <w:sz w:val="18"/>
          <w:szCs w:val="18"/>
          <w:vertAlign w:val="superscript"/>
        </w:rPr>
        <w:t>e</w:t>
      </w:r>
      <w:r>
        <w:rPr>
          <w:noProof/>
          <w:sz w:val="18"/>
          <w:szCs w:val="18"/>
        </w:rPr>
        <w:t xml:space="preserve">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Rubrique du cadre financier</w:t>
            </w:r>
            <w:r>
              <w:rPr>
                <w:noProof/>
              </w:rPr>
              <w:t xml:space="preserve"> </w:t>
            </w:r>
            <w:r>
              <w:rPr>
                <w:noProof/>
              </w:rPr>
              <w:br/>
            </w:r>
            <w:r>
              <w:rPr>
                <w:b/>
                <w:noProof/>
                <w:sz w:val="22"/>
              </w:rPr>
              <w:t xml:space="preserve">pluriannuel </w:t>
            </w:r>
          </w:p>
        </w:tc>
        <w:tc>
          <w:tcPr>
            <w:tcW w:w="1080" w:type="dxa"/>
            <w:vAlign w:val="center"/>
          </w:tcPr>
          <w:p>
            <w:pPr>
              <w:spacing w:before="60" w:after="60"/>
              <w:jc w:val="center"/>
              <w:rPr>
                <w:noProof/>
                <w:sz w:val="22"/>
              </w:rPr>
            </w:pPr>
            <w:r>
              <w:rPr>
                <w:noProof/>
                <w:sz w:val="22"/>
              </w:rPr>
              <w:t>Numéro</w:t>
            </w:r>
          </w:p>
          <w:p>
            <w:pPr>
              <w:spacing w:before="60" w:after="60"/>
              <w:jc w:val="center"/>
              <w:rPr>
                <w:noProof/>
              </w:rPr>
            </w:pPr>
            <w:r>
              <w:rPr>
                <w:noProof/>
                <w:sz w:val="22"/>
              </w:rPr>
              <w:t>2</w:t>
            </w:r>
          </w:p>
        </w:tc>
        <w:tc>
          <w:tcPr>
            <w:tcW w:w="7817" w:type="dxa"/>
            <w:vAlign w:val="center"/>
          </w:tcPr>
          <w:p>
            <w:pPr>
              <w:spacing w:before="60" w:after="60"/>
              <w:rPr>
                <w:noProof/>
              </w:rPr>
            </w:pPr>
            <w:r>
              <w:rPr>
                <w:noProof/>
              </w:rPr>
              <w:t>Croissance durable: ressources naturelles</w:t>
            </w:r>
          </w:p>
        </w:tc>
      </w:tr>
    </w:tbl>
    <w:p>
      <w:pPr>
        <w:rPr>
          <w:b/>
          <w:i/>
          <w:noProof/>
        </w:rPr>
      </w:pPr>
    </w:p>
    <w:p>
      <w:pPr>
        <w:rPr>
          <w:b/>
          <w:i/>
          <w:noProof/>
        </w:rPr>
      </w:pPr>
      <w:r>
        <w:rPr>
          <w:b/>
          <w:i/>
          <w:noProof/>
        </w:rPr>
        <w:t xml:space="preserve">Il n’y a pas d’incidence sur les crédits d’engagement. Comme cette modification sera financée par des modifications des programmes de développement rural des États membres dans les limites des enveloppes décidées, aucun crédit de paiement supplémentaire ne sera globalement nécessaire, tous les paiements effectués au titre de cette mesure étant compensés par une diminution des paiements relatifs aux autres mesures de développement rural. </w:t>
      </w:r>
    </w:p>
    <w:p>
      <w:pPr>
        <w:rPr>
          <w:b/>
          <w:i/>
          <w:noProof/>
        </w:rPr>
      </w:pPr>
      <w:r>
        <w:rPr>
          <w:b/>
          <w:i/>
          <w:noProof/>
        </w:rPr>
        <w:t xml:space="preserve">On considère que la proposition n’a pas d’incidence sur les crédits de paiement du Feader au titre du budget 2020. Compte tenu du temps dont auront besoin les États membres pour mettre en œuvre cette nouvelle mesure, on prévoit que les dépenses y relatives seront déclarées pendant le quatrième trimestre 2020 et seront donc imputables sur le budget 2021. L’incidence correspondante sur les crédits de paiement, estimée à environ 650 000 000 EUR, sera couverte par le niveau des crédits de paiement à demander pour le projet de budget 2021 et sera compensée par une diminution correspondante des besoins de paiement au cours des années suivantes, selon les estimations ci-dessous. </w:t>
      </w:r>
    </w:p>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vAlign w:val="center"/>
          </w:tcPr>
          <w:p>
            <w:pPr>
              <w:jc w:val="center"/>
              <w:rPr>
                <w:noProof/>
              </w:rPr>
            </w:pPr>
            <w:r>
              <w:rPr>
                <w:noProof/>
                <w:sz w:val="22"/>
              </w:rPr>
              <w:t>DG AGRI</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Année</w:t>
            </w:r>
            <w:r>
              <w:rPr>
                <w:noProof/>
              </w:rPr>
              <w:t xml:space="preserve"> </w:t>
            </w:r>
            <w:r>
              <w:rPr>
                <w:noProof/>
              </w:rPr>
              <w:br/>
            </w:r>
            <w:r>
              <w:rPr>
                <w:noProof/>
                <w:sz w:val="20"/>
              </w:rPr>
              <w:t>2020</w:t>
            </w:r>
          </w:p>
        </w:tc>
        <w:tc>
          <w:tcPr>
            <w:tcW w:w="868" w:type="dxa"/>
            <w:vAlign w:val="center"/>
          </w:tcPr>
          <w:p>
            <w:pPr>
              <w:jc w:val="center"/>
              <w:rPr>
                <w:noProof/>
                <w:sz w:val="20"/>
              </w:rPr>
            </w:pPr>
            <w:r>
              <w:rPr>
                <w:noProof/>
                <w:sz w:val="20"/>
              </w:rPr>
              <w:t>Année</w:t>
            </w:r>
            <w:r>
              <w:rPr>
                <w:noProof/>
              </w:rPr>
              <w:t xml:space="preserve"> </w:t>
            </w:r>
            <w:r>
              <w:rPr>
                <w:noProof/>
              </w:rPr>
              <w:br/>
            </w:r>
            <w:r>
              <w:rPr>
                <w:noProof/>
                <w:sz w:val="20"/>
              </w:rPr>
              <w:t>2021</w:t>
            </w:r>
          </w:p>
        </w:tc>
        <w:tc>
          <w:tcPr>
            <w:tcW w:w="868" w:type="dxa"/>
            <w:vAlign w:val="center"/>
          </w:tcPr>
          <w:p>
            <w:pPr>
              <w:jc w:val="center"/>
              <w:rPr>
                <w:noProof/>
                <w:sz w:val="20"/>
              </w:rPr>
            </w:pPr>
            <w:r>
              <w:rPr>
                <w:noProof/>
                <w:sz w:val="20"/>
              </w:rPr>
              <w:t>Année</w:t>
            </w:r>
            <w:r>
              <w:rPr>
                <w:noProof/>
              </w:rPr>
              <w:t xml:space="preserve"> </w:t>
            </w:r>
            <w:r>
              <w:rPr>
                <w:noProof/>
              </w:rPr>
              <w:br/>
            </w:r>
            <w:r>
              <w:rPr>
                <w:noProof/>
                <w:sz w:val="20"/>
              </w:rPr>
              <w:t>2022</w:t>
            </w:r>
          </w:p>
        </w:tc>
        <w:tc>
          <w:tcPr>
            <w:tcW w:w="868" w:type="dxa"/>
            <w:vAlign w:val="center"/>
          </w:tcPr>
          <w:p>
            <w:pPr>
              <w:jc w:val="center"/>
              <w:rPr>
                <w:noProof/>
                <w:sz w:val="22"/>
              </w:rPr>
            </w:pPr>
            <w:r>
              <w:rPr>
                <w:noProof/>
                <w:sz w:val="20"/>
              </w:rPr>
              <w:t>Année</w:t>
            </w:r>
            <w:r>
              <w:rPr>
                <w:noProof/>
              </w:rPr>
              <w:t xml:space="preserve"> </w:t>
            </w:r>
            <w:r>
              <w:rPr>
                <w:noProof/>
              </w:rPr>
              <w:br/>
            </w:r>
            <w:r>
              <w:rPr>
                <w:noProof/>
                <w:sz w:val="22"/>
              </w:rPr>
              <w:t>2023</w:t>
            </w:r>
          </w:p>
        </w:tc>
        <w:tc>
          <w:tcPr>
            <w:tcW w:w="2604" w:type="dxa"/>
            <w:gridSpan w:val="3"/>
            <w:vAlign w:val="center"/>
          </w:tcPr>
          <w:p>
            <w:pPr>
              <w:jc w:val="center"/>
              <w:rPr>
                <w:b/>
                <w:noProof/>
                <w:sz w:val="18"/>
              </w:rPr>
            </w:pPr>
            <w:r>
              <w:rPr>
                <w:noProof/>
                <w:sz w:val="18"/>
              </w:rPr>
              <w:t>Insérer autant d’années que nécessaire pour refléter la durée de l’incidence (cf. point 1.6)</w:t>
            </w:r>
          </w:p>
        </w:tc>
        <w:tc>
          <w:tcPr>
            <w:tcW w:w="1777"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Crédits opérationnels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277"/>
        </w:trPr>
        <w:tc>
          <w:tcPr>
            <w:tcW w:w="3960" w:type="dxa"/>
            <w:vMerge w:val="restart"/>
            <w:vAlign w:val="center"/>
          </w:tcPr>
          <w:p>
            <w:pPr>
              <w:rPr>
                <w:noProof/>
              </w:rPr>
            </w:pPr>
            <w:r>
              <w:rPr>
                <w:noProof/>
                <w:sz w:val="20"/>
              </w:rPr>
              <w:t>05.046001</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+ 650</w:t>
            </w:r>
          </w:p>
        </w:tc>
        <w:tc>
          <w:tcPr>
            <w:tcW w:w="868" w:type="dxa"/>
            <w:vAlign w:val="center"/>
          </w:tcPr>
          <w:p>
            <w:pPr>
              <w:spacing w:before="20" w:after="20"/>
              <w:jc w:val="right"/>
              <w:rPr>
                <w:noProof/>
                <w:sz w:val="20"/>
              </w:rPr>
            </w:pPr>
            <w:r>
              <w:rPr>
                <w:noProof/>
                <w:sz w:val="20"/>
              </w:rPr>
              <w:t>- 325</w:t>
            </w:r>
          </w:p>
        </w:tc>
        <w:tc>
          <w:tcPr>
            <w:tcW w:w="868" w:type="dxa"/>
            <w:vAlign w:val="center"/>
          </w:tcPr>
          <w:p>
            <w:pPr>
              <w:spacing w:before="20" w:after="20"/>
              <w:jc w:val="right"/>
              <w:rPr>
                <w:noProof/>
                <w:sz w:val="20"/>
              </w:rPr>
            </w:pPr>
            <w:r>
              <w:rPr>
                <w:noProof/>
                <w:sz w:val="20"/>
              </w:rPr>
              <w:t>- 325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w:t>
            </w:r>
          </w:p>
        </w:tc>
      </w:tr>
      <w:tr>
        <w:trPr>
          <w:trHeight w:val="619"/>
        </w:trPr>
        <w:tc>
          <w:tcPr>
            <w:tcW w:w="6054" w:type="dxa"/>
            <w:gridSpan w:val="4"/>
            <w:vAlign w:val="center"/>
          </w:tcPr>
          <w:p>
            <w:pPr>
              <w:spacing w:before="20" w:after="20"/>
              <w:rPr>
                <w:noProof/>
              </w:rPr>
            </w:pPr>
            <w:r>
              <w:rPr>
                <w:noProof/>
                <w:sz w:val="21"/>
              </w:rPr>
              <w:t>Crédits de nature administrative financés par l’enveloppe de certains programmes spécifiques</w:t>
            </w: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319"/>
        </w:trPr>
        <w:tc>
          <w:tcPr>
            <w:tcW w:w="3960" w:type="dxa"/>
            <w:vAlign w:val="center"/>
          </w:tcPr>
          <w:p>
            <w:pPr>
              <w:spacing w:before="60" w:after="60"/>
              <w:rPr>
                <w:noProof/>
              </w:rPr>
            </w:pPr>
            <w:r>
              <w:rPr>
                <w:noProof/>
              </w:rPr>
              <w:t>s.o.</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c>
          <w:tcPr>
            <w:tcW w:w="3960" w:type="dxa"/>
            <w:vMerge w:val="restart"/>
            <w:vAlign w:val="center"/>
          </w:tcPr>
          <w:p>
            <w:pPr>
              <w:jc w:val="center"/>
              <w:rPr>
                <w:b/>
                <w:noProof/>
              </w:rPr>
            </w:pPr>
            <w:r>
              <w:rPr>
                <w:b/>
                <w:noProof/>
                <w:sz w:val="22"/>
              </w:rPr>
              <w:t>TOTAL des crédits</w:t>
            </w:r>
            <w:r>
              <w:rPr>
                <w:noProof/>
              </w:rPr>
              <w:t xml:space="preserve"> </w:t>
            </w:r>
            <w:r>
              <w:rPr>
                <w:noProof/>
              </w:rPr>
              <w:br/>
            </w:r>
            <w:r>
              <w:rPr>
                <w:b/>
                <w:noProof/>
                <w:sz w:val="22"/>
              </w:rPr>
              <w:t>pour la DG AGRI</w:t>
            </w:r>
          </w:p>
        </w:tc>
        <w:tc>
          <w:tcPr>
            <w:tcW w:w="1440" w:type="dxa"/>
            <w:vAlign w:val="center"/>
          </w:tcPr>
          <w:p>
            <w:pPr>
              <w:rPr>
                <w:noProof/>
                <w:sz w:val="18"/>
              </w:rPr>
            </w:pPr>
            <w:r>
              <w:rPr>
                <w:noProof/>
                <w:sz w:val="18"/>
              </w:rPr>
              <w:t>Engagements</w:t>
            </w:r>
          </w:p>
        </w:tc>
        <w:tc>
          <w:tcPr>
            <w:tcW w:w="654" w:type="dxa"/>
            <w:gridSpan w:val="2"/>
            <w:vAlign w:val="center"/>
          </w:tcPr>
          <w:p>
            <w:pPr>
              <w:jc w:val="center"/>
              <w:rPr>
                <w:noProof/>
                <w:sz w:val="14"/>
              </w:rPr>
            </w:pPr>
            <w:r>
              <w:rPr>
                <w:noProof/>
                <w:sz w:val="14"/>
              </w:rPr>
              <w:t>=1a+1b+3</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w:t>
            </w:r>
          </w:p>
        </w:tc>
      </w:tr>
      <w:tr>
        <w:tc>
          <w:tcPr>
            <w:tcW w:w="3960" w:type="dxa"/>
            <w:vMerge/>
          </w:tcPr>
          <w:p>
            <w:pPr>
              <w:rPr>
                <w:noProof/>
                <w:sz w:val="20"/>
              </w:rPr>
            </w:pPr>
          </w:p>
        </w:tc>
        <w:tc>
          <w:tcPr>
            <w:tcW w:w="1440" w:type="dxa"/>
            <w:vAlign w:val="center"/>
          </w:tcPr>
          <w:p>
            <w:pPr>
              <w:rPr>
                <w:noProof/>
                <w:sz w:val="18"/>
              </w:rPr>
            </w:pPr>
            <w:r>
              <w:rPr>
                <w:noProof/>
                <w:sz w:val="18"/>
              </w:rPr>
              <w:t>Paiements</w:t>
            </w:r>
          </w:p>
        </w:tc>
        <w:tc>
          <w:tcPr>
            <w:tcW w:w="654" w:type="dxa"/>
            <w:gridSpan w:val="2"/>
            <w:vAlign w:val="center"/>
          </w:tcPr>
          <w:p>
            <w:pPr>
              <w:jc w:val="center"/>
              <w:rPr>
                <w:noProof/>
                <w:sz w:val="14"/>
              </w:rPr>
            </w:pPr>
            <w:r>
              <w:rPr>
                <w:noProof/>
                <w:sz w:val="14"/>
              </w:rPr>
              <w:t>=2a+2b</w:t>
            </w:r>
          </w:p>
          <w:p>
            <w:pPr>
              <w:jc w:val="center"/>
              <w:rPr>
                <w:noProof/>
                <w:sz w:val="14"/>
              </w:rPr>
            </w:pPr>
            <w:r>
              <w:rPr>
                <w:noProof/>
                <w:sz w:val="14"/>
              </w:rPr>
              <w:t>+3</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+ 650</w:t>
            </w:r>
          </w:p>
        </w:tc>
        <w:tc>
          <w:tcPr>
            <w:tcW w:w="868" w:type="dxa"/>
            <w:vAlign w:val="center"/>
          </w:tcPr>
          <w:p>
            <w:pPr>
              <w:spacing w:before="20" w:after="20"/>
              <w:jc w:val="right"/>
              <w:rPr>
                <w:noProof/>
                <w:sz w:val="20"/>
              </w:rPr>
            </w:pPr>
            <w:r>
              <w:rPr>
                <w:noProof/>
                <w:sz w:val="20"/>
              </w:rPr>
              <w:t>- 325</w:t>
            </w:r>
          </w:p>
        </w:tc>
        <w:tc>
          <w:tcPr>
            <w:tcW w:w="868" w:type="dxa"/>
            <w:vAlign w:val="center"/>
          </w:tcPr>
          <w:p>
            <w:pPr>
              <w:spacing w:before="20" w:after="20"/>
              <w:jc w:val="right"/>
              <w:rPr>
                <w:noProof/>
                <w:sz w:val="20"/>
              </w:rPr>
            </w:pPr>
            <w:r>
              <w:rPr>
                <w:noProof/>
                <w:sz w:val="20"/>
              </w:rPr>
              <w:t>- 325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+ 0</w:t>
            </w:r>
          </w:p>
        </w:tc>
      </w:tr>
    </w:tbl>
    <w:p>
      <w:pPr>
        <w:rPr>
          <w:noProof/>
        </w:rPr>
      </w:pPr>
    </w:p>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sz w:val="21"/>
              </w:rPr>
              <w:t xml:space="preserve">TOTAL des crédits opérationnels </w:t>
            </w:r>
          </w:p>
        </w:tc>
        <w:tc>
          <w:tcPr>
            <w:tcW w:w="1440" w:type="dxa"/>
            <w:vAlign w:val="center"/>
          </w:tcPr>
          <w:p>
            <w:pPr>
              <w:spacing w:beforeLines="20" w:before="48" w:afterLines="20" w:after="48"/>
              <w:rPr>
                <w:noProof/>
                <w:sz w:val="18"/>
              </w:rPr>
            </w:pPr>
            <w:r>
              <w:rPr>
                <w:noProof/>
                <w:sz w:val="18"/>
              </w:rPr>
              <w:t>Engagements</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+ 650</w:t>
            </w:r>
          </w:p>
        </w:tc>
        <w:tc>
          <w:tcPr>
            <w:tcW w:w="868" w:type="dxa"/>
            <w:vAlign w:val="center"/>
          </w:tcPr>
          <w:p>
            <w:pPr>
              <w:spacing w:before="20" w:after="20"/>
              <w:jc w:val="right"/>
              <w:rPr>
                <w:noProof/>
                <w:sz w:val="20"/>
              </w:rPr>
            </w:pPr>
            <w:r>
              <w:rPr>
                <w:noProof/>
                <w:sz w:val="20"/>
              </w:rPr>
              <w:t>- 325</w:t>
            </w:r>
          </w:p>
        </w:tc>
        <w:tc>
          <w:tcPr>
            <w:tcW w:w="868" w:type="dxa"/>
            <w:vAlign w:val="center"/>
          </w:tcPr>
          <w:p>
            <w:pPr>
              <w:spacing w:before="20" w:after="20"/>
              <w:jc w:val="right"/>
              <w:rPr>
                <w:noProof/>
                <w:sz w:val="20"/>
              </w:rPr>
            </w:pPr>
            <w:r>
              <w:rPr>
                <w:noProof/>
                <w:sz w:val="20"/>
              </w:rPr>
              <w:t>- 325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w:t>
            </w: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 xml:space="preserve">TOTAL des crédits de nature administrative financés par l’enveloppe de certains programmes spécifiques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rPr>
            </w:pPr>
            <w:r>
              <w:rPr>
                <w:b/>
                <w:noProof/>
                <w:sz w:val="22"/>
              </w:rPr>
              <w:t xml:space="preserve">TOTAL des crédits </w:t>
            </w:r>
            <w:r>
              <w:rPr>
                <w:noProof/>
              </w:rPr>
              <w:br/>
            </w:r>
            <w:r>
              <w:rPr>
                <w:b/>
                <w:noProof/>
                <w:sz w:val="22"/>
              </w:rPr>
              <w:t>pour la RUBRIQUE 2</w:t>
            </w:r>
            <w:r>
              <w:rPr>
                <w:noProof/>
              </w:rPr>
              <w:t xml:space="preserve"> </w:t>
            </w:r>
            <w:r>
              <w:rPr>
                <w:noProof/>
              </w:rPr>
              <w:br/>
            </w:r>
            <w:r>
              <w:rPr>
                <w:noProof/>
                <w:sz w:val="22"/>
              </w:rPr>
              <w:t>du cadre financier pluriannuel</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Paiements</w:t>
            </w:r>
          </w:p>
        </w:tc>
        <w:tc>
          <w:tcPr>
            <w:tcW w:w="654" w:type="dxa"/>
            <w:vAlign w:val="center"/>
          </w:tcPr>
          <w:p>
            <w:pPr>
              <w:jc w:val="center"/>
              <w:rPr>
                <w:noProof/>
                <w:sz w:val="14"/>
              </w:rPr>
            </w:pPr>
            <w:r>
              <w:rPr>
                <w:noProof/>
                <w:sz w:val="14"/>
              </w:rPr>
              <w:t>=5+ 6</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+ 650</w:t>
            </w:r>
          </w:p>
        </w:tc>
        <w:tc>
          <w:tcPr>
            <w:tcW w:w="868" w:type="dxa"/>
            <w:vAlign w:val="center"/>
          </w:tcPr>
          <w:p>
            <w:pPr>
              <w:spacing w:before="20" w:after="20"/>
              <w:jc w:val="right"/>
              <w:rPr>
                <w:noProof/>
                <w:sz w:val="20"/>
              </w:rPr>
            </w:pPr>
            <w:r>
              <w:rPr>
                <w:noProof/>
                <w:sz w:val="20"/>
              </w:rPr>
              <w:t>- 325</w:t>
            </w:r>
          </w:p>
        </w:tc>
        <w:tc>
          <w:tcPr>
            <w:tcW w:w="868" w:type="dxa"/>
            <w:vAlign w:val="center"/>
          </w:tcPr>
          <w:p>
            <w:pPr>
              <w:spacing w:before="20" w:after="20"/>
              <w:jc w:val="right"/>
              <w:rPr>
                <w:noProof/>
                <w:sz w:val="20"/>
              </w:rPr>
            </w:pPr>
            <w:r>
              <w:rPr>
                <w:noProof/>
                <w:sz w:val="20"/>
              </w:rPr>
              <w:t>- 325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w:t>
            </w:r>
          </w:p>
        </w:tc>
      </w:tr>
    </w:tbl>
    <w:p>
      <w:pPr>
        <w:spacing w:before="0" w:after="0"/>
        <w:jc w:val="left"/>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Rubrique du cadre financier</w:t>
            </w:r>
            <w:r>
              <w:rPr>
                <w:noProof/>
              </w:rPr>
              <w:t xml:space="preserve"> </w:t>
            </w:r>
            <w:r>
              <w:rPr>
                <w:noProof/>
              </w:rPr>
              <w:br/>
            </w:r>
            <w:r>
              <w:rPr>
                <w:b/>
                <w:noProof/>
                <w:sz w:val="22"/>
              </w:rPr>
              <w:t xml:space="preserve">pluriannuel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«Dépenses administratives»</w:t>
            </w:r>
          </w:p>
        </w:tc>
      </w:tr>
    </w:tbl>
    <w:p>
      <w:pPr>
        <w:jc w:val="left"/>
        <w:rPr>
          <w:noProof/>
          <w:sz w:val="20"/>
        </w:rPr>
      </w:pPr>
      <w:r>
        <w:rPr>
          <w:noProof/>
        </w:rPr>
        <w:t>Cette partie est à compléter en utilisant les «données budgétaires de nature administrative», à introduire d’abord dans l’</w:t>
      </w:r>
      <w:hyperlink r:id="rId16" w:history="1">
        <w:r>
          <w:rPr>
            <w:rStyle w:val="Hyperlink"/>
            <w:noProof/>
          </w:rPr>
          <w:t>annexe de la fiche financière législative</w:t>
        </w:r>
      </w:hyperlink>
      <w:r>
        <w:rPr>
          <w:noProof/>
        </w:rPr>
        <w:t xml:space="preserve"> (annexe V des règles internes), à charger dans DECIDE pour les besoins de la consultation interservices.</w:t>
      </w:r>
    </w:p>
    <w:p>
      <w:pPr>
        <w:jc w:val="right"/>
        <w:rPr>
          <w:noProof/>
          <w:sz w:val="20"/>
        </w:rPr>
      </w:pPr>
      <w:r>
        <w:rPr>
          <w:noProof/>
          <w:sz w:val="20"/>
        </w:rPr>
        <w:t>En Mio EUR (à la 3</w:t>
      </w:r>
      <w:r>
        <w:rPr>
          <w:noProof/>
          <w:sz w:val="20"/>
          <w:vertAlign w:val="superscript"/>
        </w:rPr>
        <w:t>e</w:t>
      </w:r>
      <w:r>
        <w:rPr>
          <w:noProof/>
          <w:sz w:val="20"/>
        </w:rPr>
        <w:t xml:space="preserve">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rPr>
              <w:t xml:space="preserve"> </w:t>
            </w:r>
            <w:r>
              <w:rPr>
                <w:noProof/>
              </w:rPr>
              <w:br/>
            </w:r>
            <w:r>
              <w:rPr>
                <w:b/>
                <w:noProof/>
                <w:sz w:val="20"/>
              </w:rPr>
              <w:t>N</w:t>
            </w:r>
          </w:p>
        </w:tc>
        <w:tc>
          <w:tcPr>
            <w:tcW w:w="868" w:type="dxa"/>
            <w:vAlign w:val="center"/>
          </w:tcPr>
          <w:p>
            <w:pPr>
              <w:jc w:val="center"/>
              <w:rPr>
                <w:noProof/>
                <w:sz w:val="20"/>
              </w:rPr>
            </w:pPr>
            <w:r>
              <w:rPr>
                <w:noProof/>
                <w:sz w:val="20"/>
              </w:rPr>
              <w:t>Année</w:t>
            </w:r>
            <w:r>
              <w:rPr>
                <w:noProof/>
              </w:rPr>
              <w:t xml:space="preserve"> </w:t>
            </w:r>
            <w:r>
              <w:rPr>
                <w:noProof/>
              </w:rPr>
              <w:br/>
            </w:r>
            <w:r>
              <w:rPr>
                <w:b/>
                <w:noProof/>
                <w:sz w:val="20"/>
              </w:rPr>
              <w:t>N+1</w:t>
            </w:r>
          </w:p>
        </w:tc>
        <w:tc>
          <w:tcPr>
            <w:tcW w:w="868" w:type="dxa"/>
            <w:vAlign w:val="center"/>
          </w:tcPr>
          <w:p>
            <w:pPr>
              <w:jc w:val="center"/>
              <w:rPr>
                <w:noProof/>
                <w:sz w:val="20"/>
              </w:rPr>
            </w:pPr>
            <w:r>
              <w:rPr>
                <w:noProof/>
                <w:sz w:val="20"/>
              </w:rPr>
              <w:t>Année</w:t>
            </w:r>
            <w:r>
              <w:rPr>
                <w:noProof/>
              </w:rPr>
              <w:t xml:space="preserve"> </w:t>
            </w:r>
            <w:r>
              <w:rPr>
                <w:noProof/>
              </w:rPr>
              <w:br/>
            </w:r>
            <w:r>
              <w:rPr>
                <w:b/>
                <w:noProof/>
                <w:sz w:val="20"/>
              </w:rPr>
              <w:t>N+2</w:t>
            </w:r>
          </w:p>
        </w:tc>
        <w:tc>
          <w:tcPr>
            <w:tcW w:w="868" w:type="dxa"/>
            <w:vAlign w:val="center"/>
          </w:tcPr>
          <w:p>
            <w:pPr>
              <w:jc w:val="center"/>
              <w:rPr>
                <w:noProof/>
                <w:sz w:val="20"/>
              </w:rPr>
            </w:pPr>
            <w:r>
              <w:rPr>
                <w:noProof/>
                <w:sz w:val="20"/>
              </w:rPr>
              <w:t>Année</w:t>
            </w:r>
            <w:r>
              <w:rPr>
                <w:noProof/>
              </w:rPr>
              <w:t xml:space="preserve"> </w:t>
            </w:r>
            <w:r>
              <w:rPr>
                <w:noProof/>
              </w:rPr>
              <w:br/>
            </w:r>
            <w:r>
              <w:rPr>
                <w:b/>
                <w:noProof/>
                <w:sz w:val="20"/>
              </w:rPr>
              <w:t>N+3</w:t>
            </w:r>
          </w:p>
        </w:tc>
        <w:tc>
          <w:tcPr>
            <w:tcW w:w="2604" w:type="dxa"/>
            <w:gridSpan w:val="3"/>
            <w:vAlign w:val="center"/>
          </w:tcPr>
          <w:p>
            <w:pPr>
              <w:jc w:val="center"/>
              <w:rPr>
                <w:b/>
                <w:noProof/>
                <w:sz w:val="18"/>
              </w:rPr>
            </w:pPr>
            <w:r>
              <w:rPr>
                <w:noProof/>
                <w:sz w:val="18"/>
              </w:rPr>
              <w:t xml:space="preserve">Insérer autant d’années que nécessaire pour refléter la durée de l’incidence (cf. point 1.6) </w:t>
            </w: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jc w:val="center"/>
              <w:rPr>
                <w:noProof/>
              </w:rPr>
            </w:pPr>
            <w:r>
              <w:rPr>
                <w:noProof/>
                <w:sz w:val="22"/>
              </w:rPr>
              <w:t>DG: &lt;…….&gt;</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Ressources humaines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Autres dépenses administratives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 xml:space="preserve">TOTAL DG </w:t>
            </w:r>
            <w:r>
              <w:rPr>
                <w:noProof/>
                <w:sz w:val="22"/>
              </w:rPr>
              <w:t>&lt;…….&gt;</w:t>
            </w:r>
          </w:p>
        </w:tc>
        <w:tc>
          <w:tcPr>
            <w:tcW w:w="2094" w:type="dxa"/>
            <w:gridSpan w:val="2"/>
            <w:vAlign w:val="center"/>
          </w:tcPr>
          <w:p>
            <w:pPr>
              <w:rPr>
                <w:noProof/>
                <w:sz w:val="14"/>
              </w:rPr>
            </w:pPr>
            <w:r>
              <w:rPr>
                <w:noProof/>
                <w:sz w:val="18"/>
              </w:rPr>
              <w:t xml:space="preserve">Crédits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TOTAL des crédits</w:t>
            </w:r>
            <w:r>
              <w:rPr>
                <w:noProof/>
              </w:rPr>
              <w:t xml:space="preserve"> </w:t>
            </w:r>
            <w:r>
              <w:rPr>
                <w:noProof/>
              </w:rPr>
              <w:br/>
            </w:r>
            <w:r>
              <w:rPr>
                <w:b/>
                <w:noProof/>
                <w:sz w:val="22"/>
              </w:rPr>
              <w:t>pour la RUBRIQUE 5</w:t>
            </w:r>
            <w:r>
              <w:rPr>
                <w:noProof/>
              </w:rPr>
              <w:t xml:space="preserve"> </w:t>
            </w:r>
            <w:r>
              <w:rPr>
                <w:noProof/>
              </w:rPr>
              <w:br/>
            </w:r>
            <w:r>
              <w:rPr>
                <w:noProof/>
                <w:sz w:val="22"/>
              </w:rPr>
              <w:t>du cadre financier pluriannuel</w:t>
            </w:r>
            <w:r>
              <w:rPr>
                <w:b/>
                <w:noProof/>
                <w:sz w:val="22"/>
              </w:rPr>
              <w:t xml:space="preserve"> </w:t>
            </w:r>
          </w:p>
        </w:tc>
        <w:tc>
          <w:tcPr>
            <w:tcW w:w="2094" w:type="dxa"/>
            <w:vAlign w:val="center"/>
          </w:tcPr>
          <w:p>
            <w:pPr>
              <w:spacing w:before="40" w:after="40"/>
              <w:rPr>
                <w:noProof/>
              </w:rPr>
            </w:pPr>
            <w:r>
              <w:rPr>
                <w:noProof/>
                <w:sz w:val="18"/>
              </w:rPr>
              <w:t>(Total engagements = Total paiements)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En Mio EUR (à la 3</w:t>
      </w:r>
      <w:r>
        <w:rPr>
          <w:noProof/>
          <w:sz w:val="20"/>
          <w:vertAlign w:val="superscript"/>
        </w:rPr>
        <w:t>e</w:t>
      </w:r>
      <w:r>
        <w:rPr>
          <w:noProof/>
          <w:sz w:val="20"/>
        </w:rPr>
        <w:t xml:space="preserve">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rPr>
              <w:t xml:space="preserve"> </w:t>
            </w:r>
            <w:r>
              <w:rPr>
                <w:noProof/>
              </w:rPr>
              <w:br/>
            </w:r>
            <w:r>
              <w:rPr>
                <w:b/>
                <w:noProof/>
                <w:sz w:val="20"/>
              </w:rPr>
              <w:t>2020</w:t>
            </w:r>
          </w:p>
        </w:tc>
        <w:tc>
          <w:tcPr>
            <w:tcW w:w="868" w:type="dxa"/>
            <w:vAlign w:val="center"/>
          </w:tcPr>
          <w:p>
            <w:pPr>
              <w:jc w:val="center"/>
              <w:rPr>
                <w:noProof/>
                <w:sz w:val="20"/>
              </w:rPr>
            </w:pPr>
            <w:r>
              <w:rPr>
                <w:noProof/>
                <w:sz w:val="20"/>
              </w:rPr>
              <w:t>Année</w:t>
            </w:r>
            <w:r>
              <w:rPr>
                <w:noProof/>
              </w:rPr>
              <w:t xml:space="preserve"> </w:t>
            </w:r>
            <w:r>
              <w:rPr>
                <w:noProof/>
              </w:rPr>
              <w:br/>
            </w:r>
            <w:r>
              <w:rPr>
                <w:b/>
                <w:noProof/>
                <w:sz w:val="20"/>
              </w:rPr>
              <w:t>2021</w:t>
            </w:r>
          </w:p>
        </w:tc>
        <w:tc>
          <w:tcPr>
            <w:tcW w:w="868" w:type="dxa"/>
            <w:vAlign w:val="center"/>
          </w:tcPr>
          <w:p>
            <w:pPr>
              <w:jc w:val="center"/>
              <w:rPr>
                <w:noProof/>
                <w:sz w:val="20"/>
              </w:rPr>
            </w:pPr>
            <w:r>
              <w:rPr>
                <w:noProof/>
                <w:sz w:val="20"/>
              </w:rPr>
              <w:t>Année</w:t>
            </w:r>
            <w:r>
              <w:rPr>
                <w:noProof/>
              </w:rPr>
              <w:t xml:space="preserve"> </w:t>
            </w:r>
            <w:r>
              <w:rPr>
                <w:noProof/>
              </w:rPr>
              <w:br/>
            </w:r>
            <w:r>
              <w:rPr>
                <w:b/>
                <w:noProof/>
                <w:sz w:val="20"/>
              </w:rPr>
              <w:t>2022</w:t>
            </w:r>
          </w:p>
        </w:tc>
        <w:tc>
          <w:tcPr>
            <w:tcW w:w="868" w:type="dxa"/>
            <w:vAlign w:val="center"/>
          </w:tcPr>
          <w:p>
            <w:pPr>
              <w:jc w:val="center"/>
              <w:rPr>
                <w:noProof/>
                <w:sz w:val="20"/>
              </w:rPr>
            </w:pPr>
            <w:r>
              <w:rPr>
                <w:noProof/>
                <w:sz w:val="20"/>
              </w:rPr>
              <w:t>Année</w:t>
            </w:r>
            <w:r>
              <w:rPr>
                <w:noProof/>
              </w:rPr>
              <w:t xml:space="preserve"> </w:t>
            </w:r>
            <w:r>
              <w:rPr>
                <w:noProof/>
              </w:rPr>
              <w:br/>
            </w:r>
            <w:r>
              <w:rPr>
                <w:b/>
                <w:noProof/>
                <w:sz w:val="20"/>
              </w:rPr>
              <w:t>2023</w:t>
            </w:r>
          </w:p>
        </w:tc>
        <w:tc>
          <w:tcPr>
            <w:tcW w:w="2604" w:type="dxa"/>
            <w:gridSpan w:val="3"/>
            <w:vAlign w:val="center"/>
          </w:tcPr>
          <w:p>
            <w:pPr>
              <w:jc w:val="center"/>
              <w:rPr>
                <w:b/>
                <w:noProof/>
                <w:sz w:val="18"/>
              </w:rPr>
            </w:pPr>
            <w:r>
              <w:rPr>
                <w:noProof/>
                <w:sz w:val="18"/>
              </w:rPr>
              <w:t>Insérer autant d’années que nécessaire pour refléter la durée de l’incidence (cf. point 1.6)</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 xml:space="preserve">TOTAL des crédits </w:t>
            </w:r>
            <w:r>
              <w:rPr>
                <w:noProof/>
              </w:rPr>
              <w:br/>
            </w:r>
            <w:r>
              <w:rPr>
                <w:b/>
                <w:noProof/>
                <w:sz w:val="22"/>
              </w:rPr>
              <w:t>pour les RUBRIQUES 1 à 5</w:t>
            </w:r>
            <w:r>
              <w:rPr>
                <w:noProof/>
              </w:rPr>
              <w:t xml:space="preserve"> </w:t>
            </w:r>
            <w:r>
              <w:rPr>
                <w:noProof/>
              </w:rPr>
              <w:br/>
            </w:r>
            <w:r>
              <w:rPr>
                <w:noProof/>
                <w:sz w:val="22"/>
              </w:rP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868" w:type="dxa"/>
            <w:vAlign w:val="center"/>
          </w:tcPr>
          <w:p>
            <w:pPr>
              <w:spacing w:before="60" w:after="60"/>
              <w:jc w:val="right"/>
              <w:rPr>
                <w:noProof/>
                <w:sz w:val="20"/>
              </w:rPr>
            </w:pPr>
            <w:r>
              <w:rPr>
                <w:noProof/>
                <w:sz w:val="20"/>
              </w:rPr>
              <w:t>0</w:t>
            </w:r>
          </w:p>
        </w:tc>
        <w:tc>
          <w:tcPr>
            <w:tcW w:w="868" w:type="dxa"/>
            <w:vAlign w:val="center"/>
          </w:tcPr>
          <w:p>
            <w:pPr>
              <w:spacing w:before="60" w:after="60"/>
              <w:jc w:val="right"/>
              <w:rPr>
                <w:noProof/>
                <w:sz w:val="20"/>
              </w:rPr>
            </w:pPr>
            <w:r>
              <w:rPr>
                <w:noProof/>
                <w:sz w:val="20"/>
              </w:rPr>
              <w:t>0</w:t>
            </w:r>
          </w:p>
        </w:tc>
        <w:tc>
          <w:tcPr>
            <w:tcW w:w="868" w:type="dxa"/>
            <w:vAlign w:val="center"/>
          </w:tcPr>
          <w:p>
            <w:pPr>
              <w:spacing w:before="60" w:after="60"/>
              <w:jc w:val="right"/>
              <w:rPr>
                <w:noProof/>
                <w:sz w:val="20"/>
              </w:rPr>
            </w:pPr>
            <w:r>
              <w:rPr>
                <w:noProof/>
                <w:sz w:val="20"/>
              </w:rPr>
              <w:t>0</w:t>
            </w:r>
          </w:p>
        </w:tc>
        <w:tc>
          <w:tcPr>
            <w:tcW w:w="868" w:type="dxa"/>
            <w:vAlign w:val="center"/>
          </w:tcPr>
          <w:p>
            <w:pPr>
              <w:spacing w:before="60" w:after="60"/>
              <w:jc w:val="right"/>
              <w:rPr>
                <w:noProof/>
                <w:sz w:val="20"/>
              </w:rPr>
            </w:pPr>
            <w:r>
              <w:rPr>
                <w:noProof/>
                <w:sz w:val="20"/>
              </w:rPr>
              <w:t>0</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868" w:type="dxa"/>
            <w:vAlign w:val="center"/>
          </w:tcPr>
          <w:p>
            <w:pPr>
              <w:spacing w:before="60" w:after="60"/>
              <w:jc w:val="right"/>
              <w:rPr>
                <w:noProof/>
                <w:sz w:val="20"/>
              </w:rPr>
            </w:pPr>
            <w:r>
              <w:rPr>
                <w:noProof/>
                <w:sz w:val="20"/>
              </w:rPr>
              <w:t>0</w:t>
            </w:r>
          </w:p>
        </w:tc>
        <w:tc>
          <w:tcPr>
            <w:tcW w:w="868" w:type="dxa"/>
            <w:vAlign w:val="center"/>
          </w:tcPr>
          <w:p>
            <w:pPr>
              <w:spacing w:before="60" w:after="60"/>
              <w:jc w:val="right"/>
              <w:rPr>
                <w:noProof/>
                <w:sz w:val="20"/>
              </w:rPr>
            </w:pPr>
            <w:r>
              <w:rPr>
                <w:noProof/>
                <w:sz w:val="20"/>
              </w:rPr>
              <w:t>+ 650</w:t>
            </w:r>
          </w:p>
        </w:tc>
        <w:tc>
          <w:tcPr>
            <w:tcW w:w="868" w:type="dxa"/>
            <w:vAlign w:val="center"/>
          </w:tcPr>
          <w:p>
            <w:pPr>
              <w:spacing w:before="60" w:after="60"/>
              <w:jc w:val="right"/>
              <w:rPr>
                <w:noProof/>
                <w:sz w:val="20"/>
              </w:rPr>
            </w:pPr>
            <w:r>
              <w:rPr>
                <w:noProof/>
                <w:sz w:val="20"/>
              </w:rPr>
              <w:t>- 325</w:t>
            </w:r>
          </w:p>
        </w:tc>
        <w:tc>
          <w:tcPr>
            <w:tcW w:w="868" w:type="dxa"/>
            <w:vAlign w:val="center"/>
          </w:tcPr>
          <w:p>
            <w:pPr>
              <w:spacing w:before="60" w:after="60"/>
              <w:jc w:val="right"/>
              <w:rPr>
                <w:noProof/>
                <w:sz w:val="20"/>
              </w:rPr>
            </w:pPr>
            <w:r>
              <w:rPr>
                <w:noProof/>
                <w:sz w:val="20"/>
              </w:rPr>
              <w:t>- 325</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p>
        </w:tc>
      </w:tr>
    </w:tbl>
    <w:p>
      <w:pPr>
        <w:rPr>
          <w:noProof/>
        </w:rPr>
      </w:pPr>
    </w:p>
    <w:p>
      <w:pPr>
        <w:pStyle w:val="ManualHeading3"/>
        <w:rPr>
          <w:bCs/>
          <w:noProof/>
          <w:szCs w:val="24"/>
        </w:rPr>
      </w:pPr>
      <w:bookmarkStart w:id="55" w:name="_Toc514938054"/>
      <w:bookmarkStart w:id="56" w:name="_Toc520485053"/>
      <w:r>
        <w:t>3.2.2.</w:t>
      </w:r>
      <w:r>
        <w:tab/>
      </w:r>
      <w:r>
        <w:rPr>
          <w:noProof/>
        </w:rPr>
        <w:t>Estimation des réalisations financées avec des crédits opérationnels</w:t>
      </w:r>
      <w:bookmarkEnd w:id="55"/>
      <w:bookmarkEnd w:id="56"/>
      <w:r>
        <w:rPr>
          <w:noProof/>
        </w:rPr>
        <w:t xml:space="preserve"> </w:t>
      </w:r>
    </w:p>
    <w:p>
      <w:pPr>
        <w:jc w:val="right"/>
        <w:rPr>
          <w:noProof/>
          <w:sz w:val="20"/>
        </w:rPr>
      </w:pPr>
      <w:r>
        <w:rPr>
          <w:noProof/>
          <w:sz w:val="20"/>
        </w:rPr>
        <w:t>Crédits d’engagement en Mio EUR (à la 3</w:t>
      </w:r>
      <w:r>
        <w:rPr>
          <w:noProof/>
          <w:sz w:val="20"/>
          <w:vertAlign w:val="superscript"/>
        </w:rPr>
        <w:t>e</w:t>
      </w:r>
      <w:r>
        <w:rPr>
          <w:noProof/>
          <w:sz w:val="20"/>
        </w:rPr>
        <w:t xml:space="preserve"> décimale)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Indiquer les objectifs et les réalisations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Année</w:t>
            </w:r>
            <w:r>
              <w:rPr>
                <w:noProof/>
              </w:rPr>
              <w:t xml:space="preserve"> </w:t>
            </w:r>
            <w:r>
              <w:rPr>
                <w:noProof/>
              </w:rPr>
              <w:br/>
            </w:r>
            <w:r>
              <w:rPr>
                <w:b/>
                <w:noProof/>
                <w:sz w:val="18"/>
              </w:rPr>
              <w:t>N</w:t>
            </w:r>
          </w:p>
        </w:tc>
        <w:tc>
          <w:tcPr>
            <w:tcW w:w="1260" w:type="dxa"/>
            <w:gridSpan w:val="2"/>
            <w:vAlign w:val="center"/>
          </w:tcPr>
          <w:p>
            <w:pPr>
              <w:ind w:right="-29"/>
              <w:jc w:val="center"/>
              <w:rPr>
                <w:noProof/>
                <w:sz w:val="18"/>
                <w:szCs w:val="18"/>
              </w:rPr>
            </w:pPr>
            <w:r>
              <w:rPr>
                <w:noProof/>
                <w:sz w:val="18"/>
              </w:rPr>
              <w:t>Année</w:t>
            </w:r>
            <w:r>
              <w:rPr>
                <w:noProof/>
              </w:rPr>
              <w:t xml:space="preserve"> </w:t>
            </w:r>
            <w:r>
              <w:rPr>
                <w:noProof/>
              </w:rPr>
              <w:br/>
            </w:r>
            <w:r>
              <w:rPr>
                <w:b/>
                <w:noProof/>
                <w:sz w:val="18"/>
              </w:rPr>
              <w:t>N+1</w:t>
            </w:r>
          </w:p>
        </w:tc>
        <w:tc>
          <w:tcPr>
            <w:tcW w:w="1440" w:type="dxa"/>
            <w:gridSpan w:val="2"/>
            <w:vAlign w:val="center"/>
          </w:tcPr>
          <w:p>
            <w:pPr>
              <w:ind w:right="-29"/>
              <w:jc w:val="center"/>
              <w:rPr>
                <w:noProof/>
                <w:sz w:val="18"/>
                <w:szCs w:val="18"/>
              </w:rPr>
            </w:pPr>
            <w:r>
              <w:rPr>
                <w:noProof/>
                <w:sz w:val="18"/>
              </w:rPr>
              <w:t>Année</w:t>
            </w:r>
            <w:r>
              <w:rPr>
                <w:noProof/>
              </w:rPr>
              <w:t xml:space="preserve"> </w:t>
            </w:r>
            <w:r>
              <w:rPr>
                <w:noProof/>
              </w:rPr>
              <w:br/>
            </w:r>
            <w:r>
              <w:rPr>
                <w:b/>
                <w:noProof/>
                <w:sz w:val="18"/>
              </w:rPr>
              <w:t>N+2</w:t>
            </w:r>
          </w:p>
        </w:tc>
        <w:tc>
          <w:tcPr>
            <w:tcW w:w="1620" w:type="dxa"/>
            <w:gridSpan w:val="3"/>
            <w:vAlign w:val="center"/>
          </w:tcPr>
          <w:p>
            <w:pPr>
              <w:ind w:right="-29"/>
              <w:jc w:val="center"/>
              <w:rPr>
                <w:noProof/>
                <w:sz w:val="18"/>
                <w:szCs w:val="18"/>
              </w:rPr>
            </w:pPr>
            <w:r>
              <w:rPr>
                <w:noProof/>
                <w:sz w:val="18"/>
              </w:rPr>
              <w:t>Année</w:t>
            </w:r>
            <w:r>
              <w:rPr>
                <w:noProof/>
              </w:rPr>
              <w:t xml:space="preserve"> </w:t>
            </w:r>
            <w:r>
              <w:rPr>
                <w:noProof/>
              </w:rPr>
              <w:br/>
            </w:r>
            <w:r>
              <w:rPr>
                <w:b/>
                <w:noProof/>
                <w:sz w:val="18"/>
              </w:rPr>
              <w:t>N+3</w:t>
            </w:r>
          </w:p>
        </w:tc>
        <w:tc>
          <w:tcPr>
            <w:tcW w:w="3600" w:type="dxa"/>
            <w:gridSpan w:val="6"/>
            <w:vAlign w:val="center"/>
          </w:tcPr>
          <w:p>
            <w:pPr>
              <w:jc w:val="center"/>
              <w:rPr>
                <w:noProof/>
                <w:sz w:val="18"/>
                <w:szCs w:val="18"/>
              </w:rPr>
            </w:pPr>
            <w:r>
              <w:rPr>
                <w:noProof/>
                <w:sz w:val="18"/>
              </w:rPr>
              <w:t>Insérer autant d’années que nécessaire pour refléter la durée de l’incidence (cf. point 1.6)</w:t>
            </w: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RÉALISATIONS (outputs)</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sz w:val="18"/>
              </w:rPr>
              <w:footnoteReference w:id="10"/>
            </w:r>
          </w:p>
          <w:p>
            <w:pPr>
              <w:spacing w:before="0" w:after="0"/>
              <w:jc w:val="center"/>
              <w:rPr>
                <w:noProof/>
                <w:sz w:val="18"/>
                <w:szCs w:val="18"/>
              </w:rPr>
            </w:pPr>
          </w:p>
        </w:tc>
        <w:tc>
          <w:tcPr>
            <w:tcW w:w="701" w:type="dxa"/>
            <w:vAlign w:val="center"/>
          </w:tcPr>
          <w:p>
            <w:pPr>
              <w:jc w:val="center"/>
              <w:rPr>
                <w:noProof/>
                <w:sz w:val="18"/>
                <w:szCs w:val="18"/>
              </w:rPr>
            </w:pPr>
            <w:r>
              <w:rPr>
                <w:noProof/>
                <w:sz w:val="18"/>
              </w:rPr>
              <w:t>Coût moyen</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Nbre total</w:t>
            </w:r>
          </w:p>
        </w:tc>
        <w:tc>
          <w:tcPr>
            <w:tcW w:w="900" w:type="dxa"/>
            <w:tcBorders>
              <w:left w:val="dashSmallGap" w:sz="4" w:space="0" w:color="auto"/>
            </w:tcBorders>
            <w:shd w:val="pct10" w:color="auto" w:fill="auto"/>
            <w:vAlign w:val="center"/>
          </w:tcPr>
          <w:p>
            <w:pPr>
              <w:jc w:val="center"/>
              <w:rPr>
                <w:noProof/>
                <w:sz w:val="18"/>
                <w:szCs w:val="18"/>
              </w:rPr>
            </w:pPr>
            <w:r>
              <w:rPr>
                <w:noProof/>
                <w:sz w:val="18"/>
              </w:rPr>
              <w:t>Coût total</w:t>
            </w:r>
          </w:p>
        </w:tc>
      </w:tr>
      <w:tr>
        <w:trPr>
          <w:jc w:val="center"/>
        </w:trPr>
        <w:tc>
          <w:tcPr>
            <w:tcW w:w="2844" w:type="dxa"/>
            <w:gridSpan w:val="3"/>
            <w:vAlign w:val="center"/>
          </w:tcPr>
          <w:p>
            <w:pPr>
              <w:spacing w:before="60" w:after="60"/>
              <w:ind w:right="-29"/>
              <w:jc w:val="center"/>
              <w:rPr>
                <w:noProof/>
                <w:sz w:val="18"/>
                <w:szCs w:val="18"/>
              </w:rPr>
            </w:pPr>
            <w:r>
              <w:rPr>
                <w:noProof/>
                <w:sz w:val="18"/>
              </w:rPr>
              <w:t>OBJECTIF SPÉCIFIQUE nº 1</w:t>
            </w:r>
            <w:r>
              <w:rPr>
                <w:rStyle w:val="FootnoteReference"/>
                <w:noProof/>
                <w:sz w:val="18"/>
              </w:rPr>
              <w:footnoteReference w:id="11"/>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0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0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0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val="77"/>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Sous-total objectif spécifique nº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OBJECTIF SPÉCIFIQUE nº 2…</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0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Sous-total objectif spécifique nº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TOTAUX</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headerReference w:type="default" r:id="rId17"/>
          <w:footerReference w:type="default" r:id="rId18"/>
          <w:headerReference w:type="first" r:id="rId19"/>
          <w:footerReference w:type="first" r:id="rId20"/>
          <w:pgSz w:w="16840" w:h="11907" w:orient="landscape" w:code="9"/>
          <w:pgMar w:top="1134" w:right="1418" w:bottom="567" w:left="1418" w:header="709" w:footer="709" w:gutter="0"/>
          <w:cols w:space="708"/>
          <w:docGrid w:linePitch="360"/>
        </w:sectPr>
      </w:pPr>
    </w:p>
    <w:p>
      <w:pPr>
        <w:pStyle w:val="ManualHeading3"/>
        <w:rPr>
          <w:bCs/>
          <w:noProof/>
          <w:szCs w:val="24"/>
        </w:rPr>
      </w:pPr>
      <w:bookmarkStart w:id="57" w:name="_Toc514938055"/>
      <w:bookmarkStart w:id="58" w:name="_Toc520485054"/>
      <w:r>
        <w:t>3.2.3.</w:t>
      </w:r>
      <w:r>
        <w:tab/>
      </w:r>
      <w:r>
        <w:rPr>
          <w:noProof/>
        </w:rPr>
        <w:t>Synthèse de l’incidence estimée sur les crédits administratifs</w:t>
      </w:r>
      <w:bookmarkEnd w:id="57"/>
      <w:bookmarkEnd w:id="58"/>
      <w:r>
        <w:rPr>
          <w:noProof/>
        </w:rPr>
        <w:t xml:space="preserve"> </w:t>
      </w:r>
    </w:p>
    <w:p>
      <w:pPr>
        <w:pStyle w:val="ListDash1"/>
        <w:rPr>
          <w:noProof/>
        </w:rPr>
      </w:pPr>
      <w:r>
        <w:rPr>
          <w:noProof/>
        </w:rPr>
        <w:t>X</w:t>
      </w:r>
      <w:r>
        <w:rPr>
          <w:noProof/>
        </w:rPr>
        <w:tab/>
        <w:t xml:space="preserve">La proposition/l’initiative n’engendre pas l’utilisation de crédits de nature administrative. </w:t>
      </w:r>
    </w:p>
    <w:p>
      <w:pPr>
        <w:pStyle w:val="ListDash1"/>
        <w:rPr>
          <w:noProof/>
        </w:rPr>
      </w:pPr>
      <w:r>
        <w:rPr>
          <w:noProof/>
        </w:rPr>
        <w:sym w:font="Wingdings" w:char="F0A8"/>
      </w:r>
      <w:r>
        <w:rPr>
          <w:noProof/>
        </w:rPr>
        <w:tab/>
        <w:t>La proposition/l’initiative engendre l’utilisation de crédits de nature administrative, comme expliqué ci-après:</w:t>
      </w:r>
    </w:p>
    <w:p>
      <w:pPr>
        <w:jc w:val="right"/>
        <w:rPr>
          <w:noProof/>
          <w:sz w:val="20"/>
        </w:rPr>
      </w:pPr>
      <w:r>
        <w:rPr>
          <w:noProof/>
          <w:sz w:val="20"/>
        </w:rPr>
        <w:t>En Mio EUR (à la 3</w:t>
      </w:r>
      <w:r>
        <w:rPr>
          <w:noProof/>
          <w:sz w:val="20"/>
          <w:vertAlign w:val="superscript"/>
        </w:rPr>
        <w:t>e</w:t>
      </w:r>
      <w:r>
        <w:rPr>
          <w:noProof/>
          <w:sz w:val="20"/>
        </w:rPr>
        <w:t xml:space="preserve">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Année</w:t>
            </w:r>
            <w:r>
              <w:rPr>
                <w:noProof/>
              </w:rPr>
              <w:t xml:space="preserve"> </w:t>
            </w:r>
            <w:r>
              <w:rPr>
                <w:noProof/>
              </w:rPr>
              <w:br/>
            </w:r>
            <w:r>
              <w:rPr>
                <w:b/>
                <w:noProof/>
                <w:sz w:val="16"/>
              </w:rPr>
              <w:t xml:space="preserve">N </w:t>
            </w:r>
            <w:r>
              <w:rPr>
                <w:rStyle w:val="FootnoteReference"/>
                <w:b/>
                <w:noProof/>
                <w:sz w:val="16"/>
              </w:rPr>
              <w:footnoteReference w:id="12"/>
            </w:r>
          </w:p>
        </w:tc>
        <w:tc>
          <w:tcPr>
            <w:tcW w:w="1080" w:type="dxa"/>
            <w:vAlign w:val="center"/>
          </w:tcPr>
          <w:p>
            <w:pPr>
              <w:spacing w:before="60" w:after="60" w:line="200" w:lineRule="exact"/>
              <w:jc w:val="center"/>
              <w:rPr>
                <w:noProof/>
                <w:sz w:val="16"/>
                <w:szCs w:val="16"/>
              </w:rPr>
            </w:pPr>
            <w:r>
              <w:rPr>
                <w:noProof/>
                <w:sz w:val="16"/>
              </w:rPr>
              <w:t>Année</w:t>
            </w:r>
            <w:r>
              <w:rPr>
                <w:noProof/>
              </w:rPr>
              <w:t xml:space="preserve"> </w:t>
            </w:r>
            <w:r>
              <w:rPr>
                <w:noProof/>
              </w:rPr>
              <w:br/>
            </w:r>
            <w:r>
              <w:rPr>
                <w:b/>
                <w:noProof/>
                <w:sz w:val="16"/>
              </w:rPr>
              <w:t>N+1</w:t>
            </w:r>
          </w:p>
        </w:tc>
        <w:tc>
          <w:tcPr>
            <w:tcW w:w="1080" w:type="dxa"/>
            <w:vAlign w:val="center"/>
          </w:tcPr>
          <w:p>
            <w:pPr>
              <w:spacing w:before="60" w:after="60" w:line="200" w:lineRule="exact"/>
              <w:jc w:val="center"/>
              <w:rPr>
                <w:noProof/>
                <w:sz w:val="16"/>
                <w:szCs w:val="16"/>
              </w:rPr>
            </w:pPr>
            <w:r>
              <w:rPr>
                <w:noProof/>
                <w:sz w:val="16"/>
              </w:rPr>
              <w:t>Année</w:t>
            </w:r>
            <w:r>
              <w:rPr>
                <w:noProof/>
              </w:rPr>
              <w:t xml:space="preserve"> </w:t>
            </w:r>
            <w:r>
              <w:rPr>
                <w:noProof/>
              </w:rPr>
              <w:br/>
            </w:r>
            <w:r>
              <w:rPr>
                <w:b/>
                <w:noProof/>
                <w:sz w:val="16"/>
              </w:rPr>
              <w:t>N+2</w:t>
            </w:r>
          </w:p>
        </w:tc>
        <w:tc>
          <w:tcPr>
            <w:tcW w:w="1080" w:type="dxa"/>
            <w:vAlign w:val="center"/>
          </w:tcPr>
          <w:p>
            <w:pPr>
              <w:spacing w:before="60" w:after="60" w:line="200" w:lineRule="exact"/>
              <w:jc w:val="center"/>
              <w:rPr>
                <w:noProof/>
                <w:sz w:val="16"/>
                <w:szCs w:val="16"/>
              </w:rPr>
            </w:pPr>
            <w:r>
              <w:rPr>
                <w:noProof/>
                <w:sz w:val="16"/>
              </w:rPr>
              <w:t>Année</w:t>
            </w:r>
            <w:r>
              <w:rPr>
                <w:noProof/>
              </w:rPr>
              <w:t xml:space="preserve"> </w:t>
            </w:r>
            <w:r>
              <w:rPr>
                <w:noProof/>
              </w:rPr>
              <w:br/>
            </w:r>
            <w:r>
              <w:rPr>
                <w:b/>
                <w:noProof/>
                <w:sz w:val="16"/>
              </w:rPr>
              <w:t>N+3</w:t>
            </w:r>
          </w:p>
        </w:tc>
        <w:tc>
          <w:tcPr>
            <w:tcW w:w="3240" w:type="dxa"/>
            <w:vAlign w:val="center"/>
          </w:tcPr>
          <w:p>
            <w:pPr>
              <w:spacing w:line="200" w:lineRule="exact"/>
              <w:jc w:val="center"/>
              <w:rPr>
                <w:b/>
                <w:noProof/>
                <w:sz w:val="16"/>
                <w:szCs w:val="16"/>
              </w:rPr>
            </w:pPr>
            <w:r>
              <w:rPr>
                <w:noProof/>
                <w:sz w:val="16"/>
              </w:rPr>
              <w:t>Insérer autant d’années que nécessaire pour refléter la durée de l’incidence (cf. point 1.6)</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5</w:t>
            </w:r>
            <w:r>
              <w:rPr>
                <w:noProof/>
              </w:rPr>
              <w:t xml:space="preserve"> </w:t>
            </w:r>
            <w:r>
              <w:rPr>
                <w:noProof/>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 RUBRIQUE 5</w:t>
            </w:r>
            <w:r>
              <w:rPr>
                <w:noProof/>
              </w:rPr>
              <w:t xml:space="preserve"> </w:t>
            </w:r>
            <w:r>
              <w:rPr>
                <w:noProof/>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Hors RUBRIQUE 5</w:t>
            </w:r>
            <w:r>
              <w:rPr>
                <w:rStyle w:val="FootnoteReference"/>
                <w:b/>
                <w:noProof/>
                <w:sz w:val="16"/>
              </w:rPr>
              <w:footnoteReference w:id="13"/>
            </w:r>
            <w:r>
              <w:rPr>
                <w:noProof/>
              </w:rPr>
              <w:t xml:space="preserve"> </w:t>
            </w:r>
            <w:r>
              <w:rPr>
                <w:noProof/>
              </w:rPr>
              <w:br/>
            </w:r>
            <w:r>
              <w:rPr>
                <w:b/>
                <w:noProof/>
                <w:sz w:val="16"/>
              </w:rPr>
              <w:t>du cadre financier pluriannuel</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w:t>
            </w:r>
            <w:r>
              <w:rPr>
                <w:noProof/>
              </w:rPr>
              <w:br/>
            </w:r>
            <w:r>
              <w:rPr>
                <w:noProof/>
                <w:sz w:val="16"/>
              </w:rPr>
              <w:t>de nature administrative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Sous-total </w:t>
            </w:r>
            <w:r>
              <w:rPr>
                <w:noProof/>
              </w:rPr>
              <w:br/>
            </w:r>
            <w:r>
              <w:rPr>
                <w:b/>
                <w:noProof/>
                <w:sz w:val="16"/>
              </w:rPr>
              <w:t>hors RUBRIQUE 5</w:t>
            </w:r>
            <w:r>
              <w:rPr>
                <w:noProof/>
              </w:rPr>
              <w:t xml:space="preserve"> </w:t>
            </w:r>
            <w:r>
              <w:rPr>
                <w:noProof/>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18"/>
        </w:rPr>
        <w:sectPr>
          <w:headerReference w:type="default" r:id="rId21"/>
          <w:footerReference w:type="default" r:id="rId22"/>
          <w:headerReference w:type="first" r:id="rId23"/>
          <w:footerReference w:type="first" r:id="rId24"/>
          <w:pgSz w:w="11907" w:h="16840"/>
          <w:pgMar w:top="1134" w:right="1418" w:bottom="1134" w:left="1418" w:header="709" w:footer="709" w:gutter="0"/>
          <w:cols w:space="708"/>
          <w:docGrid w:linePitch="360"/>
        </w:sectPr>
      </w:pPr>
    </w:p>
    <w:p>
      <w:pPr>
        <w:pStyle w:val="ManualHeading4"/>
        <w:rPr>
          <w:bCs/>
          <w:noProof/>
          <w:szCs w:val="24"/>
        </w:rPr>
      </w:pPr>
      <w:r>
        <w:t>3.2.3.1.</w:t>
      </w:r>
      <w:r>
        <w:tab/>
      </w:r>
      <w:r>
        <w:rPr>
          <w:noProof/>
        </w:rPr>
        <w:t xml:space="preserve">Besoins estimés en ressources humaines </w:t>
      </w:r>
    </w:p>
    <w:p>
      <w:pPr>
        <w:pStyle w:val="ListDash1"/>
        <w:rPr>
          <w:noProof/>
        </w:rPr>
      </w:pPr>
      <w:r>
        <w:rPr>
          <w:noProof/>
        </w:rPr>
        <w:t>X</w:t>
      </w:r>
      <w:r>
        <w:rPr>
          <w:noProof/>
        </w:rPr>
        <w:tab/>
        <w:t xml:space="preserve">La proposition/l’initiative n’engendre pas l’utilisation de ressources humaines. </w:t>
      </w:r>
    </w:p>
    <w:p>
      <w:pPr>
        <w:pStyle w:val="ListDash1"/>
        <w:rPr>
          <w:noProof/>
        </w:rPr>
      </w:pPr>
      <w:r>
        <w:rPr>
          <w:noProof/>
        </w:rPr>
        <w:sym w:font="Wingdings" w:char="F0A8"/>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trPr>
          <w:gridBefore w:val="1"/>
          <w:wBefore w:w="13" w:type="dxa"/>
          <w:trHeight w:val="289"/>
          <w:jc w:val="center"/>
        </w:trPr>
        <w:tc>
          <w:tcPr>
            <w:tcW w:w="3906" w:type="dxa"/>
            <w:gridSpan w:val="2"/>
            <w:shd w:val="clear" w:color="auto" w:fill="auto"/>
          </w:tcPr>
          <w:p>
            <w:pPr>
              <w:pStyle w:val="Text1"/>
              <w:spacing w:before="40" w:after="40"/>
              <w:ind w:left="0"/>
              <w:jc w:val="center"/>
              <w:rPr>
                <w:i/>
                <w:noProof/>
                <w:sz w:val="16"/>
                <w:szCs w:val="16"/>
              </w:rPr>
            </w:pPr>
          </w:p>
        </w:tc>
        <w:tc>
          <w:tcPr>
            <w:tcW w:w="600" w:type="dxa"/>
            <w:shd w:val="clear" w:color="auto" w:fill="auto"/>
            <w:vAlign w:val="center"/>
          </w:tcPr>
          <w:p>
            <w:pPr>
              <w:spacing w:before="20" w:after="20"/>
              <w:jc w:val="center"/>
              <w:rPr>
                <w:noProof/>
                <w:sz w:val="16"/>
                <w:szCs w:val="16"/>
              </w:rPr>
            </w:pPr>
            <w:r>
              <w:rPr>
                <w:noProof/>
                <w:sz w:val="16"/>
              </w:rPr>
              <w:t>Année</w:t>
            </w:r>
            <w:r>
              <w:rPr>
                <w:noProof/>
              </w:rPr>
              <w:t xml:space="preserve"> </w:t>
            </w:r>
            <w:r>
              <w:rPr>
                <w:noProof/>
              </w:rPr>
              <w:br/>
            </w:r>
            <w:r>
              <w:rPr>
                <w:b/>
                <w:noProof/>
                <w:sz w:val="16"/>
              </w:rPr>
              <w:t>N</w:t>
            </w:r>
          </w:p>
        </w:tc>
        <w:tc>
          <w:tcPr>
            <w:tcW w:w="600" w:type="dxa"/>
            <w:shd w:val="clear" w:color="auto" w:fill="auto"/>
            <w:vAlign w:val="center"/>
          </w:tcPr>
          <w:p>
            <w:pPr>
              <w:spacing w:before="20" w:after="20"/>
              <w:jc w:val="center"/>
              <w:rPr>
                <w:noProof/>
                <w:sz w:val="16"/>
                <w:szCs w:val="16"/>
              </w:rPr>
            </w:pPr>
            <w:r>
              <w:rPr>
                <w:noProof/>
                <w:sz w:val="16"/>
              </w:rPr>
              <w:t>Année</w:t>
            </w:r>
            <w:r>
              <w:rPr>
                <w:noProof/>
              </w:rPr>
              <w:t xml:space="preserve"> </w:t>
            </w:r>
            <w:r>
              <w:rPr>
                <w:noProof/>
              </w:rPr>
              <w:br/>
            </w:r>
            <w:r>
              <w:rPr>
                <w:b/>
                <w:noProof/>
                <w:sz w:val="16"/>
              </w:rPr>
              <w:t>N+1</w:t>
            </w:r>
          </w:p>
        </w:tc>
        <w:tc>
          <w:tcPr>
            <w:tcW w:w="600" w:type="dxa"/>
            <w:shd w:val="clear" w:color="auto" w:fill="auto"/>
            <w:vAlign w:val="center"/>
          </w:tcPr>
          <w:p>
            <w:pPr>
              <w:spacing w:before="20" w:after="20"/>
              <w:jc w:val="center"/>
              <w:rPr>
                <w:noProof/>
                <w:sz w:val="16"/>
                <w:szCs w:val="16"/>
              </w:rPr>
            </w:pPr>
            <w:r>
              <w:rPr>
                <w:noProof/>
                <w:sz w:val="16"/>
                <w:szCs w:val="16"/>
              </w:rPr>
              <w:t xml:space="preserve">Année </w:t>
            </w:r>
            <w:r>
              <w:rPr>
                <w:b/>
                <w:noProof/>
                <w:sz w:val="16"/>
                <w:szCs w:val="16"/>
              </w:rPr>
              <w:t>N+2</w:t>
            </w:r>
          </w:p>
        </w:tc>
        <w:tc>
          <w:tcPr>
            <w:tcW w:w="600" w:type="dxa"/>
            <w:shd w:val="clear" w:color="auto" w:fill="auto"/>
            <w:vAlign w:val="center"/>
          </w:tcPr>
          <w:p>
            <w:pPr>
              <w:spacing w:before="20" w:after="20"/>
              <w:jc w:val="center"/>
              <w:rPr>
                <w:noProof/>
                <w:sz w:val="16"/>
                <w:szCs w:val="16"/>
              </w:rPr>
            </w:pPr>
            <w:r>
              <w:rPr>
                <w:noProof/>
                <w:sz w:val="16"/>
                <w:szCs w:val="16"/>
              </w:rPr>
              <w:t xml:space="preserve">Année </w:t>
            </w:r>
            <w:r>
              <w:rPr>
                <w:b/>
                <w:noProof/>
                <w:sz w:val="16"/>
                <w:szCs w:val="16"/>
              </w:rPr>
              <w:t>N+3</w:t>
            </w:r>
          </w:p>
        </w:tc>
        <w:tc>
          <w:tcPr>
            <w:tcW w:w="600" w:type="dxa"/>
            <w:gridSpan w:val="3"/>
            <w:shd w:val="clear" w:color="auto" w:fill="auto"/>
            <w:vAlign w:val="center"/>
          </w:tcPr>
          <w:p>
            <w:pPr>
              <w:jc w:val="center"/>
              <w:rPr>
                <w:b/>
                <w:noProof/>
                <w:sz w:val="16"/>
                <w:szCs w:val="16"/>
              </w:rPr>
            </w:pPr>
            <w:r>
              <w:rPr>
                <w:noProof/>
                <w:sz w:val="16"/>
              </w:rPr>
              <w:t>Insérer autant d’années que nécessaire pour refléter la durée de l’incidence (cf. point 1.6)</w:t>
            </w:r>
          </w:p>
        </w:tc>
      </w:tr>
      <w:tr>
        <w:trPr>
          <w:gridBefore w:val="1"/>
          <w:wBefore w:w="13" w:type="dxa"/>
          <w:trHeight w:val="289"/>
          <w:jc w:val="center"/>
        </w:trPr>
        <w:tc>
          <w:tcPr>
            <w:tcW w:w="600" w:type="dxa"/>
            <w:gridSpan w:val="9"/>
            <w:shd w:val="clear" w:color="auto" w:fill="auto"/>
          </w:tcPr>
          <w:p>
            <w:pPr>
              <w:jc w:val="left"/>
              <w:rPr>
                <w:noProof/>
                <w:sz w:val="16"/>
                <w:szCs w:val="16"/>
              </w:rPr>
            </w:pPr>
            <w:r>
              <w:rPr>
                <w:b/>
                <w:noProof/>
                <w:sz w:val="16"/>
              </w:rPr>
              <w:sym w:font="Wingdings" w:char="F09F"/>
            </w:r>
            <w:r>
              <w:rPr>
                <w:b/>
                <w:noProof/>
                <w:sz w:val="16"/>
              </w:rPr>
              <w:t>Emplois du tableau des effectifs (fonctionnaires et agents temporaires)</w:t>
            </w: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(au siège et dans les bureaux de représentation de la Commission)</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(en délégation)</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01/11/21 (recherche indirecte)</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01/11 (recherche directe)</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trHeight w:val="248"/>
          <w:jc w:val="center"/>
        </w:trPr>
        <w:tc>
          <w:tcPr>
            <w:tcW w:w="600" w:type="dxa"/>
            <w:gridSpan w:val="10"/>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Personnel externe (en équivalents temps plein: ETP)</w:t>
            </w:r>
            <w:r>
              <w:rPr>
                <w:rStyle w:val="FootnoteReference"/>
                <w:b/>
                <w:noProof/>
                <w:sz w:val="16"/>
              </w:rPr>
              <w:footnoteReference w:id="14"/>
            </w:r>
          </w:p>
          <w:p>
            <w:pPr>
              <w:pStyle w:val="Text1"/>
              <w:spacing w:before="0" w:after="0"/>
              <w:ind w:left="0"/>
              <w:jc w:val="left"/>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de l’enveloppe globale)</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et JPD dans les délégations)</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1952" w:type="dxa"/>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15"/>
            </w:r>
          </w:p>
          <w:p>
            <w:pPr>
              <w:pStyle w:val="Text1"/>
              <w:spacing w:beforeLines="20" w:before="48" w:afterLines="20" w:after="48"/>
              <w:ind w:left="136"/>
              <w:jc w:val="left"/>
              <w:rPr>
                <w:b/>
                <w:noProof/>
                <w:sz w:val="16"/>
                <w:szCs w:val="16"/>
              </w:rPr>
            </w:pPr>
          </w:p>
        </w:tc>
        <w:tc>
          <w:tcPr>
            <w:tcW w:w="1954" w:type="dxa"/>
            <w:shd w:val="clear" w:color="auto" w:fill="auto"/>
            <w:vAlign w:val="center"/>
          </w:tcPr>
          <w:p>
            <w:pPr>
              <w:pStyle w:val="Text1"/>
              <w:spacing w:beforeLines="20" w:before="48" w:afterLines="20" w:after="48"/>
              <w:ind w:left="136"/>
              <w:jc w:val="left"/>
              <w:rPr>
                <w:b/>
                <w:noProof/>
                <w:sz w:val="16"/>
                <w:szCs w:val="16"/>
              </w:rPr>
            </w:pPr>
            <w:r>
              <w:rPr>
                <w:noProof/>
                <w:sz w:val="16"/>
              </w:rPr>
              <w:t>0 au siège</w:t>
            </w:r>
          </w:p>
          <w:p>
            <w:pPr>
              <w:pStyle w:val="Text1"/>
              <w:spacing w:beforeLines="20" w:before="48" w:afterLines="20" w:after="48"/>
              <w:ind w:left="136"/>
              <w:jc w:val="left"/>
              <w:rPr>
                <w:b/>
                <w:noProof/>
                <w:sz w:val="16"/>
                <w:szCs w:val="16"/>
              </w:rPr>
            </w:pPr>
          </w:p>
        </w:tc>
        <w:tc>
          <w:tcPr>
            <w:tcW w:w="600" w:type="dxa"/>
            <w:shd w:val="clear" w:color="auto" w:fill="auto"/>
            <w:vAlign w:val="center"/>
          </w:tcPr>
          <w:p>
            <w:pPr>
              <w:pStyle w:val="Text1"/>
              <w:spacing w:beforeLines="20" w:before="48" w:afterLines="20" w:after="48"/>
              <w:ind w:left="0"/>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1952" w:type="dxa"/>
            <w:vMerge/>
            <w:shd w:val="clear" w:color="auto" w:fill="auto"/>
            <w:vAlign w:val="center"/>
          </w:tcPr>
          <w:p>
            <w:pPr>
              <w:pStyle w:val="Text1"/>
              <w:spacing w:beforeLines="20" w:before="48" w:afterLines="20" w:after="48"/>
              <w:ind w:left="136"/>
              <w:jc w:val="left"/>
              <w:rPr>
                <w:b/>
                <w:noProof/>
                <w:sz w:val="16"/>
                <w:szCs w:val="16"/>
              </w:rPr>
            </w:pPr>
          </w:p>
        </w:tc>
        <w:tc>
          <w:tcPr>
            <w:tcW w:w="1954" w:type="dxa"/>
            <w:shd w:val="clear" w:color="auto" w:fill="auto"/>
            <w:vAlign w:val="center"/>
          </w:tcPr>
          <w:p>
            <w:pPr>
              <w:pStyle w:val="Text1"/>
              <w:spacing w:beforeLines="20" w:before="48" w:afterLines="20" w:after="48"/>
              <w:ind w:left="136"/>
              <w:jc w:val="left"/>
              <w:rPr>
                <w:b/>
                <w:noProof/>
                <w:sz w:val="16"/>
                <w:szCs w:val="16"/>
              </w:rPr>
            </w:pPr>
            <w:r>
              <w:rPr>
                <w:noProof/>
                <w:sz w:val="16"/>
              </w:rPr>
              <w:t xml:space="preserve">0 en délégation </w:t>
            </w:r>
          </w:p>
        </w:tc>
        <w:tc>
          <w:tcPr>
            <w:tcW w:w="600" w:type="dxa"/>
            <w:shd w:val="clear" w:color="auto" w:fill="auto"/>
            <w:vAlign w:val="center"/>
          </w:tcPr>
          <w:p>
            <w:pPr>
              <w:pStyle w:val="Text1"/>
              <w:spacing w:beforeLines="20" w:before="48" w:afterLines="20" w:after="48"/>
              <w:ind w:left="0"/>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02/12/22 (AC, END, INT 0 recherche indirecte)</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02/12 (AC, END, INT 0 recherche directe)</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Autres lignes budgétaires (à préciser)</w:t>
            </w: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szCs w:val="18"/>
        </w:rPr>
        <w:t>XX</w:t>
      </w:r>
      <w:r>
        <w:rPr>
          <w:noProof/>
          <w:sz w:val="18"/>
          <w:szCs w:val="18"/>
        </w:rPr>
        <w:t xml:space="preserve"> est le domaine politique ou le titre concerné.</w:t>
      </w:r>
    </w:p>
    <w:p>
      <w:pPr>
        <w:pStyle w:val="Text1"/>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rPr>
                <w:noProof/>
                <w:sz w:val="20"/>
              </w:rPr>
            </w:pPr>
          </w:p>
        </w:tc>
      </w:tr>
      <w:tr>
        <w:tc>
          <w:tcPr>
            <w:tcW w:w="3240" w:type="dxa"/>
          </w:tcPr>
          <w:p>
            <w:pPr>
              <w:spacing w:before="60" w:after="60"/>
              <w:rPr>
                <w:noProof/>
                <w:sz w:val="20"/>
              </w:rPr>
            </w:pPr>
            <w:r>
              <w:rPr>
                <w:noProof/>
                <w:sz w:val="20"/>
              </w:rPr>
              <w:t>Personnel externe</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noProof/>
        </w:rPr>
      </w:pPr>
      <w:bookmarkStart w:id="59" w:name="_Toc514938056"/>
      <w:bookmarkStart w:id="60" w:name="_Toc520485055"/>
      <w:r>
        <w:t>3.2.4.</w:t>
      </w:r>
      <w:r>
        <w:tab/>
      </w:r>
      <w:r>
        <w:rPr>
          <w:noProof/>
        </w:rPr>
        <w:t>Compatibilité avec le cadre financier pluriannuel actuel</w:t>
      </w:r>
      <w:bookmarkEnd w:id="59"/>
      <w:bookmarkEnd w:id="60"/>
      <w:r>
        <w:rPr>
          <w:noProof/>
        </w:rPr>
        <w:t xml:space="preserve"> </w:t>
      </w:r>
    </w:p>
    <w:p>
      <w:pPr>
        <w:pStyle w:val="Text1"/>
        <w:rPr>
          <w:noProof/>
        </w:rPr>
      </w:pPr>
      <w:r>
        <w:rPr>
          <w:noProof/>
        </w:rPr>
        <w:t>La proposition/l’initiative:</w:t>
      </w:r>
    </w:p>
    <w:p>
      <w:pPr>
        <w:pStyle w:val="ListDash1"/>
        <w:rPr>
          <w:noProof/>
        </w:rPr>
      </w:pPr>
      <w:r>
        <w:rPr>
          <w:noProof/>
        </w:rPr>
        <w:t>X</w:t>
      </w:r>
      <w:r>
        <w:rPr>
          <w:noProof/>
        </w:rPr>
        <w:tab/>
        <w:t>peut être intégralement financée par voie de redéploiement au sein de la rubrique concernée du cadre financier pluriannuel (CFP).</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r>
        <w:rPr>
          <w:noProof/>
        </w:rPr>
        <w:t xml:space="preserve"> </w:t>
      </w:r>
      <w:r>
        <w:rPr>
          <w:noProof/>
          <w:sz w:val="20"/>
        </w:rPr>
        <w:t>Veuillez fournir un tableau Excel en cas de reprogrammation de grande envergure.</w:t>
      </w:r>
    </w:p>
    <w:p>
      <w:pPr>
        <w:pStyle w:val="ListDash1"/>
        <w:rPr>
          <w:noProof/>
        </w:rPr>
      </w:pPr>
      <w:r>
        <w:rPr>
          <w:noProof/>
        </w:rPr>
        <w:sym w:font="Wingdings" w:char="F0A8"/>
      </w:r>
      <w:r>
        <w:rPr>
          <w:noProof/>
        </w:rPr>
        <w:tab/>
        <w:t>nécessite l’utilisation de la marge non allouée sous la rubrique correspondante du CFP et/ou le recours aux instruments spéciaux comme le prévoit le règlement CFP.</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 Veuillez fournir un tableau Excel en cas de reprogrammation de grande envergure.</w:t>
      </w:r>
    </w:p>
    <w:p>
      <w:pPr>
        <w:pStyle w:val="ListDash1"/>
        <w:rPr>
          <w:noProof/>
        </w:rPr>
      </w:pPr>
      <w:r>
        <w:rPr>
          <w:noProof/>
        </w:rPr>
        <w:sym w:font="Wingdings" w:char="F0A8"/>
      </w:r>
      <w:r>
        <w:rPr>
          <w:noProof/>
        </w:rPr>
        <w:tab/>
        <w:t>nécessite une révision du CFP.</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les lignes budgétaires concernées et les montants correspondants.</w:t>
      </w:r>
    </w:p>
    <w:p>
      <w:pPr>
        <w:pStyle w:val="ManualHeading3"/>
        <w:rPr>
          <w:bCs/>
          <w:noProof/>
          <w:szCs w:val="24"/>
        </w:rPr>
      </w:pPr>
      <w:bookmarkStart w:id="61" w:name="_Toc514938058"/>
      <w:bookmarkStart w:id="62" w:name="_Toc520485056"/>
      <w:r>
        <w:t>3.2.5.</w:t>
      </w:r>
      <w:r>
        <w:tab/>
      </w:r>
      <w:r>
        <w:rPr>
          <w:noProof/>
        </w:rPr>
        <w:t>Participation de tiers au financement</w:t>
      </w:r>
      <w:bookmarkEnd w:id="61"/>
      <w:bookmarkEnd w:id="62"/>
      <w:r>
        <w:rPr>
          <w:noProof/>
        </w:rPr>
        <w:t xml:space="preserve"> </w:t>
      </w:r>
    </w:p>
    <w:p>
      <w:pPr>
        <w:pStyle w:val="Text1"/>
        <w:rPr>
          <w:noProof/>
        </w:rPr>
      </w:pPr>
      <w:r>
        <w:rPr>
          <w:noProof/>
        </w:rPr>
        <w:t>La proposition/l’initiative:</w:t>
      </w:r>
    </w:p>
    <w:p>
      <w:pPr>
        <w:pStyle w:val="ListDash1"/>
        <w:rPr>
          <w:noProof/>
        </w:rPr>
      </w:pPr>
      <w:r>
        <w:rPr>
          <w:noProof/>
        </w:rPr>
        <w:sym w:font="Wingdings" w:char="F0A8"/>
      </w:r>
      <w:r>
        <w:rPr>
          <w:noProof/>
        </w:rPr>
        <w:tab/>
        <w:t>ne prévoit pas de cofinancement par des tierces parties</w:t>
      </w:r>
    </w:p>
    <w:p>
      <w:pPr>
        <w:pStyle w:val="ListDash1"/>
        <w:rPr>
          <w:noProof/>
        </w:rPr>
      </w:pPr>
      <w:r>
        <w:rPr>
          <w:noProof/>
        </w:rPr>
        <w:sym w:font="Wingdings" w:char="F0A8"/>
      </w:r>
      <w:r>
        <w:rPr>
          <w:noProof/>
        </w:rPr>
        <w:tab/>
        <w:t>prévoit le cofinancement par des tierces parties estimé ci-après:</w:t>
      </w:r>
    </w:p>
    <w:p>
      <w:pPr>
        <w:jc w:val="right"/>
        <w:rPr>
          <w:noProof/>
          <w:sz w:val="20"/>
        </w:rPr>
      </w:pPr>
      <w:r>
        <w:rPr>
          <w:noProof/>
          <w:sz w:val="20"/>
        </w:rPr>
        <w:t>Crédits en Mio EUR (à la 3</w:t>
      </w:r>
      <w:r>
        <w:rPr>
          <w:noProof/>
          <w:sz w:val="20"/>
          <w:vertAlign w:val="superscript"/>
        </w:rPr>
        <w:t>e</w:t>
      </w:r>
      <w:r>
        <w:rPr>
          <w:noProof/>
          <w:sz w:val="20"/>
        </w:rPr>
        <w:t xml:space="preserve">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Année</w:t>
            </w:r>
            <w:r>
              <w:rPr>
                <w:noProof/>
              </w:rPr>
              <w:t xml:space="preserve"> </w:t>
            </w:r>
            <w:r>
              <w:rPr>
                <w:noProof/>
              </w:rPr>
              <w:br/>
            </w:r>
            <w:r>
              <w:rPr>
                <w:b/>
                <w:noProof/>
                <w:sz w:val="20"/>
              </w:rPr>
              <w:t>N</w:t>
            </w:r>
            <w:r>
              <w:rPr>
                <w:rStyle w:val="FootnoteReference"/>
                <w:b/>
                <w:noProof/>
                <w:sz w:val="20"/>
              </w:rPr>
              <w:footnoteReference w:id="16"/>
            </w:r>
          </w:p>
        </w:tc>
        <w:tc>
          <w:tcPr>
            <w:tcW w:w="964" w:type="dxa"/>
            <w:vAlign w:val="center"/>
          </w:tcPr>
          <w:p>
            <w:pPr>
              <w:jc w:val="center"/>
              <w:rPr>
                <w:noProof/>
                <w:sz w:val="20"/>
              </w:rPr>
            </w:pPr>
            <w:r>
              <w:rPr>
                <w:noProof/>
                <w:sz w:val="20"/>
              </w:rPr>
              <w:t>Année</w:t>
            </w:r>
            <w:r>
              <w:rPr>
                <w:noProof/>
              </w:rPr>
              <w:t xml:space="preserve"> </w:t>
            </w:r>
            <w:r>
              <w:rPr>
                <w:noProof/>
              </w:rPr>
              <w:br/>
            </w:r>
            <w:r>
              <w:rPr>
                <w:b/>
                <w:noProof/>
                <w:sz w:val="20"/>
              </w:rPr>
              <w:t>N+1</w:t>
            </w:r>
          </w:p>
        </w:tc>
        <w:tc>
          <w:tcPr>
            <w:tcW w:w="964" w:type="dxa"/>
            <w:vAlign w:val="center"/>
          </w:tcPr>
          <w:p>
            <w:pPr>
              <w:jc w:val="center"/>
              <w:rPr>
                <w:noProof/>
                <w:sz w:val="20"/>
              </w:rPr>
            </w:pPr>
            <w:r>
              <w:rPr>
                <w:noProof/>
                <w:sz w:val="20"/>
              </w:rPr>
              <w:t>Année</w:t>
            </w:r>
            <w:r>
              <w:rPr>
                <w:noProof/>
              </w:rPr>
              <w:t xml:space="preserve"> </w:t>
            </w:r>
            <w:r>
              <w:rPr>
                <w:noProof/>
              </w:rPr>
              <w:br/>
            </w:r>
            <w:r>
              <w:rPr>
                <w:b/>
                <w:noProof/>
                <w:sz w:val="20"/>
              </w:rPr>
              <w:t>N+2</w:t>
            </w:r>
          </w:p>
        </w:tc>
        <w:tc>
          <w:tcPr>
            <w:tcW w:w="964" w:type="dxa"/>
            <w:vAlign w:val="center"/>
          </w:tcPr>
          <w:p>
            <w:pPr>
              <w:jc w:val="center"/>
              <w:rPr>
                <w:noProof/>
                <w:sz w:val="20"/>
              </w:rPr>
            </w:pPr>
            <w:r>
              <w:rPr>
                <w:noProof/>
                <w:sz w:val="20"/>
              </w:rPr>
              <w:t>Année</w:t>
            </w:r>
            <w:r>
              <w:rPr>
                <w:noProof/>
              </w:rPr>
              <w:t xml:space="preserve"> </w:t>
            </w:r>
            <w:r>
              <w:rPr>
                <w:noProof/>
              </w:rPr>
              <w:br/>
            </w:r>
            <w:r>
              <w:rPr>
                <w:b/>
                <w:noProof/>
                <w:sz w:val="20"/>
              </w:rPr>
              <w:t>N+3</w:t>
            </w:r>
          </w:p>
        </w:tc>
        <w:tc>
          <w:tcPr>
            <w:tcW w:w="2892" w:type="dxa"/>
            <w:gridSpan w:val="3"/>
            <w:vAlign w:val="center"/>
          </w:tcPr>
          <w:p>
            <w:pPr>
              <w:jc w:val="center"/>
              <w:rPr>
                <w:b/>
                <w:noProof/>
                <w:sz w:val="20"/>
              </w:rPr>
            </w:pPr>
            <w:r>
              <w:rPr>
                <w:noProof/>
                <w:sz w:val="20"/>
              </w:rPr>
              <w:t>Insérer autant d’années que nécessaire pour refléter la durée de l’incidence (cf.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crédits cofinancés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t xml:space="preserve"> </w:t>
      </w:r>
      <w:r>
        <w:rPr>
          <w:noProof/>
        </w:rPr>
        <w:br/>
      </w:r>
    </w:p>
    <w:p>
      <w:pPr>
        <w:pStyle w:val="ManualHeading2"/>
        <w:rPr>
          <w:bCs/>
          <w:noProof/>
          <w:szCs w:val="24"/>
        </w:rPr>
      </w:pPr>
      <w:r>
        <w:rPr>
          <w:noProof/>
        </w:rPr>
        <w:br w:type="page"/>
      </w:r>
      <w:bookmarkStart w:id="63" w:name="_Toc514938059"/>
      <w:bookmarkStart w:id="64" w:name="_Toc520485057"/>
      <w:r>
        <w:t>3.3.</w:t>
      </w:r>
      <w:r>
        <w:tab/>
      </w:r>
      <w:r>
        <w:rPr>
          <w:noProof/>
        </w:rPr>
        <w:t>Incidence estimée sur les recettes</w:t>
      </w:r>
      <w:bookmarkEnd w:id="63"/>
      <w:bookmarkEnd w:id="64"/>
      <w:r>
        <w:rPr>
          <w:noProof/>
        </w:rPr>
        <w:t xml:space="preserve"> </w:t>
      </w:r>
    </w:p>
    <w:p>
      <w:pPr>
        <w:pStyle w:val="ListDash1"/>
        <w:rPr>
          <w:noProof/>
        </w:rPr>
      </w:pPr>
      <w:r>
        <w:rPr>
          <w:noProof/>
        </w:rPr>
        <w:t>X</w:t>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une incidence financière décrite ci-après:</w:t>
      </w:r>
    </w:p>
    <w:p>
      <w:pPr>
        <w:pStyle w:val="Tiret2"/>
        <w:numPr>
          <w:ilvl w:val="0"/>
          <w:numId w:val="17"/>
        </w:numPr>
        <w:rPr>
          <w:noProof/>
        </w:rPr>
      </w:pPr>
      <w:r>
        <w:rPr>
          <w:noProof/>
        </w:rPr>
        <w:sym w:font="Wingdings" w:char="F0A8"/>
      </w:r>
      <w:r>
        <w:rPr>
          <w:noProof/>
        </w:rPr>
        <w:tab/>
        <w:t xml:space="preserve">sur les ressources propres </w:t>
      </w:r>
    </w:p>
    <w:p>
      <w:pPr>
        <w:pStyle w:val="Tiret2"/>
        <w:rPr>
          <w:noProof/>
        </w:rPr>
      </w:pPr>
      <w:r>
        <w:rPr>
          <w:noProof/>
        </w:rPr>
        <w:sym w:font="Wingdings" w:char="F0A8"/>
      </w:r>
      <w:r>
        <w:rPr>
          <w:noProof/>
        </w:rPr>
        <w:tab/>
        <w:t>sur les autres recettes</w:t>
      </w:r>
    </w:p>
    <w:p>
      <w:pPr>
        <w:pStyle w:val="Tiret2"/>
        <w:rPr>
          <w:noProof/>
        </w:rPr>
      </w:pPr>
      <w:r>
        <w:rPr>
          <w:noProof/>
        </w:rPr>
        <w:sym w:font="Wingdings" w:char="F0A8"/>
      </w:r>
      <w:r>
        <w:rPr>
          <w:noProof/>
        </w:rPr>
        <w:tab/>
        <w:t>veuillez indiquer si les recettes sont affectées à des lignes de dépenses</w:t>
      </w:r>
    </w:p>
    <w:p>
      <w:pPr>
        <w:ind w:left="4320"/>
        <w:rPr>
          <w:i/>
          <w:noProof/>
          <w:sz w:val="20"/>
        </w:rPr>
      </w:pPr>
      <w:r>
        <w:rPr>
          <w:noProof/>
        </w:rPr>
        <w:t xml:space="preserve"> En Mio EUR (à la 3</w:t>
      </w:r>
      <w:r>
        <w:rPr>
          <w:noProof/>
          <w:vertAlign w:val="superscript"/>
        </w:rPr>
        <w:t>e</w:t>
      </w:r>
      <w:r>
        <w:rPr>
          <w:noProof/>
        </w:rPr>
        <w:t xml:space="preserve">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recettes:</w:t>
            </w:r>
          </w:p>
        </w:tc>
        <w:tc>
          <w:tcPr>
            <w:tcW w:w="1325" w:type="dxa"/>
            <w:vMerge w:val="restart"/>
            <w:vAlign w:val="center"/>
          </w:tcPr>
          <w:p>
            <w:pPr>
              <w:jc w:val="center"/>
              <w:rPr>
                <w:noProof/>
                <w:sz w:val="18"/>
              </w:rPr>
            </w:pPr>
            <w:r>
              <w:rPr>
                <w:noProof/>
                <w:sz w:val="18"/>
              </w:rPr>
              <w:t>Montants inscrits pour l’exercice en cours</w:t>
            </w:r>
          </w:p>
        </w:tc>
        <w:tc>
          <w:tcPr>
            <w:tcW w:w="7151" w:type="dxa"/>
            <w:gridSpan w:val="7"/>
            <w:vAlign w:val="center"/>
          </w:tcPr>
          <w:p>
            <w:pPr>
              <w:jc w:val="center"/>
              <w:rPr>
                <w:noProof/>
                <w:sz w:val="18"/>
              </w:rPr>
            </w:pPr>
            <w:r>
              <w:rPr>
                <w:noProof/>
                <w:sz w:val="18"/>
              </w:rPr>
              <w:t>Incidence de la proposition/de l’initiative</w:t>
            </w:r>
            <w:r>
              <w:rPr>
                <w:rStyle w:val="FootnoteReference"/>
                <w:noProof/>
                <w:sz w:val="18"/>
              </w:rPr>
              <w:footnoteReference w:id="17"/>
            </w:r>
          </w:p>
        </w:tc>
      </w:tr>
      <w:tr>
        <w:trPr>
          <w:trHeight w:val="388"/>
        </w:trPr>
        <w:tc>
          <w:tcPr>
            <w:tcW w:w="2144" w:type="dxa"/>
            <w:vMerge/>
          </w:tcPr>
          <w:p>
            <w:pPr>
              <w:spacing w:before="40" w:after="40"/>
              <w:rPr>
                <w:noProof/>
                <w:sz w:val="18"/>
              </w:rPr>
            </w:pPr>
          </w:p>
        </w:tc>
        <w:tc>
          <w:tcPr>
            <w:tcW w:w="1325" w:type="dxa"/>
            <w:vMerge/>
          </w:tcPr>
          <w:p>
            <w:pPr>
              <w:spacing w:beforeLines="40" w:before="96" w:afterLines="40" w:after="96"/>
              <w:rPr>
                <w:i/>
                <w:noProof/>
                <w:sz w:val="18"/>
              </w:rPr>
            </w:pPr>
          </w:p>
        </w:tc>
        <w:tc>
          <w:tcPr>
            <w:tcW w:w="1031" w:type="dxa"/>
            <w:vAlign w:val="center"/>
          </w:tcPr>
          <w:p>
            <w:pPr>
              <w:jc w:val="center"/>
              <w:rPr>
                <w:noProof/>
                <w:sz w:val="18"/>
              </w:rPr>
            </w:pPr>
            <w:r>
              <w:rPr>
                <w:noProof/>
                <w:sz w:val="18"/>
              </w:rPr>
              <w:t>Année</w:t>
            </w:r>
            <w:r>
              <w:rPr>
                <w:noProof/>
              </w:rPr>
              <w:t xml:space="preserve"> </w:t>
            </w:r>
            <w:r>
              <w:rPr>
                <w:noProof/>
              </w:rPr>
              <w:br/>
            </w:r>
            <w:r>
              <w:rPr>
                <w:b/>
                <w:noProof/>
                <w:sz w:val="18"/>
              </w:rPr>
              <w:t>N</w:t>
            </w:r>
          </w:p>
        </w:tc>
        <w:tc>
          <w:tcPr>
            <w:tcW w:w="900" w:type="dxa"/>
            <w:vAlign w:val="center"/>
          </w:tcPr>
          <w:p>
            <w:pPr>
              <w:jc w:val="center"/>
              <w:rPr>
                <w:noProof/>
                <w:sz w:val="18"/>
              </w:rPr>
            </w:pPr>
            <w:r>
              <w:rPr>
                <w:noProof/>
                <w:sz w:val="18"/>
              </w:rPr>
              <w:t>Année</w:t>
            </w:r>
            <w:r>
              <w:rPr>
                <w:noProof/>
              </w:rPr>
              <w:t xml:space="preserve"> </w:t>
            </w:r>
            <w:r>
              <w:rPr>
                <w:noProof/>
              </w:rPr>
              <w:br/>
            </w:r>
            <w:r>
              <w:rPr>
                <w:b/>
                <w:noProof/>
                <w:sz w:val="18"/>
              </w:rPr>
              <w:t>N+1</w:t>
            </w:r>
          </w:p>
        </w:tc>
        <w:tc>
          <w:tcPr>
            <w:tcW w:w="900" w:type="dxa"/>
            <w:vAlign w:val="center"/>
          </w:tcPr>
          <w:p>
            <w:pPr>
              <w:jc w:val="center"/>
              <w:rPr>
                <w:noProof/>
                <w:sz w:val="18"/>
              </w:rPr>
            </w:pPr>
            <w:r>
              <w:rPr>
                <w:noProof/>
                <w:sz w:val="18"/>
              </w:rPr>
              <w:t>Année</w:t>
            </w:r>
            <w:r>
              <w:rPr>
                <w:noProof/>
              </w:rPr>
              <w:t xml:space="preserve"> </w:t>
            </w:r>
            <w:r>
              <w:rPr>
                <w:noProof/>
              </w:rPr>
              <w:br/>
            </w:r>
            <w:r>
              <w:rPr>
                <w:b/>
                <w:noProof/>
                <w:sz w:val="18"/>
              </w:rPr>
              <w:t>N+2</w:t>
            </w:r>
          </w:p>
        </w:tc>
        <w:tc>
          <w:tcPr>
            <w:tcW w:w="1080" w:type="dxa"/>
            <w:vAlign w:val="center"/>
          </w:tcPr>
          <w:p>
            <w:pPr>
              <w:jc w:val="center"/>
              <w:rPr>
                <w:noProof/>
                <w:sz w:val="18"/>
              </w:rPr>
            </w:pPr>
            <w:r>
              <w:rPr>
                <w:noProof/>
                <w:sz w:val="18"/>
              </w:rPr>
              <w:t>Année</w:t>
            </w:r>
            <w:r>
              <w:rPr>
                <w:noProof/>
              </w:rPr>
              <w:t xml:space="preserve"> </w:t>
            </w:r>
            <w:r>
              <w:rPr>
                <w:noProof/>
              </w:rPr>
              <w:br/>
            </w:r>
            <w:r>
              <w:rPr>
                <w:b/>
                <w:noProof/>
                <w:sz w:val="18"/>
              </w:rPr>
              <w:t>N+3</w:t>
            </w:r>
          </w:p>
        </w:tc>
        <w:tc>
          <w:tcPr>
            <w:tcW w:w="3240" w:type="dxa"/>
            <w:gridSpan w:val="3"/>
            <w:vAlign w:val="center"/>
          </w:tcPr>
          <w:p>
            <w:pPr>
              <w:jc w:val="center"/>
              <w:rPr>
                <w:b/>
                <w:noProof/>
                <w:sz w:val="18"/>
              </w:rPr>
            </w:pPr>
            <w:r>
              <w:rPr>
                <w:noProof/>
                <w:sz w:val="18"/>
              </w:rPr>
              <w:t>Insérer autant d’années que nécessaire pour refléter la durée de l’incidence (cf. point 1.6)</w:t>
            </w:r>
          </w:p>
        </w:tc>
      </w:tr>
      <w:tr>
        <w:trPr>
          <w:trHeight w:val="388"/>
        </w:trPr>
        <w:tc>
          <w:tcPr>
            <w:tcW w:w="2144" w:type="dxa"/>
            <w:vAlign w:val="center"/>
          </w:tcPr>
          <w:p>
            <w:pPr>
              <w:spacing w:before="40" w:after="40"/>
              <w:rPr>
                <w:noProof/>
                <w:sz w:val="18"/>
              </w:rPr>
            </w:pPr>
            <w:r>
              <w:rPr>
                <w:noProof/>
                <w:sz w:val="18"/>
              </w:rPr>
              <w:t>Article ………….</w:t>
            </w:r>
          </w:p>
        </w:tc>
        <w:tc>
          <w:tcPr>
            <w:tcW w:w="1325" w:type="dxa"/>
          </w:tcPr>
          <w:p>
            <w:pPr>
              <w:spacing w:beforeLines="40" w:before="96" w:afterLines="40" w:after="96"/>
              <w:jc w:val="center"/>
              <w:rPr>
                <w:i/>
                <w:noProof/>
                <w:sz w:val="18"/>
              </w:rPr>
            </w:pPr>
          </w:p>
        </w:tc>
        <w:tc>
          <w:tcPr>
            <w:tcW w:w="1031"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Pour les recettes affectées, préciser la(les)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Autres remarques (relatives par exemple à la méthode/formule utilisée pour le calcul de l’incidence sur les recettes ou toute autre information).</w:t>
      </w:r>
    </w:p>
    <w:p>
      <w:pPr>
        <w:pStyle w:val="Text1"/>
        <w:pBdr>
          <w:top w:val="single" w:sz="4" w:space="1" w:color="auto"/>
          <w:left w:val="single" w:sz="4" w:space="4" w:color="auto"/>
          <w:bottom w:val="single" w:sz="4" w:space="1" w:color="auto"/>
          <w:right w:val="single" w:sz="4" w:space="4" w:color="auto"/>
        </w:pBdr>
        <w:rPr>
          <w:noProof/>
        </w:rPr>
      </w:pPr>
    </w:p>
    <w:p>
      <w:pP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
        </w:rPr>
        <w:footnoteRef/>
      </w:r>
      <w:r>
        <w:rPr>
          <w:lang w:val="fr-BE"/>
        </w:rPr>
        <w:tab/>
        <w:t>JO C  du , p. .</w:t>
      </w:r>
    </w:p>
  </w:footnote>
  <w:footnote w:id="3">
    <w:p>
      <w:pPr>
        <w:pStyle w:val="FootnoteText"/>
        <w:rPr>
          <w:lang w:val="fr-BE"/>
        </w:rPr>
      </w:pPr>
      <w:r>
        <w:rPr>
          <w:rStyle w:val="FootnoteReference"/>
        </w:rPr>
        <w:footnoteRef/>
      </w:r>
      <w:r>
        <w:rPr>
          <w:lang w:val="fr-BE"/>
        </w:rPr>
        <w:tab/>
        <w:t>JO C  du , p. .</w:t>
      </w:r>
    </w:p>
  </w:footnote>
  <w:footnote w:id="4">
    <w:p>
      <w:pPr>
        <w:pStyle w:val="FootnoteText"/>
        <w:rPr>
          <w:szCs w:val="24"/>
          <w:lang w:val="fr-BE"/>
        </w:rPr>
      </w:pPr>
      <w:r>
        <w:rPr>
          <w:rStyle w:val="FootnoteReference"/>
        </w:rPr>
        <w:footnoteRef/>
      </w:r>
      <w:r>
        <w:rPr>
          <w:lang w:val="fr-BE"/>
        </w:rPr>
        <w:tab/>
        <w:t>Tel(le) que visé(e) à l’article 58, paragraphe 2, point a) ou b), du règlement financier.</w:t>
      </w:r>
    </w:p>
  </w:footnote>
  <w:footnote w:id="5">
    <w:p>
      <w:pPr>
        <w:pStyle w:val="FootnoteText"/>
        <w:jc w:val="left"/>
        <w:rPr>
          <w:szCs w:val="24"/>
          <w:lang w:val="fr-BE"/>
        </w:rPr>
      </w:pPr>
      <w:r>
        <w:rPr>
          <w:rStyle w:val="FootnoteReference"/>
        </w:rPr>
        <w:footnoteRef/>
      </w:r>
      <w:r>
        <w:rPr>
          <w:lang w:val="fr-BE"/>
        </w:rPr>
        <w:tab/>
        <w:t xml:space="preserve">Les explications sur les modes de gestion ainsi que les références au règlement financier sont disponibles sur le site BudgWeb: </w:t>
      </w:r>
      <w:hyperlink r:id="rId1" w:history="1">
        <w:r>
          <w:rPr>
            <w:rStyle w:val="Hyperlink"/>
            <w:lang w:val="fr-BE"/>
          </w:rPr>
          <w:t>https://myintracomm.ec.europa.eu/budgweb/FR/man/budgmanag/Pages/budgmanag.aspx</w:t>
        </w:r>
      </w:hyperlink>
      <w:r>
        <w:rPr>
          <w:lang w:val="fr-BE"/>
        </w:rPr>
        <w:t xml:space="preserve"> </w:t>
      </w:r>
    </w:p>
  </w:footnote>
  <w:footnote w:id="6">
    <w:p>
      <w:pPr>
        <w:pStyle w:val="FootnoteText"/>
        <w:rPr>
          <w:szCs w:val="24"/>
          <w:lang w:val="fr-BE"/>
        </w:rPr>
      </w:pPr>
      <w:r>
        <w:rPr>
          <w:rStyle w:val="FootnoteReference"/>
        </w:rPr>
        <w:footnoteRef/>
      </w:r>
      <w:r>
        <w:rPr>
          <w:lang w:val="fr-BE"/>
        </w:rPr>
        <w:tab/>
        <w:t>CD = crédits dissociés / CND = crédits non dissociés.</w:t>
      </w:r>
    </w:p>
  </w:footnote>
  <w:footnote w:id="7">
    <w:p>
      <w:pPr>
        <w:pStyle w:val="FootnoteText"/>
        <w:rPr>
          <w:szCs w:val="24"/>
          <w:lang w:val="fr-BE"/>
        </w:rPr>
      </w:pPr>
      <w:r>
        <w:rPr>
          <w:rStyle w:val="FootnoteReference"/>
        </w:rPr>
        <w:footnoteRef/>
      </w:r>
      <w:r>
        <w:rPr>
          <w:lang w:val="fr-BE"/>
        </w:rPr>
        <w:tab/>
        <w:t xml:space="preserve">AELE: Association européenne de libre-échange. </w:t>
      </w:r>
    </w:p>
  </w:footnote>
  <w:footnote w:id="8">
    <w:p>
      <w:pPr>
        <w:pStyle w:val="FootnoteText"/>
        <w:rPr>
          <w:szCs w:val="24"/>
          <w:lang w:val="fr-BE"/>
        </w:rPr>
      </w:pPr>
      <w:r>
        <w:rPr>
          <w:rStyle w:val="FootnoteReference"/>
        </w:rPr>
        <w:footnoteRef/>
      </w:r>
      <w:r>
        <w:rPr>
          <w:lang w:val="fr-BE"/>
        </w:rPr>
        <w:tab/>
        <w:t>Pays candidats et, le cas échéant, pays candidats potentiels des Balkans occidentaux.</w:t>
      </w:r>
    </w:p>
  </w:footnote>
  <w:footnote w:id="9">
    <w:p>
      <w:pPr>
        <w:pStyle w:val="FootnoteText"/>
        <w:rPr>
          <w:lang w:val="fr-BE"/>
        </w:rPr>
      </w:pPr>
      <w:r>
        <w:rPr>
          <w:rStyle w:val="FootnoteReference"/>
        </w:rPr>
        <w:footnoteRef/>
      </w:r>
      <w:r>
        <w:rPr>
          <w:lang w:val="fr-BE"/>
        </w:rPr>
        <w:tab/>
        <w:t>Ligne budgétaire 08.0301 à partir de l’exercice budgétaire 2021</w:t>
      </w:r>
    </w:p>
  </w:footnote>
  <w:footnote w:id="10">
    <w:p>
      <w:pPr>
        <w:pStyle w:val="FootnoteText"/>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11">
    <w:p>
      <w:pPr>
        <w:pStyle w:val="FootnoteText"/>
        <w:rPr>
          <w:szCs w:val="24"/>
          <w:lang w:val="fr-BE"/>
        </w:rPr>
      </w:pPr>
      <w:r>
        <w:rPr>
          <w:rStyle w:val="FootnoteReference"/>
        </w:rPr>
        <w:footnoteRef/>
      </w:r>
      <w:r>
        <w:rPr>
          <w:lang w:val="fr-BE"/>
        </w:rPr>
        <w:tab/>
        <w:t xml:space="preserve">Tel que décrit dans la partie 1.4.2. «Objectif(s) spécifique(s)…». </w:t>
      </w:r>
    </w:p>
  </w:footnote>
  <w:footnote w:id="12">
    <w:p>
      <w:pPr>
        <w:pStyle w:val="FootnoteText"/>
        <w:rPr>
          <w:sz w:val="18"/>
          <w:szCs w:val="18"/>
          <w:lang w:val="fr-BE"/>
        </w:rPr>
      </w:pPr>
      <w:r>
        <w:rPr>
          <w:rStyle w:val="FootnoteReference"/>
        </w:rPr>
        <w:footnoteRef/>
      </w:r>
      <w:r>
        <w:rPr>
          <w:lang w:val="fr-BE"/>
        </w:rPr>
        <w:tab/>
      </w:r>
      <w:r>
        <w:rPr>
          <w:sz w:val="18"/>
          <w:szCs w:val="18"/>
          <w:lang w:val="fr-BE"/>
        </w:rPr>
        <w:t>L’année N est l’année du début de la mise en œuvre de la proposition/de l’initiative. Veuillez remplacer «N» par la première année de mise en œuvre prévue (par exemple: 2021). Procédez de la même façon pour les années suivantes.</w:t>
      </w:r>
    </w:p>
  </w:footnote>
  <w:footnote w:id="13">
    <w:p>
      <w:pPr>
        <w:pStyle w:val="FootnoteText"/>
        <w:rPr>
          <w:szCs w:val="24"/>
          <w:lang w:val="fr-BE"/>
        </w:rPr>
      </w:pPr>
      <w:r>
        <w:rPr>
          <w:rStyle w:val="FootnoteReference"/>
        </w:rPr>
        <w:footnoteRef/>
      </w:r>
      <w:r>
        <w:rPr>
          <w:lang w:val="fr-BE"/>
        </w:rPr>
        <w:tab/>
      </w:r>
      <w:r>
        <w:rPr>
          <w:sz w:val="18"/>
          <w:szCs w:val="18"/>
          <w:lang w:val="fr-BE"/>
        </w:rPr>
        <w:t>Assistance technique et/ou administrative et dépenses d’appui à la mise en œuvre de programmes et/ou d’actions de l’UE (anciennes lignes «BA»), recherche indirecte, recherche directe.</w:t>
      </w:r>
    </w:p>
  </w:footnote>
  <w:footnote w:id="14">
    <w:p>
      <w:pPr>
        <w:pStyle w:val="FootnoteText"/>
        <w:rPr>
          <w:szCs w:val="24"/>
          <w:lang w:val="fr-BE"/>
        </w:rPr>
      </w:pPr>
      <w:r>
        <w:rPr>
          <w:rStyle w:val="FootnoteReference"/>
        </w:rPr>
        <w:footnoteRef/>
      </w:r>
      <w:r>
        <w:rPr>
          <w:lang w:val="fr-BE"/>
        </w:rPr>
        <w:tab/>
        <w:t xml:space="preserve">AC = agent contractuel; AL = agent local; END = expert national détaché; INT = intérimaire; JPD = jeune professionnel en délégation. </w:t>
      </w:r>
    </w:p>
  </w:footnote>
  <w:footnote w:id="15">
    <w:p>
      <w:pPr>
        <w:pStyle w:val="FootnoteText"/>
        <w:rPr>
          <w:szCs w:val="24"/>
          <w:lang w:val="fr-BE"/>
        </w:rPr>
      </w:pPr>
      <w:r>
        <w:rPr>
          <w:rStyle w:val="FootnoteReference"/>
        </w:rPr>
        <w:footnoteRef/>
      </w:r>
      <w:r>
        <w:rPr>
          <w:lang w:val="fr-BE"/>
        </w:rPr>
        <w:tab/>
        <w:t>Sous-plafonds de personnel externe financés sur crédits opérationnels (anciennes lignes «BA»).</w:t>
      </w:r>
    </w:p>
  </w:footnote>
  <w:footnote w:id="16">
    <w:p>
      <w:pPr>
        <w:pStyle w:val="FootnoteText"/>
        <w:rPr>
          <w:lang w:val="fr-BE"/>
        </w:rPr>
      </w:pPr>
      <w:r>
        <w:rPr>
          <w:rStyle w:val="FootnoteReference"/>
        </w:rPr>
        <w:footnoteRef/>
      </w:r>
      <w:r>
        <w:rPr>
          <w:lang w:val="fr-BE"/>
        </w:rPr>
        <w:tab/>
        <w:t>L’année N est l’année du début de la mise en œuvre de la proposition/de l’initiative. Veuillez remplacer «N» par la première année de mise en œuvre prévue (par exemple: 2021). Procédez de la même façon pour les années suivantes.</w:t>
      </w:r>
    </w:p>
  </w:footnote>
  <w:footnote w:id="17">
    <w:p>
      <w:pPr>
        <w:pStyle w:val="FootnoteText"/>
        <w:rPr>
          <w:szCs w:val="24"/>
          <w:lang w:val="fr-BE"/>
        </w:rPr>
      </w:pPr>
      <w:r>
        <w:rPr>
          <w:rStyle w:val="FootnoteReference"/>
        </w:rPr>
        <w:footnoteRef/>
      </w:r>
      <w:r>
        <w:rPr>
          <w:lang w:val="fr-BE"/>
        </w:rPr>
        <w:tab/>
        <w:t>En ce qui concerne les ressources propres traditionnelles (droits de douane, cotisations sur le sucre), les montants indiqués doivent être des montants nets, c’est-à-dire des montants bruts après déduction de 20 %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994E0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87EF0E8"/>
    <w:lvl w:ilvl="0">
      <w:start w:val="1"/>
      <w:numFmt w:val="decimal"/>
      <w:pStyle w:val="ListNumber3"/>
      <w:lvlText w:val="%1."/>
      <w:lvlJc w:val="left"/>
      <w:pPr>
        <w:tabs>
          <w:tab w:val="num" w:pos="926"/>
        </w:tabs>
        <w:ind w:left="926" w:hanging="360"/>
      </w:pPr>
    </w:lvl>
  </w:abstractNum>
  <w:abstractNum w:abstractNumId="2">
    <w:nsid w:val="FFFFFF7F"/>
    <w:multiLevelType w:val="singleLevel"/>
    <w:tmpl w:val="493AAAC6"/>
    <w:lvl w:ilvl="0">
      <w:start w:val="1"/>
      <w:numFmt w:val="decimal"/>
      <w:pStyle w:val="ListNumber2"/>
      <w:lvlText w:val="%1."/>
      <w:lvlJc w:val="left"/>
      <w:pPr>
        <w:tabs>
          <w:tab w:val="num" w:pos="643"/>
        </w:tabs>
        <w:ind w:left="643" w:hanging="360"/>
      </w:pPr>
    </w:lvl>
  </w:abstractNum>
  <w:abstractNum w:abstractNumId="3">
    <w:nsid w:val="FFFFFF81"/>
    <w:multiLevelType w:val="singleLevel"/>
    <w:tmpl w:val="50484C5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C48330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570E6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4C06B26"/>
    <w:name w:val="3,794062E-02"/>
    <w:lvl w:ilvl="0">
      <w:start w:val="1"/>
      <w:numFmt w:val="decimal"/>
      <w:pStyle w:val="ListNumber"/>
      <w:lvlText w:val="%1."/>
      <w:lvlJc w:val="left"/>
      <w:pPr>
        <w:tabs>
          <w:tab w:val="num" w:pos="360"/>
        </w:tabs>
        <w:ind w:left="360" w:hanging="360"/>
      </w:pPr>
    </w:lvl>
  </w:abstractNum>
  <w:abstractNum w:abstractNumId="7">
    <w:nsid w:val="FFFFFF89"/>
    <w:multiLevelType w:val="singleLevel"/>
    <w:tmpl w:val="27F659E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5"/>
    <w:lvlOverride w:ilvl="0">
      <w:startOverride w:val="1"/>
    </w:lvlOverride>
  </w:num>
  <w:num w:numId="6">
    <w:abstractNumId w:val="6"/>
  </w:num>
  <w:num w:numId="7">
    <w:abstractNumId w:val="2"/>
  </w:num>
  <w:num w:numId="8">
    <w:abstractNumId w:val="1"/>
  </w:num>
  <w:num w:numId="9">
    <w:abstractNumId w:val="0"/>
  </w:num>
  <w:num w:numId="10">
    <w:abstractNumId w:val="8"/>
  </w:num>
  <w:num w:numId="11">
    <w:abstractNumId w:val="18"/>
  </w:num>
  <w:num w:numId="12">
    <w:abstractNumId w:val="17"/>
  </w:num>
  <w:num w:numId="13">
    <w:abstractNumId w:val="13"/>
  </w:num>
  <w:num w:numId="14">
    <w:abstractNumId w:val="23"/>
  </w:num>
  <w:num w:numId="15">
    <w:abstractNumId w:val="25"/>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num>
  <w:num w:numId="18">
    <w:abstractNumId w:val="22"/>
  </w:num>
  <w:num w:numId="19">
    <w:abstractNumId w:val="14"/>
  </w:num>
  <w:num w:numId="20">
    <w:abstractNumId w:val="24"/>
  </w:num>
  <w:num w:numId="21">
    <w:abstractNumId w:val="12"/>
  </w:num>
  <w:num w:numId="22">
    <w:abstractNumId w:val="15"/>
  </w:num>
  <w:num w:numId="23">
    <w:abstractNumId w:val="10"/>
  </w:num>
  <w:num w:numId="24">
    <w:abstractNumId w:val="23"/>
  </w:num>
  <w:num w:numId="25">
    <w:abstractNumId w:val="9"/>
  </w:num>
  <w:num w:numId="26">
    <w:abstractNumId w:val="16"/>
  </w:num>
  <w:num w:numId="27">
    <w:abstractNumId w:val="20"/>
  </w:num>
  <w:num w:numId="28">
    <w:abstractNumId w:val="21"/>
  </w:num>
  <w:num w:numId="29">
    <w:abstractNumId w:val="11"/>
  </w:num>
  <w:num w:numId="30">
    <w:abstractNumId w:val="19"/>
  </w:num>
  <w:num w:numId="31">
    <w:abstractNumId w:val="25"/>
  </w:num>
  <w:num w:numId="32">
    <w:abstractNumId w:val="22"/>
  </w:num>
  <w:num w:numId="33">
    <w:abstractNumId w:val="14"/>
  </w:num>
  <w:num w:numId="34">
    <w:abstractNumId w:val="24"/>
  </w:num>
  <w:num w:numId="35">
    <w:abstractNumId w:val="12"/>
  </w:num>
  <w:num w:numId="36">
    <w:abstractNumId w:val="15"/>
  </w:num>
  <w:num w:numId="37">
    <w:abstractNumId w:val="10"/>
  </w:num>
  <w:num w:numId="38">
    <w:abstractNumId w:val="23"/>
  </w:num>
  <w:num w:numId="39">
    <w:abstractNumId w:val="9"/>
  </w:num>
  <w:num w:numId="40">
    <w:abstractNumId w:val="16"/>
  </w:num>
  <w:num w:numId="41">
    <w:abstractNumId w:val="20"/>
  </w:num>
  <w:num w:numId="42">
    <w:abstractNumId w:val="21"/>
  </w:num>
  <w:num w:numId="43">
    <w:abstractNumId w:val="11"/>
  </w:num>
  <w:num w:numId="44">
    <w:abstractNumId w:val="19"/>
  </w:num>
  <w:num w:numId="45">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07 18:31:5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749CF889-F35C-4DAE-BFD7-21DFA87F6D66"/>
    <w:docVar w:name="LW_COVERPAGE_TYPE" w:val="1"/>
    <w:docVar w:name="LW_CROSSREFERENCE" w:val="&lt;UNUSED&gt;"/>
    <w:docVar w:name="LW_DocType" w:val="COM"/>
    <w:docVar w:name="LW_EMISSION" w:val="30.4.2020"/>
    <w:docVar w:name="LW_EMISSION_ISODATE" w:val="2020-04-30"/>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75"/>
    <w:docVar w:name="LW_REF.II.NEW.CP_YEAR" w:val="2020"/>
    <w:docVar w:name="LW_REF.INST.NEW" w:val="COM"/>
    <w:docVar w:name="LW_REF.INST.NEW_ADOPTED" w:val="final"/>
    <w:docVar w:name="LW_REF.INST.NEW_TEXT" w:val="(2020) 1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e règlement (UE) nº 1305/2013 en ce qui concerne des mesures spécifiques destinées à fournir un soutien temporaire exceptionnel au titre du Feader en réaction à la pandémie de COVID-19"/>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fr-F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ListBullet1">
    <w:name w:val="List Bullet 1"/>
    <w:basedOn w:val="Normal"/>
    <w:pPr>
      <w:numPr>
        <w:numId w:val="10"/>
      </w:numPr>
    </w:pPr>
    <w:rPr>
      <w:rFonts w:eastAsia="Times New Roman"/>
      <w:lang w:eastAsia="de-DE"/>
    </w:rPr>
  </w:style>
  <w:style w:type="paragraph" w:customStyle="1" w:styleId="ListDash1">
    <w:name w:val="List Dash 1"/>
    <w:basedOn w:val="Normal"/>
    <w:pPr>
      <w:numPr>
        <w:numId w:val="11"/>
      </w:numPr>
    </w:pPr>
    <w:rPr>
      <w:rFonts w:eastAsia="Times New Roman"/>
      <w:lang w:eastAsia="de-DE"/>
    </w:rPr>
  </w:style>
  <w:style w:type="paragraph" w:customStyle="1" w:styleId="ListDash2">
    <w:name w:val="List Dash 2"/>
    <w:basedOn w:val="Normal"/>
    <w:pPr>
      <w:numPr>
        <w:numId w:val="12"/>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character" w:styleId="FollowedHyperlink">
    <w:name w:val="FollowedHyperlink"/>
    <w:unhideWhenUsed/>
    <w:rPr>
      <w:color w:val="800080"/>
      <w:u w:val="single"/>
    </w:rPr>
  </w:style>
  <w:style w:type="character" w:customStyle="1" w:styleId="apple-converted-space">
    <w:name w:val="apple-converted-space"/>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doc-ti">
    <w:name w:val="doc-ti"/>
    <w:basedOn w:val="Normal"/>
    <w:pPr>
      <w:spacing w:before="240"/>
      <w:jc w:val="center"/>
    </w:pPr>
    <w:rPr>
      <w:rFonts w:eastAsia="Times New Roman"/>
      <w:b/>
      <w:bCs/>
      <w:lang w:eastAsia="en-GB"/>
    </w:rPr>
  </w:style>
  <w:style w:type="paragraph" w:customStyle="1" w:styleId="ListDash">
    <w:name w:val="List Dash"/>
    <w:basedOn w:val="Normal"/>
    <w:pPr>
      <w:numPr>
        <w:numId w:val="13"/>
      </w:numPr>
    </w:pPr>
    <w:rPr>
      <w:rFonts w:eastAsia="Times New Roman"/>
      <w:szCs w:val="20"/>
      <w:lang w:eastAsia="en-GB"/>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after="0" w:line="312" w:lineRule="atLeast"/>
    </w:pPr>
    <w:rPr>
      <w:rFonts w:eastAsia="Times New Roman"/>
      <w:szCs w:val="24"/>
      <w:lang w:eastAsia="en-GB"/>
    </w:rPr>
  </w:style>
  <w:style w:type="character" w:styleId="Strong">
    <w:name w:val="Strong"/>
    <w:basedOn w:val="DefaultParagraphFont"/>
    <w:uiPriority w:val="22"/>
    <w:qFormat/>
    <w:rPr>
      <w:b/>
      <w:bCs/>
    </w:rPr>
  </w:style>
  <w:style w:type="character" w:customStyle="1" w:styleId="bold">
    <w:name w:val="bold"/>
    <w:basedOn w:val="DefaultParagraphFont"/>
    <w:rPr>
      <w:b/>
      <w:bCs/>
    </w:rPr>
  </w:style>
  <w:style w:type="paragraph" w:customStyle="1" w:styleId="ti-grseq-12">
    <w:name w:val="ti-grseq-12"/>
    <w:basedOn w:val="Normal"/>
    <w:pPr>
      <w:spacing w:before="240" w:line="312" w:lineRule="atLeast"/>
    </w:pPr>
    <w:rPr>
      <w:rFonts w:eastAsia="Times New Roman"/>
      <w:b/>
      <w:bCs/>
      <w:szCs w:val="24"/>
      <w:lang w:eastAsia="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0" w:after="150"/>
      <w:jc w:val="left"/>
    </w:pPr>
    <w:rPr>
      <w:rFonts w:eastAsia="Times New Roman"/>
      <w:szCs w:val="24"/>
      <w:lang w:eastAsia="en-GB"/>
    </w:rPr>
  </w:style>
  <w:style w:type="paragraph" w:customStyle="1" w:styleId="hidden">
    <w:name w:val="hidden"/>
    <w:basedOn w:val="Normal"/>
    <w:pPr>
      <w:spacing w:before="0" w:after="150"/>
      <w:jc w:val="left"/>
    </w:pPr>
    <w:rPr>
      <w:rFonts w:eastAsia="Times New Roman"/>
      <w:vanish/>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fr-FR"/>
    </w:rPr>
  </w:style>
  <w:style w:type="character" w:customStyle="1" w:styleId="FooterCoverPageChar">
    <w:name w:val="Footer Cover Page Char"/>
    <w:basedOn w:val="TOCHeadingChar"/>
    <w:link w:val="FooterCoverPage"/>
    <w:rPr>
      <w:rFonts w:ascii="Times New Roman" w:hAnsi="Times New Roman" w:cs="Times New Roman"/>
      <w:b w:val="0"/>
      <w:sz w:val="24"/>
      <w:lang w:val="fr-FR"/>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fr-FR"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fr-F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ListBullet1">
    <w:name w:val="List Bullet 1"/>
    <w:basedOn w:val="Normal"/>
    <w:pPr>
      <w:numPr>
        <w:numId w:val="10"/>
      </w:numPr>
    </w:pPr>
    <w:rPr>
      <w:rFonts w:eastAsia="Times New Roman"/>
      <w:lang w:eastAsia="de-DE"/>
    </w:rPr>
  </w:style>
  <w:style w:type="paragraph" w:customStyle="1" w:styleId="ListDash1">
    <w:name w:val="List Dash 1"/>
    <w:basedOn w:val="Normal"/>
    <w:pPr>
      <w:numPr>
        <w:numId w:val="11"/>
      </w:numPr>
    </w:pPr>
    <w:rPr>
      <w:rFonts w:eastAsia="Times New Roman"/>
      <w:lang w:eastAsia="de-DE"/>
    </w:rPr>
  </w:style>
  <w:style w:type="paragraph" w:customStyle="1" w:styleId="ListDash2">
    <w:name w:val="List Dash 2"/>
    <w:basedOn w:val="Normal"/>
    <w:pPr>
      <w:numPr>
        <w:numId w:val="12"/>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character" w:styleId="FollowedHyperlink">
    <w:name w:val="FollowedHyperlink"/>
    <w:unhideWhenUsed/>
    <w:rPr>
      <w:color w:val="800080"/>
      <w:u w:val="single"/>
    </w:rPr>
  </w:style>
  <w:style w:type="character" w:customStyle="1" w:styleId="apple-converted-space">
    <w:name w:val="apple-converted-space"/>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doc-ti">
    <w:name w:val="doc-ti"/>
    <w:basedOn w:val="Normal"/>
    <w:pPr>
      <w:spacing w:before="240"/>
      <w:jc w:val="center"/>
    </w:pPr>
    <w:rPr>
      <w:rFonts w:eastAsia="Times New Roman"/>
      <w:b/>
      <w:bCs/>
      <w:lang w:eastAsia="en-GB"/>
    </w:rPr>
  </w:style>
  <w:style w:type="paragraph" w:customStyle="1" w:styleId="ListDash">
    <w:name w:val="List Dash"/>
    <w:basedOn w:val="Normal"/>
    <w:pPr>
      <w:numPr>
        <w:numId w:val="13"/>
      </w:numPr>
    </w:pPr>
    <w:rPr>
      <w:rFonts w:eastAsia="Times New Roman"/>
      <w:szCs w:val="20"/>
      <w:lang w:eastAsia="en-GB"/>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after="0" w:line="312" w:lineRule="atLeast"/>
    </w:pPr>
    <w:rPr>
      <w:rFonts w:eastAsia="Times New Roman"/>
      <w:szCs w:val="24"/>
      <w:lang w:eastAsia="en-GB"/>
    </w:rPr>
  </w:style>
  <w:style w:type="character" w:styleId="Strong">
    <w:name w:val="Strong"/>
    <w:basedOn w:val="DefaultParagraphFont"/>
    <w:uiPriority w:val="22"/>
    <w:qFormat/>
    <w:rPr>
      <w:b/>
      <w:bCs/>
    </w:rPr>
  </w:style>
  <w:style w:type="character" w:customStyle="1" w:styleId="bold">
    <w:name w:val="bold"/>
    <w:basedOn w:val="DefaultParagraphFont"/>
    <w:rPr>
      <w:b/>
      <w:bCs/>
    </w:rPr>
  </w:style>
  <w:style w:type="paragraph" w:customStyle="1" w:styleId="ti-grseq-12">
    <w:name w:val="ti-grseq-12"/>
    <w:basedOn w:val="Normal"/>
    <w:pPr>
      <w:spacing w:before="240" w:line="312" w:lineRule="atLeast"/>
    </w:pPr>
    <w:rPr>
      <w:rFonts w:eastAsia="Times New Roman"/>
      <w:b/>
      <w:bCs/>
      <w:szCs w:val="24"/>
      <w:lang w:eastAsia="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0" w:after="150"/>
      <w:jc w:val="left"/>
    </w:pPr>
    <w:rPr>
      <w:rFonts w:eastAsia="Times New Roman"/>
      <w:szCs w:val="24"/>
      <w:lang w:eastAsia="en-GB"/>
    </w:rPr>
  </w:style>
  <w:style w:type="paragraph" w:customStyle="1" w:styleId="hidden">
    <w:name w:val="hidden"/>
    <w:basedOn w:val="Normal"/>
    <w:pPr>
      <w:spacing w:before="0" w:after="150"/>
      <w:jc w:val="left"/>
    </w:pPr>
    <w:rPr>
      <w:rFonts w:eastAsia="Times New Roman"/>
      <w:vanish/>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fr-FR"/>
    </w:rPr>
  </w:style>
  <w:style w:type="character" w:customStyle="1" w:styleId="FooterCoverPageChar">
    <w:name w:val="Footer Cover Page Char"/>
    <w:basedOn w:val="TOCHeadingChar"/>
    <w:link w:val="FooterCoverPage"/>
    <w:rPr>
      <w:rFonts w:ascii="Times New Roman" w:hAnsi="Times New Roman" w:cs="Times New Roman"/>
      <w:b w:val="0"/>
      <w:sz w:val="24"/>
      <w:lang w:val="fr-FR"/>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fr-FR"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69352">
      <w:bodyDiv w:val="1"/>
      <w:marLeft w:val="0"/>
      <w:marRight w:val="0"/>
      <w:marTop w:val="0"/>
      <w:marBottom w:val="0"/>
      <w:divBdr>
        <w:top w:val="none" w:sz="0" w:space="0" w:color="auto"/>
        <w:left w:val="none" w:sz="0" w:space="0" w:color="auto"/>
        <w:bottom w:val="none" w:sz="0" w:space="0" w:color="auto"/>
        <w:right w:val="none" w:sz="0" w:space="0" w:color="auto"/>
      </w:divBdr>
    </w:div>
    <w:div w:id="109515952">
      <w:bodyDiv w:val="1"/>
      <w:marLeft w:val="0"/>
      <w:marRight w:val="0"/>
      <w:marTop w:val="0"/>
      <w:marBottom w:val="0"/>
      <w:divBdr>
        <w:top w:val="none" w:sz="0" w:space="0" w:color="auto"/>
        <w:left w:val="none" w:sz="0" w:space="0" w:color="auto"/>
        <w:bottom w:val="none" w:sz="0" w:space="0" w:color="auto"/>
        <w:right w:val="none" w:sz="0" w:space="0" w:color="auto"/>
      </w:divBdr>
    </w:div>
    <w:div w:id="239412536">
      <w:bodyDiv w:val="1"/>
      <w:marLeft w:val="0"/>
      <w:marRight w:val="0"/>
      <w:marTop w:val="0"/>
      <w:marBottom w:val="0"/>
      <w:divBdr>
        <w:top w:val="none" w:sz="0" w:space="0" w:color="auto"/>
        <w:left w:val="none" w:sz="0" w:space="0" w:color="auto"/>
        <w:bottom w:val="none" w:sz="0" w:space="0" w:color="auto"/>
        <w:right w:val="none" w:sz="0" w:space="0" w:color="auto"/>
      </w:divBdr>
      <w:divsChild>
        <w:div w:id="48304366">
          <w:marLeft w:val="0"/>
          <w:marRight w:val="0"/>
          <w:marTop w:val="0"/>
          <w:marBottom w:val="0"/>
          <w:divBdr>
            <w:top w:val="none" w:sz="0" w:space="0" w:color="auto"/>
            <w:left w:val="none" w:sz="0" w:space="0" w:color="auto"/>
            <w:bottom w:val="none" w:sz="0" w:space="0" w:color="auto"/>
            <w:right w:val="none" w:sz="0" w:space="0" w:color="auto"/>
          </w:divBdr>
          <w:divsChild>
            <w:div w:id="5173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43782">
      <w:bodyDiv w:val="1"/>
      <w:marLeft w:val="0"/>
      <w:marRight w:val="0"/>
      <w:marTop w:val="0"/>
      <w:marBottom w:val="0"/>
      <w:divBdr>
        <w:top w:val="none" w:sz="0" w:space="0" w:color="auto"/>
        <w:left w:val="none" w:sz="0" w:space="0" w:color="auto"/>
        <w:bottom w:val="none" w:sz="0" w:space="0" w:color="auto"/>
        <w:right w:val="none" w:sz="0" w:space="0" w:color="auto"/>
      </w:divBdr>
    </w:div>
    <w:div w:id="336541489">
      <w:bodyDiv w:val="1"/>
      <w:marLeft w:val="0"/>
      <w:marRight w:val="0"/>
      <w:marTop w:val="0"/>
      <w:marBottom w:val="0"/>
      <w:divBdr>
        <w:top w:val="none" w:sz="0" w:space="0" w:color="auto"/>
        <w:left w:val="none" w:sz="0" w:space="0" w:color="auto"/>
        <w:bottom w:val="none" w:sz="0" w:space="0" w:color="auto"/>
        <w:right w:val="none" w:sz="0" w:space="0" w:color="auto"/>
      </w:divBdr>
    </w:div>
    <w:div w:id="413014906">
      <w:bodyDiv w:val="1"/>
      <w:marLeft w:val="0"/>
      <w:marRight w:val="0"/>
      <w:marTop w:val="0"/>
      <w:marBottom w:val="0"/>
      <w:divBdr>
        <w:top w:val="none" w:sz="0" w:space="0" w:color="auto"/>
        <w:left w:val="none" w:sz="0" w:space="0" w:color="auto"/>
        <w:bottom w:val="none" w:sz="0" w:space="0" w:color="auto"/>
        <w:right w:val="none" w:sz="0" w:space="0" w:color="auto"/>
      </w:divBdr>
    </w:div>
    <w:div w:id="759641325">
      <w:bodyDiv w:val="1"/>
      <w:marLeft w:val="0"/>
      <w:marRight w:val="0"/>
      <w:marTop w:val="0"/>
      <w:marBottom w:val="0"/>
      <w:divBdr>
        <w:top w:val="none" w:sz="0" w:space="0" w:color="auto"/>
        <w:left w:val="none" w:sz="0" w:space="0" w:color="auto"/>
        <w:bottom w:val="none" w:sz="0" w:space="0" w:color="auto"/>
        <w:right w:val="none" w:sz="0" w:space="0" w:color="auto"/>
      </w:divBdr>
    </w:div>
    <w:div w:id="792333122">
      <w:bodyDiv w:val="1"/>
      <w:marLeft w:val="0"/>
      <w:marRight w:val="0"/>
      <w:marTop w:val="0"/>
      <w:marBottom w:val="0"/>
      <w:divBdr>
        <w:top w:val="none" w:sz="0" w:space="0" w:color="auto"/>
        <w:left w:val="none" w:sz="0" w:space="0" w:color="auto"/>
        <w:bottom w:val="none" w:sz="0" w:space="0" w:color="auto"/>
        <w:right w:val="none" w:sz="0" w:space="0" w:color="auto"/>
      </w:divBdr>
    </w:div>
    <w:div w:id="840584757">
      <w:bodyDiv w:val="1"/>
      <w:marLeft w:val="0"/>
      <w:marRight w:val="0"/>
      <w:marTop w:val="0"/>
      <w:marBottom w:val="0"/>
      <w:divBdr>
        <w:top w:val="none" w:sz="0" w:space="0" w:color="auto"/>
        <w:left w:val="none" w:sz="0" w:space="0" w:color="auto"/>
        <w:bottom w:val="none" w:sz="0" w:space="0" w:color="auto"/>
        <w:right w:val="none" w:sz="0" w:space="0" w:color="auto"/>
      </w:divBdr>
    </w:div>
    <w:div w:id="1020399835">
      <w:bodyDiv w:val="1"/>
      <w:marLeft w:val="0"/>
      <w:marRight w:val="0"/>
      <w:marTop w:val="0"/>
      <w:marBottom w:val="0"/>
      <w:divBdr>
        <w:top w:val="none" w:sz="0" w:space="0" w:color="auto"/>
        <w:left w:val="none" w:sz="0" w:space="0" w:color="auto"/>
        <w:bottom w:val="none" w:sz="0" w:space="0" w:color="auto"/>
        <w:right w:val="none" w:sz="0" w:space="0" w:color="auto"/>
      </w:divBdr>
    </w:div>
    <w:div w:id="1036199854">
      <w:bodyDiv w:val="1"/>
      <w:marLeft w:val="0"/>
      <w:marRight w:val="0"/>
      <w:marTop w:val="0"/>
      <w:marBottom w:val="0"/>
      <w:divBdr>
        <w:top w:val="none" w:sz="0" w:space="0" w:color="auto"/>
        <w:left w:val="none" w:sz="0" w:space="0" w:color="auto"/>
        <w:bottom w:val="none" w:sz="0" w:space="0" w:color="auto"/>
        <w:right w:val="none" w:sz="0" w:space="0" w:color="auto"/>
      </w:divBdr>
    </w:div>
    <w:div w:id="1058164167">
      <w:bodyDiv w:val="1"/>
      <w:marLeft w:val="0"/>
      <w:marRight w:val="0"/>
      <w:marTop w:val="0"/>
      <w:marBottom w:val="0"/>
      <w:divBdr>
        <w:top w:val="none" w:sz="0" w:space="0" w:color="auto"/>
        <w:left w:val="none" w:sz="0" w:space="0" w:color="auto"/>
        <w:bottom w:val="none" w:sz="0" w:space="0" w:color="auto"/>
        <w:right w:val="none" w:sz="0" w:space="0" w:color="auto"/>
      </w:divBdr>
    </w:div>
    <w:div w:id="1251161004">
      <w:bodyDiv w:val="1"/>
      <w:marLeft w:val="0"/>
      <w:marRight w:val="0"/>
      <w:marTop w:val="0"/>
      <w:marBottom w:val="0"/>
      <w:divBdr>
        <w:top w:val="none" w:sz="0" w:space="0" w:color="auto"/>
        <w:left w:val="none" w:sz="0" w:space="0" w:color="auto"/>
        <w:bottom w:val="none" w:sz="0" w:space="0" w:color="auto"/>
        <w:right w:val="none" w:sz="0" w:space="0" w:color="auto"/>
      </w:divBdr>
    </w:div>
    <w:div w:id="1256859194">
      <w:bodyDiv w:val="1"/>
      <w:marLeft w:val="0"/>
      <w:marRight w:val="0"/>
      <w:marTop w:val="0"/>
      <w:marBottom w:val="0"/>
      <w:divBdr>
        <w:top w:val="none" w:sz="0" w:space="0" w:color="auto"/>
        <w:left w:val="none" w:sz="0" w:space="0" w:color="auto"/>
        <w:bottom w:val="none" w:sz="0" w:space="0" w:color="auto"/>
        <w:right w:val="none" w:sz="0" w:space="0" w:color="auto"/>
      </w:divBdr>
    </w:div>
    <w:div w:id="1294874134">
      <w:bodyDiv w:val="1"/>
      <w:marLeft w:val="0"/>
      <w:marRight w:val="0"/>
      <w:marTop w:val="0"/>
      <w:marBottom w:val="0"/>
      <w:divBdr>
        <w:top w:val="none" w:sz="0" w:space="0" w:color="auto"/>
        <w:left w:val="none" w:sz="0" w:space="0" w:color="auto"/>
        <w:bottom w:val="none" w:sz="0" w:space="0" w:color="auto"/>
        <w:right w:val="none" w:sz="0" w:space="0" w:color="auto"/>
      </w:divBdr>
    </w:div>
    <w:div w:id="1403678544">
      <w:bodyDiv w:val="1"/>
      <w:marLeft w:val="0"/>
      <w:marRight w:val="0"/>
      <w:marTop w:val="0"/>
      <w:marBottom w:val="0"/>
      <w:divBdr>
        <w:top w:val="none" w:sz="0" w:space="0" w:color="auto"/>
        <w:left w:val="none" w:sz="0" w:space="0" w:color="auto"/>
        <w:bottom w:val="none" w:sz="0" w:space="0" w:color="auto"/>
        <w:right w:val="none" w:sz="0" w:space="0" w:color="auto"/>
      </w:divBdr>
    </w:div>
    <w:div w:id="1948852339">
      <w:bodyDiv w:val="1"/>
      <w:marLeft w:val="0"/>
      <w:marRight w:val="0"/>
      <w:marTop w:val="0"/>
      <w:marBottom w:val="0"/>
      <w:divBdr>
        <w:top w:val="none" w:sz="0" w:space="0" w:color="auto"/>
        <w:left w:val="none" w:sz="0" w:space="0" w:color="auto"/>
        <w:bottom w:val="none" w:sz="0" w:space="0" w:color="auto"/>
        <w:right w:val="none" w:sz="0" w:space="0" w:color="auto"/>
      </w:divBdr>
    </w:div>
    <w:div w:id="1983999061">
      <w:bodyDiv w:val="1"/>
      <w:marLeft w:val="0"/>
      <w:marRight w:val="0"/>
      <w:marTop w:val="0"/>
      <w:marBottom w:val="0"/>
      <w:divBdr>
        <w:top w:val="none" w:sz="0" w:space="0" w:color="auto"/>
        <w:left w:val="none" w:sz="0" w:space="0" w:color="auto"/>
        <w:bottom w:val="none" w:sz="0" w:space="0" w:color="auto"/>
        <w:right w:val="none" w:sz="0" w:space="0" w:color="auto"/>
      </w:divBdr>
    </w:div>
    <w:div w:id="2069644947">
      <w:bodyDiv w:val="1"/>
      <w:marLeft w:val="0"/>
      <w:marRight w:val="0"/>
      <w:marTop w:val="0"/>
      <w:marBottom w:val="0"/>
      <w:divBdr>
        <w:top w:val="none" w:sz="0" w:space="0" w:color="auto"/>
        <w:left w:val="none" w:sz="0" w:space="0" w:color="auto"/>
        <w:bottom w:val="none" w:sz="0" w:space="0" w:color="auto"/>
        <w:right w:val="none" w:sz="0" w:space="0" w:color="auto"/>
      </w:divBdr>
    </w:div>
    <w:div w:id="214704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yintracomm.ec.europa.eu/budgweb/FR/leg/internal/Documents/2016-5-legislative-financial-statement-ann-fr.docx"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FR/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62e97ea9-7ea3-481f-81a3-2d45a5a9b393">Not Started</EC_Collab_Status>
    <EC_Collab_DocumentLanguage xmlns="62e97ea9-7ea3-481f-81a3-2d45a5a9b393">EN</EC_Collab_DocumentLanguage>
    <EC_Collab_Reference xmlns="62e97ea9-7ea3-481f-81a3-2d45a5a9b39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9934AA0B36B1384886ADB3E40549A2B0" ma:contentTypeVersion="0" ma:contentTypeDescription="Create a new document in this library." ma:contentTypeScope="" ma:versionID="2ccea2f6a9419b2cc6372d603c4d829b">
  <xsd:schema xmlns:xsd="http://www.w3.org/2001/XMLSchema" xmlns:xs="http://www.w3.org/2001/XMLSchema" xmlns:p="http://schemas.microsoft.com/office/2006/metadata/properties" xmlns:ns2="http://schemas.microsoft.com/sharepoint/v3/fields" xmlns:ns3="62e97ea9-7ea3-481f-81a3-2d45a5a9b393" targetNamespace="http://schemas.microsoft.com/office/2006/metadata/properties" ma:root="true" ma:fieldsID="e99a88584d72bb20f25083a2210d0d03" ns2:_="" ns3:_="">
    <xsd:import namespace="http://schemas.microsoft.com/sharepoint/v3/fields"/>
    <xsd:import namespace="62e97ea9-7ea3-481f-81a3-2d45a5a9b393"/>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2e97ea9-7ea3-481f-81a3-2d45a5a9b39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5716F78-C311-4872-8C4A-C603A696F179}">
  <ds:schemaRefs>
    <ds:schemaRef ds:uri="http://schemas.openxmlformats.org/package/2006/metadata/core-properties"/>
    <ds:schemaRef ds:uri="http://purl.org/dc/terms/"/>
    <ds:schemaRef ds:uri="http://purl.org/dc/elements/1.1/"/>
    <ds:schemaRef ds:uri="http://schemas.microsoft.com/office/2006/documentManagement/types"/>
    <ds:schemaRef ds:uri="http://schemas.microsoft.com/office/2006/metadata/properties"/>
    <ds:schemaRef ds:uri="62e97ea9-7ea3-481f-81a3-2d45a5a9b393"/>
    <ds:schemaRef ds:uri="http://schemas.microsoft.com/sharepoint/v3/field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CE3FE85-EE68-4FCA-AD13-79181A2C0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2e97ea9-7ea3-481f-81a3-2d45a5a9b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A58C45-29C4-4014-94DF-4206643B6015}">
  <ds:schemaRefs>
    <ds:schemaRef ds:uri="http://schemas.microsoft.com/sharepoint/v3/contenttype/forms"/>
  </ds:schemaRefs>
</ds:datastoreItem>
</file>

<file path=customXml/itemProps4.xml><?xml version="1.0" encoding="utf-8"?>
<ds:datastoreItem xmlns:ds="http://schemas.openxmlformats.org/officeDocument/2006/customXml" ds:itemID="{41CAF50B-CA64-45EF-8777-D9285F029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22</Pages>
  <Words>4504</Words>
  <Characters>25497</Characters>
  <Application>Microsoft Office Word</Application>
  <DocSecurity>0</DocSecurity>
  <Lines>1341</Lines>
  <Paragraphs>535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2020-05-07T07:58:00Z</dcterms:created>
  <dcterms:modified xsi:type="dcterms:W3CDTF">2020-05-07T16:31:00Z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0x010100258AA79CEB83498886A3A08681123250009934AA0B36B1384886ADB3E40549A2B0</vt:lpwstr>
  </property>
  <property fmtid="{D5CDD505-2E9C-101B-9397-08002B2CF9AE}" pid="11" name="DQCStatus">
    <vt:lpwstr>Green (DQC version 03)</vt:lpwstr>
  </property>
</Properties>
</file>