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36DAE2-AEEA-43C7-BCD7-93A054052AFA"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Преките и косвените последици от разпространението на COVID-19 продължават да се изострят във всички държави членки. Настоящата ситуация е безпрецедентна и налага предприемането на съобразени с нея извънредни мерки.</w:t>
      </w:r>
    </w:p>
    <w:p>
      <w:pPr>
        <w:pBdr>
          <w:top w:val="nil"/>
          <w:left w:val="nil"/>
          <w:bottom w:val="nil"/>
          <w:right w:val="nil"/>
          <w:between w:val="nil"/>
          <w:bar w:val="nil"/>
        </w:pBdr>
        <w:spacing w:before="0" w:after="240"/>
        <w:rPr>
          <w:noProof/>
        </w:rPr>
      </w:pPr>
      <w:r>
        <w:rPr>
          <w:noProof/>
        </w:rPr>
        <w:t xml:space="preserve">В секторите на селското стопанство и хранително-вкусовата промишленост се докладва за наличието на големи затруднения, произтичащи от значителните ограничения по отношение на движението, въведени в държавите членки, както и от задължителното затваряне на магазини, открити пазари, ресторанти и други заведения за хранене. Икономическите сътресения в селскостопанския сектор и селските общности доведоха до проблеми с ликвидността и паричните потоци за земеделските стопани и малките предприятия в селските райони, преработващи селскостопански продукти. </w:t>
      </w:r>
    </w:p>
    <w:p>
      <w:pPr>
        <w:pBdr>
          <w:top w:val="nil"/>
          <w:left w:val="nil"/>
          <w:bottom w:val="nil"/>
          <w:right w:val="nil"/>
          <w:between w:val="nil"/>
          <w:bar w:val="nil"/>
        </w:pBdr>
        <w:spacing w:before="0" w:after="240"/>
        <w:rPr>
          <w:noProof/>
        </w:rPr>
      </w:pPr>
      <w:r>
        <w:rPr>
          <w:noProof/>
        </w:rPr>
        <w:t xml:space="preserve">В резултат на това някои малки предприятия и земеделски стопани неотложно се нуждаят от спешна подкрепа, за да поддържат дейността си. </w:t>
      </w:r>
    </w:p>
    <w:p>
      <w:pPr>
        <w:pBdr>
          <w:top w:val="nil"/>
          <w:left w:val="nil"/>
          <w:bottom w:val="nil"/>
          <w:right w:val="nil"/>
          <w:between w:val="nil"/>
          <w:bar w:val="nil"/>
        </w:pBdr>
        <w:spacing w:before="0" w:after="240"/>
        <w:rPr>
          <w:noProof/>
        </w:rPr>
      </w:pPr>
      <w:r>
        <w:rPr>
          <w:noProof/>
        </w:rPr>
        <w:t xml:space="preserve">С оглед на паралелните трудности на администрациите, вследствие на които вече не е уместно съветниците да присъстват лично в подкрепа на потенциални бенефициери, нито пък проверяващите служители да извършват проверки на място или предварителни проверки, е наложително да се предложат лесни за използване решения, които да могат да бъдат приложени от държавите членки и да бъдат използвани в различни ситуации по места. Те следва също така да са лесно достъпни за бенефициерите. </w:t>
      </w:r>
    </w:p>
    <w:p>
      <w:pPr>
        <w:pBdr>
          <w:top w:val="nil"/>
          <w:left w:val="nil"/>
          <w:bottom w:val="nil"/>
          <w:right w:val="nil"/>
          <w:between w:val="nil"/>
          <w:bar w:val="nil"/>
        </w:pBdr>
        <w:spacing w:before="0" w:after="240"/>
        <w:rPr>
          <w:noProof/>
        </w:rPr>
      </w:pPr>
      <w:r>
        <w:rPr>
          <w:noProof/>
        </w:rPr>
        <w:t>Подкрепата ще трябва да бъде под формата на временна помощ за много конкретна цел при безпрецедентни обстоятелства.  За постигането на тези цели подкрепата ще бъде под формата на еднократна обща сума за земеделските стопани и за МСП, занимаващи се с преработка, предлагане на пазара и/или развитие на селскостопански продукти. Плащанията от страна на Комисията ще се извършват в съответствие с бюджетните кредити и в зависимост от наличните средства.</w:t>
      </w:r>
    </w:p>
    <w:p>
      <w:pPr>
        <w:pBdr>
          <w:top w:val="nil"/>
          <w:left w:val="nil"/>
          <w:bottom w:val="nil"/>
          <w:right w:val="nil"/>
          <w:between w:val="nil"/>
          <w:bar w:val="nil"/>
        </w:pBdr>
        <w:spacing w:before="0" w:after="240"/>
        <w:rPr>
          <w:noProof/>
        </w:rPr>
      </w:pPr>
      <w:r>
        <w:rPr>
          <w:noProof/>
        </w:rPr>
        <w:t>С цел да се гарантира най-ефективното използване на наличните ресурси в рамките на съществуващите програми за развитие на селските райони, от държавите членки ще се изисква да насочват подкрепата към най-засегнатите, въз основа на обективни и недискриминационни критерии. Държавите членки ще трябва да включат мярката в програмите за развитие на селските райони чрез изменение, въпреки че разходите ще бъдат допустими от момента на започване на катастрофичното събитие (разпространението на COVID-19).</w:t>
      </w:r>
    </w:p>
    <w:p>
      <w:pPr>
        <w:pBdr>
          <w:top w:val="nil"/>
          <w:left w:val="nil"/>
          <w:bottom w:val="nil"/>
          <w:right w:val="nil"/>
          <w:between w:val="nil"/>
          <w:bar w:val="nil"/>
        </w:pBdr>
        <w:spacing w:before="0" w:after="240"/>
        <w:rPr>
          <w:noProof/>
          <w:lang w:eastAsia="en-GB"/>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Предложението е съгласувано с общата правна уредба на общата селскостопанска политика и на европейските структурни и инвестиционни фондове (ЕСИФ) и е ограничено до целенасочено изменение на Регламент (ЕС) № 1305/2013. Предложението допълва всички други приети от Съюза мерки, насочени към справяне с настоящото безпрецедентно положение, и по-специално мерките, насочени към </w:t>
      </w:r>
      <w:r>
        <w:rPr>
          <w:noProof/>
        </w:rPr>
        <w:lastRenderedPageBreak/>
        <w:t xml:space="preserve">осигуряване на подкрепа за пазарите. Предложението не засяга изискванията за минимални разходи, определени в член 59, параграфи 5 и 6 от Регламент (ЕС) № 1305/2013.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се ограничава до целенасочени изменения на Регламент (ЕС) № 1305/2013 и запазва съгласуваността с други политики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 xml:space="preserve">Предложението се основава на членове 42 и 43 от Договора за функционирането на Европейския съюз.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Style w:val="ManualHeading2"/>
        <w:rPr>
          <w:noProof/>
          <w:sz w:val="23"/>
          <w:szCs w:val="23"/>
        </w:rPr>
      </w:pPr>
      <w:r>
        <w:rPr>
          <w:noProof/>
          <w:sz w:val="23"/>
          <w:szCs w:val="23"/>
        </w:rPr>
        <w:t xml:space="preserve">В Договора за функционирането на Европейския съюз е предвидено, че компетентността в областта на селското стопанство е споделена между Съюза и държавите членки, като се определя обща селскостопанска политика с общи цели и общо изпълнение. Целта на предложението е да се гарантират общите цели и общото прилагане на нова мярка за развитие на селските райони. </w:t>
      </w:r>
    </w:p>
    <w:p>
      <w:pPr>
        <w:pStyle w:val="ManualHeading2"/>
        <w:rPr>
          <w:rFonts w:eastAsia="Arial Unicode MS"/>
          <w:noProof/>
          <w:u w:color="000000"/>
          <w:bdr w:val="nil"/>
        </w:rPr>
      </w:pPr>
      <w:r>
        <w:rPr>
          <w:noProof/>
          <w:sz w:val="23"/>
          <w:szCs w:val="23"/>
        </w:rPr>
        <w:t xml:space="preserve"> </w:t>
      </w: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включва ограничени и целенасочени изменения, които не надхвърлят необходимото за постигане на целта за предоставяне на изключителна и временна подкрепа за земеделските стопани и МСП, занимаващи се с преработка, предлагане на пазара и/или развитие на селскостопански продукти, които са особено засегнати от кризата, предизвикана от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Регламент е подходящият инструмент за въвеждане на необходимата допълнителна мярка в отговор на тези безпрецедентни обстоятелства.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Не бяха проведени консултации с външни заинтересовани страни. Предложението обаче е съобразено с проведените през последните седмици консултации с държавите членки и с членовете на Европейския парламент.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rPr>
          <w:noProof/>
        </w:rPr>
      </w:pPr>
      <w:r>
        <w:rPr>
          <w:noProof/>
        </w:rPr>
        <w:t>Не е приложимо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При изготвянето на предложението за Регламент (ЕС) № 1305/2013 бе извършена оценка на въздействието. Предложените ограничени изменения не изискват отделна оценка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rPr>
          <w:noProof/>
        </w:rPr>
      </w:pPr>
      <w:r>
        <w:rPr>
          <w:noProof/>
        </w:rPr>
        <w:t>Не е приложимо</w:t>
      </w:r>
    </w:p>
    <w:p>
      <w:pPr>
        <w:pStyle w:val="ManualHeading1"/>
        <w:rPr>
          <w:noProof/>
        </w:rPr>
      </w:pPr>
      <w:r>
        <w:rPr>
          <w:noProof/>
        </w:rPr>
        <w:t>4.</w:t>
      </w:r>
      <w:r>
        <w:rPr>
          <w:noProof/>
        </w:rPr>
        <w:tab/>
        <w:t>ОТРАЖЕНИЕ ВЪРХУ БЮДЖЕТА</w:t>
      </w:r>
    </w:p>
    <w:p>
      <w:pPr>
        <w:rPr>
          <w:noProof/>
        </w:rPr>
      </w:pPr>
      <w:r>
        <w:rPr>
          <w:noProof/>
        </w:rPr>
        <w:t xml:space="preserve">Предложеното изменение не предполага промени в годишните тавани за поети задължения и плащания по многогодишната финансова рамка съгласно приложение I към Регламент (ЕС) № 1311/2013. Общата годишна разбивка на бюджетните кредити за поети задължения по линия на Европейския земеделски фонд за развитие на селските райони (ЕЗФРСР) остава непроменена. Като се има предвид времето, необходимо за прилагане на тази нова мярка, се приема, че плащанията към бенефициерите ще бъдат извършени през четвъртото тримесечие на 2020 г. и следователно ще бъдат финансирани в рамките на бюджета за 2021 г. Бюджетните кредити за плащания, необходими за финансирането на тази мярка, трябва да бъдат вместени в рамките на бюджетните кредити за ЕЗФРСР, които ще бъдат включени в предстоящия проектобюджет на Комисията за 2021 г., и ще бъдат компенсирани със съответно намаление на нуждите от плащания през следващите години.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ред за наблюдение, оценяване и докладване</w:t>
      </w:r>
    </w:p>
    <w:p>
      <w:pPr>
        <w:pBdr>
          <w:top w:val="nil"/>
          <w:left w:val="nil"/>
          <w:bottom w:val="nil"/>
          <w:right w:val="nil"/>
          <w:between w:val="nil"/>
          <w:bar w:val="nil"/>
        </w:pBdr>
        <w:spacing w:before="0" w:after="240"/>
        <w:rPr>
          <w:rFonts w:eastAsia="Arial Unicode MS"/>
          <w:noProof/>
        </w:rPr>
      </w:pPr>
      <w:r>
        <w:rPr>
          <w:noProof/>
        </w:rPr>
        <w:t>По отношение на изпълнението на мерките ще бъдат извършвани наблюдение и докладване в рамките на общите механизми за докладване, установени в Регламент (ЕС) № 1303/2013 и Регламент (ЕС) № 1305/2013.</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rPr>
          <w:noProof/>
        </w:rPr>
      </w:pPr>
      <w:r>
        <w:rPr>
          <w:noProof/>
        </w:rPr>
        <w:t xml:space="preserve">Предлага се да се измени Регламент (ЕС) № 1305/2013. </w:t>
      </w:r>
    </w:p>
    <w:p>
      <w:pPr>
        <w:spacing w:before="0" w:after="200"/>
        <w:jc w:val="left"/>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2020/0075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1305/2013 по отношение на конкретните мерки за предоставяне на извънредна временна подкрепа по линия на ЕЗФРСР в отговор на разпространението на COVID-19</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42 и член 43, параграф 2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Породената от разпространението на COVID-19 криза засегна по безпрецедентен начин земеделските стопани и малките предприятия в селските райони. Значителните ограничения по отношение на движението, въведени в държавите членки, както и задължителното затваряне на магазини, открити пазари, ресторанти и други заведения за хранене, доведоха до икономически сътресения в селскостопанския сектор и селските общности и до проблеми с ликвидността и паричните потоци за земеделските стопани и малките предприятия в селските райони, занимаващи се с преработка, предлагане на пазара и/или развитие на селскостопански продукти. Това породи извънредна ситуация, във връзка с която се налага предприемане на мерки.</w:t>
      </w:r>
    </w:p>
    <w:p>
      <w:pPr>
        <w:pStyle w:val="ManualConsidrant"/>
        <w:rPr>
          <w:noProof/>
        </w:rPr>
      </w:pPr>
      <w:r>
        <w:t>(2)</w:t>
      </w:r>
      <w:r>
        <w:tab/>
      </w:r>
      <w:r>
        <w:rPr>
          <w:noProof/>
        </w:rPr>
        <w:t xml:space="preserve">За да се реагира на въздействието на кризата, е необходима нова извънредна и временна мярка за справяне с проблемите с ликвидността, които излагат на риск непрекъснатостта на селскостопанските дейности и на дейността на малките предприятия, занимаващи се с преработка, предлагане на пазара и/или развитие на селскостопански продукти.  </w:t>
      </w:r>
    </w:p>
    <w:p>
      <w:pPr>
        <w:pStyle w:val="ManualConsidrant"/>
        <w:rPr>
          <w:noProof/>
        </w:rPr>
      </w:pPr>
      <w:r>
        <w:t>(3)</w:t>
      </w:r>
      <w:r>
        <w:tab/>
      </w:r>
      <w:r>
        <w:rPr>
          <w:noProof/>
        </w:rPr>
        <w:t xml:space="preserve">Подкрепата, която има за цел да гарантира конкурентоспособността на селското стопанство и жизнеспособността на стопанствата, следва да бъде предоставена въз основа на обективни и недискриминационни критерии, за да може наличните ресурси да бъдат насочени по най-добър начин към бенефициерите, които в най-голяма степен страдат от кризата. Що се отнася до земеделските стопани, тези критерии могат да включват производствени сектори, видове земеделие, </w:t>
      </w:r>
      <w:r>
        <w:rPr>
          <w:noProof/>
        </w:rPr>
        <w:lastRenderedPageBreak/>
        <w:t>селскостопански структури, вид търговия със селскостопански продукти, брой на наетите сезонни работници и, в случая на МСП, сектори, видове дейности, видове региони, други специфични ограничения.</w:t>
      </w:r>
    </w:p>
    <w:p>
      <w:pPr>
        <w:pStyle w:val="ManualConsidrant"/>
        <w:rPr>
          <w:noProof/>
        </w:rPr>
      </w:pPr>
      <w:r>
        <w:t>(4)</w:t>
      </w:r>
      <w:r>
        <w:tab/>
      </w:r>
      <w:r>
        <w:rPr>
          <w:noProof/>
        </w:rPr>
        <w:t xml:space="preserve">Поради неотложността и изключителния характер на тази мярка следва да се определи еднократна сума и максимален срок за прилагане на мярката, като същевременно трябва да се припомни принципът, че плащанията от Комисията се извършват в съответствие с бюджетните кредити и при условие, че е налично финансиране. </w:t>
      </w:r>
    </w:p>
    <w:p>
      <w:pPr>
        <w:pStyle w:val="ManualConsidrant"/>
        <w:rPr>
          <w:noProof/>
        </w:rPr>
      </w:pPr>
      <w:r>
        <w:t>(5)</w:t>
      </w:r>
      <w:r>
        <w:tab/>
      </w:r>
      <w:r>
        <w:rPr>
          <w:noProof/>
        </w:rPr>
        <w:t>С цел да се предостави по-голяма подкрепа там, където земеделските стопани или МСП са най-силно засегнати, е целесъобразно да се позволи на държавите членки да адаптират равнището на еднократните суми за някои категории отговарящи на условията бенефициери въз основа на обективни и недискриминационни критерии.</w:t>
      </w:r>
    </w:p>
    <w:p>
      <w:pPr>
        <w:pStyle w:val="ManualConsidrant"/>
        <w:rPr>
          <w:noProof/>
        </w:rPr>
      </w:pPr>
      <w:r>
        <w:t>(6)</w:t>
      </w:r>
      <w:r>
        <w:tab/>
      </w:r>
      <w:r>
        <w:rPr>
          <w:noProof/>
        </w:rPr>
        <w:t xml:space="preserve">За да се гарантира адекватно финансиране на новата мярка, без да се застрашават други цели на програмите за развитие на селските райони, следва да се определи максимален дял от приноса на Съюза за тази мярка.        </w:t>
      </w:r>
    </w:p>
    <w:p>
      <w:pPr>
        <w:pStyle w:val="ManualConsidrant"/>
        <w:rPr>
          <w:noProof/>
        </w:rPr>
      </w:pPr>
      <w:r>
        <w:t>(7)</w:t>
      </w:r>
      <w:r>
        <w:tab/>
      </w:r>
      <w:r>
        <w:rPr>
          <w:noProof/>
        </w:rPr>
        <w:t>Поради това Регламент (ЕС) № 1305/2013 следва да бъде съответно изменен.</w:t>
      </w:r>
    </w:p>
    <w:p>
      <w:pPr>
        <w:pStyle w:val="ManualConsidrant"/>
        <w:rPr>
          <w:noProof/>
        </w:rPr>
      </w:pPr>
      <w:r>
        <w:t>(8)</w:t>
      </w:r>
      <w:r>
        <w:tab/>
      </w:r>
      <w:r>
        <w:rPr>
          <w:noProof/>
        </w:rPr>
        <w:t>Предвид разпространението на COVID-19 и необходимостта от незабавни действия в отговор на настъпилата здравна криза се налага да се използва изключението от осемседмичния срок, посочен в член 4 от Протокол № 1 относно ролята на националните парламенти в Европейския съюз,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(9)</w:t>
      </w:r>
      <w:r>
        <w:tab/>
      </w:r>
      <w:r>
        <w:rPr>
          <w:noProof/>
        </w:rPr>
        <w:t xml:space="preserve">Предвид неотложния характер на ситуацията, породена от кризата с COVID-19, настоящият регламент е целесъобразно да влезе в сила в деня на публикуването му в </w:t>
      </w:r>
      <w:r>
        <w:rPr>
          <w:i/>
          <w:iCs/>
          <w:noProof/>
        </w:rPr>
        <w:t>Официален вестник на Европейския съюз</w:t>
      </w:r>
      <w:r>
        <w:rPr>
          <w:noProof/>
        </w:rPr>
        <w:t>,</w:t>
      </w:r>
    </w:p>
    <w:p>
      <w:pPr>
        <w:pStyle w:val="Formuledadoption"/>
        <w:rPr>
          <w:noProof/>
        </w:rPr>
      </w:pPr>
      <w:r>
        <w:rPr>
          <w:noProof/>
        </w:rPr>
        <w:t>ПРИЕХА НАСТОЯЩИЯ РЕГЛАМЕНТ:</w:t>
      </w:r>
    </w:p>
    <w:p>
      <w:pPr>
        <w:pStyle w:val="Titrearticle"/>
        <w:rPr>
          <w:b/>
          <w:noProof/>
        </w:rPr>
      </w:pPr>
      <w:r>
        <w:rPr>
          <w:noProof/>
        </w:rPr>
        <w:t xml:space="preserve">Член 1 </w:t>
      </w:r>
      <w:r>
        <w:rPr>
          <w:noProof/>
        </w:rPr>
        <w:br/>
      </w:r>
      <w:r>
        <w:rPr>
          <w:b/>
          <w:i w:val="0"/>
          <w:noProof/>
        </w:rPr>
        <w:t>Изменение на Регламент (ЕС) № 1305/2013</w:t>
      </w:r>
    </w:p>
    <w:p>
      <w:pPr>
        <w:rPr>
          <w:noProof/>
        </w:rPr>
      </w:pPr>
      <w:r>
        <w:rPr>
          <w:noProof/>
        </w:rPr>
        <w:t>Регламент (ЕС) № 1305/2013 се изменя, както следва:</w:t>
      </w:r>
    </w:p>
    <w:p>
      <w:pPr>
        <w:pStyle w:val="ManualNumPar1"/>
        <w:rPr>
          <w:noProof/>
        </w:rPr>
      </w:pPr>
      <w:r>
        <w:rPr>
          <w:noProof/>
        </w:rPr>
        <w:t>(1)</w:t>
      </w:r>
      <w:r>
        <w:rPr>
          <w:noProof/>
        </w:rPr>
        <w:tab/>
        <w:t>Вмъква се следният член 39б:</w:t>
      </w:r>
      <w:r>
        <w:rPr>
          <w:noProof/>
          <w:color w:val="1F497D"/>
        </w:rPr>
        <w:t xml:space="preserve"> </w:t>
      </w:r>
    </w:p>
    <w:p>
      <w:pPr>
        <w:pStyle w:val="Titrearticle"/>
        <w:ind w:left="284"/>
        <w:rPr>
          <w:noProof/>
        </w:rPr>
      </w:pPr>
      <w:r>
        <w:rPr>
          <w:noProof/>
        </w:rPr>
        <w:t xml:space="preserve">„Член 39б </w:t>
      </w:r>
      <w:r>
        <w:rPr>
          <w:noProof/>
        </w:rPr>
        <w:br/>
        <w:t>Изключителна и временна подкрепа за земеделските стопани и МСП, занимаващи се с преработка, предлагане на пазара и/или развитие на селскостопански продукти, които са особено засегнати от кризата, предизвикана от COVID-19</w:t>
      </w:r>
    </w:p>
    <w:p>
      <w:pPr>
        <w:ind w:left="568"/>
        <w:rPr>
          <w:noProof/>
        </w:rPr>
      </w:pPr>
      <w:r>
        <w:rPr>
          <w:noProof/>
        </w:rPr>
        <w:t xml:space="preserve"> </w:t>
      </w:r>
    </w:p>
    <w:p>
      <w:pPr>
        <w:pStyle w:val="ListNumber"/>
        <w:rPr>
          <w:noProof/>
        </w:rPr>
      </w:pPr>
      <w:r>
        <w:rPr>
          <w:noProof/>
        </w:rPr>
        <w:t xml:space="preserve">Подпомагането по тази мярка предоставя спешна помощ на земеделските стопани и МСП, които са особено засегнати от кризата, предизвикана от COVID-19, като целта е да се осигури непрекъснатост на стопанската им дейност при спазване на условията, посочени в настоящия член. </w:t>
      </w:r>
    </w:p>
    <w:p>
      <w:pPr>
        <w:rPr>
          <w:noProof/>
        </w:rPr>
      </w:pPr>
    </w:p>
    <w:p>
      <w:pPr>
        <w:pStyle w:val="ListNumber"/>
        <w:rPr>
          <w:noProof/>
        </w:rPr>
      </w:pPr>
      <w:r>
        <w:rPr>
          <w:noProof/>
        </w:rPr>
        <w:lastRenderedPageBreak/>
        <w:t>Подпомагане се отпуска на земеделски стопани и МСП, занимаващи се с преработка, предлагане на пазара и/или развитие на селскостопански продукти, включени в приложение I към ДФЕС, или на памук, с изключение на рибни продукти; резултатът от производствения процес може да бъде продукт, който не е включен в обхвата на посоченото приложение.</w:t>
      </w:r>
    </w:p>
    <w:p>
      <w:pPr>
        <w:rPr>
          <w:noProof/>
        </w:rPr>
      </w:pPr>
    </w:p>
    <w:p>
      <w:pPr>
        <w:pStyle w:val="ListNumber"/>
        <w:rPr>
          <w:noProof/>
        </w:rPr>
      </w:pPr>
      <w:r>
        <w:rPr>
          <w:noProof/>
        </w:rPr>
        <w:t>Държавите членки насочват помощта към бенефициерите, които са най-силно засегнати от кризата, като определят критерии за допустимост и евентуално критерии за подбор, които са обективни и недискриминационни, въз основа на наличните доказателства.</w:t>
      </w:r>
    </w:p>
    <w:p>
      <w:pPr>
        <w:rPr>
          <w:noProof/>
        </w:rPr>
      </w:pPr>
    </w:p>
    <w:p>
      <w:pPr>
        <w:pStyle w:val="ListNumber"/>
        <w:rPr>
          <w:noProof/>
        </w:rPr>
      </w:pPr>
      <w:r>
        <w:rPr>
          <w:noProof/>
        </w:rPr>
        <w:t>Подпомагането е под формата на еднократно платима сума, която трябва да бъде платена до [31/12/2020 г.], като последващото възстановяване от Комисията се извършва в съответствие с бюджетните кредити и при условие, че е налично финансиране. Размерът на плащането може да бъде диференциран по категории бенефициери в съответствие с обективни и недискриминационни критерии.</w:t>
      </w:r>
    </w:p>
    <w:p>
      <w:pPr>
        <w:rPr>
          <w:noProof/>
        </w:rPr>
      </w:pPr>
    </w:p>
    <w:p>
      <w:pPr>
        <w:pStyle w:val="ListNumber"/>
        <w:rPr>
          <w:noProof/>
        </w:rPr>
      </w:pPr>
      <w:r>
        <w:rPr>
          <w:noProof/>
        </w:rPr>
        <w:t>Максималният размер на помощта не надвишава 5 000 EUR на земеделски стопанин и 50 000 EUR на МСП.</w:t>
      </w:r>
    </w:p>
    <w:p>
      <w:pPr>
        <w:pStyle w:val="ListParagraph"/>
        <w:ind w:left="568"/>
        <w:rPr>
          <w:noProof/>
        </w:rPr>
      </w:pPr>
    </w:p>
    <w:p>
      <w:pPr>
        <w:pStyle w:val="ListNumber"/>
        <w:rPr>
          <w:noProof/>
        </w:rPr>
      </w:pPr>
      <w:r>
        <w:rPr>
          <w:noProof/>
        </w:rPr>
        <w:t>При предоставянето на подпомагане по настоящия член държавите членки вземат предвид подпомагането, предоставено по силата на други инструменти за подкрепа на национално равнище или на равнището на Съюза, или частни схеми, за да се реагира на въздействието на кризата, предизвикана от COVID-19.“</w:t>
      </w:r>
    </w:p>
    <w:p>
      <w:pPr>
        <w:ind w:left="284"/>
        <w:rPr>
          <w:noProof/>
        </w:rPr>
      </w:pPr>
    </w:p>
    <w:p>
      <w:pPr>
        <w:pStyle w:val="ManualNumPar1"/>
        <w:ind w:left="720" w:firstLine="0"/>
        <w:rPr>
          <w:noProof/>
          <w:color w:val="1F497D"/>
        </w:rPr>
      </w:pPr>
      <w:r>
        <w:rPr>
          <w:noProof/>
        </w:rPr>
        <w:t xml:space="preserve"> (2)</w:t>
      </w:r>
      <w:r>
        <w:rPr>
          <w:noProof/>
        </w:rPr>
        <w:tab/>
        <w:t>В член 59 се вмъква следният параграф 6a:</w:t>
      </w:r>
      <w:r>
        <w:rPr>
          <w:noProof/>
          <w:color w:val="1F497D"/>
        </w:rPr>
        <w:t xml:space="preserve"> </w:t>
      </w:r>
    </w:p>
    <w:p>
      <w:pPr>
        <w:pStyle w:val="ListParagraph"/>
        <w:spacing w:before="0" w:after="0"/>
        <w:contextualSpacing w:val="0"/>
        <w:rPr>
          <w:noProof/>
        </w:rPr>
      </w:pPr>
      <w:r>
        <w:rPr>
          <w:noProof/>
        </w:rPr>
        <w:t>„6а Подпомагането от ЕЗФРСР, предоставено по мярката, посочена в член 39б, се ограничава до максимум 1 % от общия принос на ЕЗФРСР за програмата за развитие на селските райони.“</w:t>
      </w:r>
    </w:p>
    <w:p>
      <w:pPr>
        <w:pStyle w:val="ManualNumPar1"/>
        <w:ind w:left="720" w:firstLine="0"/>
        <w:rPr>
          <w:noProof/>
        </w:rPr>
      </w:pPr>
    </w:p>
    <w:p>
      <w:pPr>
        <w:pStyle w:val="ManualNumPar1"/>
        <w:ind w:left="720" w:firstLine="0"/>
        <w:rPr>
          <w:noProof/>
        </w:rPr>
      </w:pPr>
    </w:p>
    <w:p>
      <w:pPr>
        <w:pStyle w:val="ManualNumPar1"/>
        <w:ind w:left="720" w:firstLine="0"/>
        <w:rPr>
          <w:noProof/>
        </w:rPr>
      </w:pPr>
      <w:r>
        <w:rPr>
          <w:noProof/>
        </w:rPr>
        <w:t xml:space="preserve">(3) В член 49 параграф 2 се изменя, както следва: </w:t>
      </w:r>
    </w:p>
    <w:p>
      <w:pPr>
        <w:pStyle w:val="Text1"/>
        <w:ind w:left="1440"/>
        <w:rPr>
          <w:noProof/>
        </w:rPr>
      </w:pPr>
      <w:r>
        <w:rPr>
          <w:noProof/>
        </w:rPr>
        <w:t>„2. Органът на държавата членка, който отговаря за подбора на операциите, гарантира, че с изключение на операциите по член 18, параграф 1, буква б), член 24, параграф 1, буква г), членове 28—31, 33—34 и 36—39б, операциите се избират в съответствие с посочените в параграф 1 критерии за подбор и по прозрачна и добре документирана процедура.“.</w:t>
      </w:r>
    </w:p>
    <w:p>
      <w:pPr>
        <w:pStyle w:val="Text1"/>
        <w:rPr>
          <w:noProof/>
        </w:rPr>
      </w:pPr>
    </w:p>
    <w:p>
      <w:pPr>
        <w:ind w:left="-76"/>
        <w:rPr>
          <w:noProof/>
        </w:rPr>
      </w:pPr>
    </w:p>
    <w:p>
      <w:pPr>
        <w:pStyle w:val="Titrearticle"/>
        <w:rPr>
          <w:noProof/>
        </w:rPr>
      </w:pPr>
      <w:r>
        <w:rPr>
          <w:noProof/>
        </w:rPr>
        <w:lastRenderedPageBreak/>
        <w:t>Член 2</w:t>
      </w:r>
    </w:p>
    <w:p>
      <w:pPr>
        <w:rPr>
          <w:noProof/>
        </w:rPr>
      </w:pPr>
      <w:r>
        <w:rPr>
          <w:noProof/>
        </w:rPr>
        <w:t xml:space="preserve">Настоящият регламент влиза в сила в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bookmarkStart w:id="1" w:name="_Toc514938007"/>
      <w:bookmarkStart w:id="2" w:name="_Toc520485025"/>
      <w:r>
        <w:t>1.</w:t>
      </w:r>
      <w:r>
        <w:tab/>
      </w:r>
      <w:r>
        <w:rPr>
          <w:noProof/>
        </w:rPr>
        <w:t>РАМКА НА ПРЕДЛОЖЕНИЕТО/ИНИЦИАТИВАТА</w:t>
      </w:r>
      <w:bookmarkEnd w:id="1"/>
      <w:bookmarkEnd w:id="2"/>
      <w:r>
        <w:rPr>
          <w:noProof/>
        </w:rPr>
        <w:t xml:space="preserve"> </w:t>
      </w:r>
    </w:p>
    <w:p>
      <w:pPr>
        <w:pStyle w:val="ManualHeading2"/>
        <w:rPr>
          <w:noProof/>
        </w:rPr>
      </w:pPr>
      <w:bookmarkStart w:id="3" w:name="_Toc514938008"/>
      <w:bookmarkStart w:id="4" w:name="_Toc520485026"/>
      <w:r>
        <w:t>1.1.</w:t>
      </w:r>
      <w:r>
        <w:tab/>
      </w:r>
      <w:r>
        <w:rPr>
          <w:noProof/>
        </w:rPr>
        <w:t>Наименование на предложението/инициативата</w:t>
      </w:r>
      <w:bookmarkEnd w:id="3"/>
      <w:bookmarkEnd w:id="4"/>
    </w:p>
    <w:p>
      <w:pPr>
        <w:pStyle w:val="Text1"/>
        <w:pBdr>
          <w:top w:val="single" w:sz="4" w:space="1" w:color="auto"/>
          <w:left w:val="single" w:sz="4" w:space="4" w:color="auto"/>
          <w:bottom w:val="single" w:sz="4" w:space="1" w:color="auto"/>
          <w:right w:val="single" w:sz="4" w:space="4" w:color="auto"/>
        </w:pBdr>
        <w:rPr>
          <w:noProof/>
        </w:rPr>
      </w:pPr>
      <w:r>
        <w:t>Предложение за Регламент на Европейския парламент и на Съвета за изменение на Регламент (ЕС) № 1305/2013 по отношение на конкретните мерки за предоставяне на извънредна временна подкрепа по линия на ЕЗФРСР в отговор на разпространението на COVID-19</w:t>
      </w:r>
    </w:p>
    <w:p>
      <w:pPr>
        <w:pStyle w:val="ManualHeading2"/>
        <w:rPr>
          <w:bCs/>
          <w:noProof/>
          <w:szCs w:val="24"/>
        </w:rPr>
      </w:pPr>
      <w:bookmarkStart w:id="5" w:name="_Toc514938014"/>
      <w:bookmarkStart w:id="6" w:name="_Toc520485028"/>
      <w:r>
        <w:t>1.2.</w:t>
      </w:r>
      <w:r>
        <w:tab/>
      </w:r>
      <w:r>
        <w:rPr>
          <w:noProof/>
        </w:rPr>
        <w:t>Предложението/инициативата е във връзка с:</w:t>
      </w:r>
      <w:bookmarkEnd w:id="5"/>
      <w:bookmarkEnd w:id="6"/>
      <w:r>
        <w:rPr>
          <w:noProof/>
        </w:rPr>
        <w:t xml:space="preserve"> </w:t>
      </w:r>
    </w:p>
    <w:p>
      <w:pPr>
        <w:pStyle w:val="Text1"/>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4"/>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t>X</w:t>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bookmarkStart w:id="7" w:name="_Toc514938015"/>
      <w:bookmarkStart w:id="8" w:name="_Toc520485029"/>
      <w:r>
        <w:t>1.3.</w:t>
      </w:r>
      <w:r>
        <w:tab/>
      </w:r>
      <w:r>
        <w:rPr>
          <w:noProof/>
        </w:rPr>
        <w:t>Цели</w:t>
      </w:r>
      <w:bookmarkEnd w:id="7"/>
      <w:bookmarkEnd w:id="8"/>
    </w:p>
    <w:p>
      <w:pPr>
        <w:pStyle w:val="ManualHeading3"/>
        <w:rPr>
          <w:noProof/>
        </w:rPr>
      </w:pPr>
      <w:bookmarkStart w:id="9" w:name="_Toc514938016"/>
      <w:bookmarkStart w:id="10" w:name="_Toc520485030"/>
      <w:r>
        <w:t>1.3.1.</w:t>
      </w:r>
      <w:r>
        <w:tab/>
      </w:r>
      <w:r>
        <w:rPr>
          <w:noProof/>
        </w:rPr>
        <w:t>Общи цели</w:t>
      </w:r>
      <w:bookmarkEnd w:id="9"/>
      <w:bookmarkEnd w:id="10"/>
    </w:p>
    <w:p>
      <w:pPr>
        <w:pStyle w:val="Text1"/>
        <w:pBdr>
          <w:top w:val="single" w:sz="4" w:space="1" w:color="auto"/>
          <w:left w:val="single" w:sz="4" w:space="4" w:color="auto"/>
          <w:bottom w:val="single" w:sz="4" w:space="1" w:color="auto"/>
          <w:right w:val="single" w:sz="4" w:space="4" w:color="auto"/>
        </w:pBdr>
      </w:pPr>
      <w:r>
        <w:rPr>
          <w:noProof/>
        </w:rPr>
        <w:t>Да се предвиди нова извънредна и временна мярка за справяне с проблемите с ликвидността, които излагат на риск непрекъснатостта на селскостопанските дейности и на дейността на малките предприятия, занимаващи се с преработка на селскостопански продукти.</w:t>
      </w:r>
      <w:r>
        <w:t xml:space="preserve"> </w:t>
      </w:r>
    </w:p>
    <w:p>
      <w:pPr>
        <w:pStyle w:val="ManualHeading3"/>
        <w:rPr>
          <w:bCs/>
          <w:noProof/>
          <w:szCs w:val="24"/>
        </w:rPr>
      </w:pPr>
      <w:bookmarkStart w:id="11" w:name="_Toc514938018"/>
      <w:bookmarkStart w:id="12" w:name="_Toc520485031"/>
      <w:r>
        <w:t>1.3.2.</w:t>
      </w:r>
      <w:r>
        <w:tab/>
      </w:r>
      <w:r>
        <w:rPr>
          <w:noProof/>
        </w:rPr>
        <w:t>Конкретни цели</w:t>
      </w:r>
      <w:bookmarkEnd w:id="11"/>
      <w:bookmarkEnd w:id="12"/>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pPr>
      <w:r>
        <w:t>Не е приложимо</w:t>
      </w:r>
    </w:p>
    <w:p>
      <w:pPr>
        <w:pStyle w:val="ManualHeading3"/>
        <w:rPr>
          <w:noProof/>
        </w:rPr>
      </w:pPr>
      <w:bookmarkStart w:id="13" w:name="_Toc514938019"/>
      <w:bookmarkStart w:id="14" w:name="_Toc520485032"/>
      <w:r>
        <w:t>1.3.3.</w:t>
      </w:r>
      <w:r>
        <w:tab/>
      </w:r>
      <w:r>
        <w:rPr>
          <w:noProof/>
        </w:rPr>
        <w:t>Очаквани резултати и отражение</w:t>
      </w:r>
      <w:bookmarkEnd w:id="13"/>
      <w:bookmarkEnd w:id="14"/>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t>Не е приложимо</w:t>
      </w:r>
    </w:p>
    <w:p>
      <w:pPr>
        <w:pStyle w:val="ManualHeading3"/>
        <w:rPr>
          <w:noProof/>
          <w:szCs w:val="24"/>
        </w:rPr>
      </w:pPr>
      <w:bookmarkStart w:id="15" w:name="_Toc514938023"/>
      <w:bookmarkStart w:id="16" w:name="_Toc520485033"/>
      <w:r>
        <w:t>1.3.4.</w:t>
      </w:r>
      <w:r>
        <w:tab/>
      </w:r>
      <w:r>
        <w:rPr>
          <w:noProof/>
        </w:rPr>
        <w:t>Показатели за изпълнението</w:t>
      </w:r>
      <w:bookmarkEnd w:id="15"/>
      <w:bookmarkEnd w:id="16"/>
    </w:p>
    <w:p>
      <w:pPr>
        <w:pStyle w:val="Text1"/>
        <w:rPr>
          <w:i/>
          <w:noProof/>
          <w:sz w:val="20"/>
        </w:rPr>
      </w:pPr>
      <w:r>
        <w:rPr>
          <w:i/>
          <w:noProof/>
          <w:sz w:val="20"/>
        </w:rPr>
        <w:t>Да се посочат показателите за проследяване на напредъка и постиженията.</w:t>
      </w:r>
    </w:p>
    <w:p>
      <w:pPr>
        <w:pStyle w:val="Text1"/>
        <w:pBdr>
          <w:top w:val="single" w:sz="4" w:space="1" w:color="auto"/>
          <w:left w:val="single" w:sz="4" w:space="4" w:color="auto"/>
          <w:bottom w:val="single" w:sz="4" w:space="1" w:color="auto"/>
          <w:right w:val="single" w:sz="4" w:space="4" w:color="auto"/>
        </w:pBdr>
      </w:pPr>
      <w:r>
        <w:t>Не е приложимо</w:t>
      </w:r>
    </w:p>
    <w:p>
      <w:pPr>
        <w:pStyle w:val="ManualHeading2"/>
        <w:rPr>
          <w:bCs/>
          <w:noProof/>
          <w:szCs w:val="24"/>
        </w:rPr>
      </w:pPr>
      <w:bookmarkStart w:id="17" w:name="_Toc514938025"/>
      <w:bookmarkStart w:id="18" w:name="_Toc520485034"/>
      <w:r>
        <w:t>1.4.</w:t>
      </w:r>
      <w:r>
        <w:tab/>
      </w:r>
      <w:r>
        <w:rPr>
          <w:noProof/>
        </w:rPr>
        <w:t>Мотиви за предложението/инициативата</w:t>
      </w:r>
      <w:bookmarkEnd w:id="17"/>
      <w:bookmarkEnd w:id="18"/>
      <w:r>
        <w:rPr>
          <w:noProof/>
        </w:rPr>
        <w:t xml:space="preserve"> </w:t>
      </w:r>
    </w:p>
    <w:p>
      <w:pPr>
        <w:pStyle w:val="ManualHeading3"/>
        <w:rPr>
          <w:noProof/>
        </w:rPr>
      </w:pPr>
      <w:bookmarkStart w:id="19" w:name="_Toc514938026"/>
      <w:bookmarkStart w:id="20" w:name="_Toc520485035"/>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9"/>
      <w:bookmarkEnd w:id="20"/>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bookmarkStart w:id="21" w:name="_Toc514938029"/>
      <w:bookmarkStart w:id="22" w:name="_Toc520485036"/>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bookmarkStart w:id="23" w:name="_Toc514938030"/>
      <w:bookmarkStart w:id="24" w:name="_Toc520485037"/>
      <w:r>
        <w:t>1.4.3.</w:t>
      </w:r>
      <w:r>
        <w:tab/>
      </w:r>
      <w:r>
        <w:rPr>
          <w:noProof/>
        </w:rPr>
        <w:t>Изводи от подобен опит в миналото</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bookmarkStart w:id="25" w:name="_Toc514938033"/>
      <w:bookmarkStart w:id="26" w:name="_Toc520485038"/>
      <w:r>
        <w:t>1.4.4.</w:t>
      </w:r>
      <w:r>
        <w:tab/>
      </w:r>
      <w:r>
        <w:rPr>
          <w:noProof/>
        </w:rPr>
        <w:t>Съвместимост с многогодишната финансова рамка и евентуални синергии с други подходящи инструменти</w:t>
      </w:r>
      <w:bookmarkEnd w:id="25"/>
      <w:bookmarkEnd w:id="26"/>
    </w:p>
    <w:p>
      <w:pPr>
        <w:pStyle w:val="Text1"/>
        <w:pBdr>
          <w:top w:val="single" w:sz="4" w:space="1" w:color="auto"/>
          <w:left w:val="single" w:sz="4" w:space="4" w:color="auto"/>
          <w:bottom w:val="single" w:sz="4" w:space="1" w:color="auto"/>
          <w:right w:val="single" w:sz="4" w:space="4" w:color="auto"/>
        </w:pBdr>
        <w:rPr>
          <w:noProof/>
        </w:rPr>
      </w:pPr>
      <w:r>
        <w:t>Не е приложимо</w:t>
      </w:r>
    </w:p>
    <w:p>
      <w:pPr>
        <w:pStyle w:val="ManualHeading3"/>
        <w:rPr>
          <w:noProof/>
        </w:rPr>
      </w:pPr>
      <w:bookmarkStart w:id="27" w:name="_Toc514938036"/>
      <w:bookmarkStart w:id="28" w:name="_Toc520485039"/>
      <w:r>
        <w:t>1.4.5.</w:t>
      </w:r>
      <w:r>
        <w:tab/>
      </w:r>
      <w:r>
        <w:rPr>
          <w:noProof/>
        </w:rPr>
        <w:t>Оценка на различните налични варианти за финансиране, включително възможностите за преразпределяне на средства</w:t>
      </w:r>
      <w:bookmarkEnd w:id="27"/>
      <w:bookmarkEnd w:id="28"/>
    </w:p>
    <w:p>
      <w:pPr>
        <w:pStyle w:val="Text1"/>
        <w:pBdr>
          <w:top w:val="single" w:sz="4" w:space="1" w:color="auto"/>
          <w:left w:val="single" w:sz="4" w:space="4" w:color="auto"/>
          <w:bottom w:val="single" w:sz="4" w:space="1" w:color="auto"/>
          <w:right w:val="single" w:sz="4" w:space="4" w:color="auto"/>
        </w:pBdr>
        <w:rPr>
          <w:noProof/>
        </w:rPr>
      </w:pPr>
      <w:r>
        <w:t>Не е приложимо</w:t>
      </w:r>
    </w:p>
    <w:p>
      <w:pPr>
        <w:pStyle w:val="Text1"/>
        <w:rPr>
          <w:noProof/>
        </w:rPr>
      </w:pPr>
    </w:p>
    <w:p>
      <w:pPr>
        <w:pStyle w:val="ManualHeading2"/>
        <w:rPr>
          <w:bCs/>
          <w:noProof/>
          <w:szCs w:val="24"/>
        </w:rPr>
      </w:pPr>
      <w:r>
        <w:rPr>
          <w:noProof/>
        </w:rPr>
        <w:br w:type="page"/>
      </w:r>
      <w:bookmarkStart w:id="29" w:name="_Toc514938039"/>
      <w:bookmarkStart w:id="30" w:name="_Toc520485040"/>
      <w:r>
        <w:t>1.5.</w:t>
      </w:r>
      <w:r>
        <w:tab/>
      </w:r>
      <w:r>
        <w:rPr>
          <w:noProof/>
        </w:rPr>
        <w:t>Срок на действие и финансово отражение на предложението/инициативата</w:t>
      </w:r>
      <w:bookmarkEnd w:id="29"/>
      <w:bookmarkEnd w:id="30"/>
    </w:p>
    <w:p>
      <w:pPr>
        <w:pStyle w:val="Text1"/>
        <w:rPr>
          <w:noProof/>
        </w:rPr>
      </w:pPr>
      <w:r>
        <w:rPr>
          <w:noProof/>
        </w:rPr>
        <w:t xml:space="preserve">X </w:t>
      </w:r>
      <w:r>
        <w:rPr>
          <w:b/>
          <w:noProof/>
        </w:rPr>
        <w:t xml:space="preserve">ограничен срок на действие </w:t>
      </w:r>
    </w:p>
    <w:p>
      <w:pPr>
        <w:pStyle w:val="ListDash2"/>
        <w:rPr>
          <w:noProof/>
        </w:rPr>
      </w:pPr>
      <w:r>
        <w:rPr>
          <w:noProof/>
        </w:rPr>
        <w:sym w:font="Wingdings" w:char="F0A8"/>
      </w:r>
      <w:r>
        <w:rPr>
          <w:noProof/>
        </w:rPr>
        <w:t xml:space="preserve"> в сила от [ДД/ММ]ГГГГ до [ДД/ММ]ГГГГ </w:t>
      </w:r>
    </w:p>
    <w:p>
      <w:pPr>
        <w:pStyle w:val="ListDash2"/>
        <w:rPr>
          <w:noProof/>
        </w:rPr>
      </w:pPr>
      <w:r>
        <w:rPr>
          <w:noProof/>
        </w:rPr>
        <w:t>X</w:t>
      </w:r>
      <w:r>
        <w:rPr>
          <w:noProof/>
        </w:rPr>
        <w:tab/>
        <w:t xml:space="preserve">Няма общо финансово отражение за бюджетни кредити за поети задължения и за бюджетни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bookmarkStart w:id="31" w:name="_Toc514938040"/>
      <w:bookmarkStart w:id="32" w:name="_Toc520485041"/>
      <w:r>
        <w:t>1.6.</w:t>
      </w:r>
      <w:r>
        <w:tab/>
      </w:r>
      <w:r>
        <w:rPr>
          <w:noProof/>
        </w:rPr>
        <w:t>Планирани методи на управление</w:t>
      </w:r>
      <w:r>
        <w:rPr>
          <w:rStyle w:val="FootnoteReference"/>
          <w:noProof/>
        </w:rPr>
        <w:footnoteReference w:id="5"/>
      </w:r>
      <w:r>
        <w:rPr>
          <w:rStyle w:val="FootnoteReference"/>
          <w:noProof/>
        </w:rPr>
        <w:t xml:space="preserve"> </w:t>
      </w:r>
      <w:bookmarkEnd w:id="31"/>
      <w:bookmarkEnd w:id="32"/>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ab/>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t>Х</w:t>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pPr>
      <w:r>
        <w:t>Настоящото ново предложение не предполага промени в годишните тавани за поети задължения и плащания по многогодишната финансова рамка съгласно приложение I към Регламент (ЕС) № 1311/2013. Годишната разбивка на бюджетните кредити за поети задължения за Европейския земеделски фонд за развитие на селските райони остава непроменена.</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t>Като цяло тази мярка не предполага необходимост от допълнителни бюджетни кредити за плащания. Бюджетните кредити за плащания за 2021 г., необходими за финансиране на тази мярка, ще бъдат компенсирани от по-ниските нужди от плащания през следващите години.</w:t>
      </w:r>
    </w:p>
    <w:p>
      <w:pPr>
        <w:pStyle w:val="ManualHeading1"/>
        <w:rPr>
          <w:bCs/>
          <w:noProof/>
          <w:szCs w:val="24"/>
        </w:rPr>
      </w:pPr>
      <w:bookmarkStart w:id="33" w:name="_Toc514938041"/>
      <w:bookmarkStart w:id="34" w:name="_Toc520485042"/>
      <w:r>
        <w:t>2.</w:t>
      </w:r>
      <w:r>
        <w:tab/>
      </w:r>
      <w:r>
        <w:rPr>
          <w:noProof/>
        </w:rPr>
        <w:t>МЕРКИ ЗА УПРАВЛЕНИЕ</w:t>
      </w:r>
      <w:bookmarkEnd w:id="33"/>
      <w:bookmarkEnd w:id="34"/>
      <w:r>
        <w:rPr>
          <w:noProof/>
        </w:rPr>
        <w:t xml:space="preserve"> </w:t>
      </w:r>
    </w:p>
    <w:p>
      <w:pPr>
        <w:pStyle w:val="ManualHeading2"/>
        <w:rPr>
          <w:noProof/>
        </w:rPr>
      </w:pPr>
      <w:bookmarkStart w:id="35" w:name="_Toc514938042"/>
      <w:bookmarkStart w:id="36" w:name="_Toc520485043"/>
      <w:r>
        <w:t>2.1.</w:t>
      </w:r>
      <w:r>
        <w:tab/>
      </w:r>
      <w:r>
        <w:rPr>
          <w:noProof/>
        </w:rPr>
        <w:t>Правила за мониторинг и докладване</w:t>
      </w:r>
      <w:bookmarkEnd w:id="35"/>
      <w:bookmarkEnd w:id="36"/>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t>Не е приложимо</w:t>
      </w:r>
    </w:p>
    <w:p>
      <w:pPr>
        <w:pStyle w:val="ManualHeading2"/>
        <w:rPr>
          <w:bCs/>
          <w:noProof/>
          <w:szCs w:val="24"/>
        </w:rPr>
      </w:pPr>
      <w:bookmarkStart w:id="37" w:name="_Toc514938045"/>
      <w:bookmarkStart w:id="38" w:name="_Toc520485044"/>
      <w:r>
        <w:t>2.2.</w:t>
      </w:r>
      <w:r>
        <w:tab/>
      </w:r>
      <w:r>
        <w:rPr>
          <w:noProof/>
        </w:rPr>
        <w:t>Системи за управление и контрол</w:t>
      </w:r>
      <w:bookmarkEnd w:id="37"/>
      <w:bookmarkEnd w:id="38"/>
      <w:r>
        <w:rPr>
          <w:noProof/>
        </w:rPr>
        <w:t xml:space="preserve"> </w:t>
      </w:r>
    </w:p>
    <w:p>
      <w:pPr>
        <w:pStyle w:val="ManualHeading3"/>
        <w:rPr>
          <w:noProof/>
        </w:rPr>
      </w:pPr>
      <w:bookmarkStart w:id="39" w:name="_Toc514938046"/>
      <w:bookmarkStart w:id="40" w:name="_Toc520485045"/>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39"/>
      <w:bookmarkEnd w:id="40"/>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bookmarkStart w:id="41" w:name="_Toc514938047"/>
      <w:bookmarkStart w:id="42" w:name="_Toc520485046"/>
      <w:r>
        <w:t>2.2.2.</w:t>
      </w:r>
      <w:r>
        <w:tab/>
      </w:r>
      <w:r>
        <w:rPr>
          <w:noProof/>
        </w:rPr>
        <w:t>Информация относно установените рискове и системите за вътрешен контрол, създадени с цел намаляването им</w:t>
      </w:r>
      <w:bookmarkEnd w:id="41"/>
      <w:bookmarkEnd w:id="42"/>
    </w:p>
    <w:p>
      <w:pPr>
        <w:pStyle w:val="Text1"/>
        <w:pBdr>
          <w:top w:val="single" w:sz="4" w:space="1" w:color="auto"/>
          <w:left w:val="single" w:sz="4" w:space="4" w:color="auto"/>
          <w:bottom w:val="single" w:sz="4" w:space="1" w:color="auto"/>
          <w:right w:val="single" w:sz="4" w:space="4" w:color="auto"/>
        </w:pBdr>
        <w:rPr>
          <w:noProof/>
        </w:rPr>
      </w:pPr>
      <w:r>
        <w:t>Не е приложимо</w:t>
      </w:r>
    </w:p>
    <w:p>
      <w:pPr>
        <w:pStyle w:val="ManualHeading3"/>
        <w:rPr>
          <w:noProof/>
        </w:rPr>
      </w:pPr>
      <w:bookmarkStart w:id="43" w:name="_Toc514938048"/>
      <w:bookmarkStart w:id="44" w:name="_Toc520485047"/>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43"/>
      <w:bookmarkEnd w:id="4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t>Не е приложимо</w:t>
      </w:r>
    </w:p>
    <w:p>
      <w:pPr>
        <w:pStyle w:val="ManualHeading2"/>
        <w:rPr>
          <w:bCs/>
          <w:noProof/>
          <w:szCs w:val="24"/>
        </w:rPr>
      </w:pPr>
      <w:bookmarkStart w:id="45" w:name="_Toc514938049"/>
      <w:bookmarkStart w:id="46" w:name="_Toc520485048"/>
      <w:r>
        <w:t>2.3.</w:t>
      </w:r>
      <w:r>
        <w:tab/>
      </w:r>
      <w:r>
        <w:rPr>
          <w:noProof/>
        </w:rPr>
        <w:t>Мерки за предотвратяване на измами и нередности</w:t>
      </w:r>
      <w:bookmarkEnd w:id="45"/>
      <w:bookmarkEnd w:id="46"/>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t>Не е приложимо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7" w:name="_Toc514938050"/>
      <w:bookmarkStart w:id="48" w:name="_Toc520485049"/>
      <w:r>
        <w:t>3.</w:t>
      </w:r>
      <w:r>
        <w:tab/>
      </w:r>
      <w:r>
        <w:rPr>
          <w:noProof/>
        </w:rPr>
        <w:t>ОЧАКВАНО ФИНАНСОВО ОТРАЖЕНИЕ НА ПРЕДЛОЖЕНИЕТО/ИНИЦИАТИВАТА</w:t>
      </w:r>
      <w:bookmarkEnd w:id="47"/>
      <w:bookmarkEnd w:id="48"/>
      <w:r>
        <w:rPr>
          <w:noProof/>
        </w:rPr>
        <w:t xml:space="preserve"> </w:t>
      </w:r>
    </w:p>
    <w:p>
      <w:pPr>
        <w:pStyle w:val="ManualHeading2"/>
        <w:rPr>
          <w:noProof/>
        </w:rPr>
      </w:pPr>
      <w:bookmarkStart w:id="49" w:name="_Toc514938051"/>
      <w:bookmarkStart w:id="50" w:name="_Toc520485050"/>
      <w:r>
        <w:t>3.1.</w:t>
      </w:r>
      <w:r>
        <w:tab/>
      </w:r>
      <w:r>
        <w:rPr>
          <w:noProof/>
        </w:rPr>
        <w:t>Съответни функции от многогодишната финансова рамка и разходни бюджетни редове</w:t>
      </w:r>
      <w:bookmarkEnd w:id="49"/>
      <w:bookmarkEnd w:id="50"/>
      <w:r>
        <w:rPr>
          <w:noProof/>
        </w:rPr>
        <w:t xml:space="preserve"> </w:t>
      </w:r>
    </w:p>
    <w:p>
      <w:pPr>
        <w:pStyle w:val="ListBullet1"/>
        <w:rPr>
          <w:noProof/>
        </w:rPr>
      </w:pPr>
      <w:r>
        <w:rPr>
          <w:noProof/>
        </w:rPr>
        <w:t xml:space="preserve">Съществуващи бюджетни редове </w:t>
      </w:r>
    </w:p>
    <w:p>
      <w:pPr>
        <w:pStyle w:val="Text1"/>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r>
              <w:rPr>
                <w:rStyle w:val="FootnoteReference"/>
                <w:noProof/>
                <w:sz w:val="18"/>
              </w:rPr>
              <w:footnoteReference w:id="6"/>
            </w:r>
          </w:p>
        </w:tc>
        <w:tc>
          <w:tcPr>
            <w:tcW w:w="956" w:type="dxa"/>
            <w:vAlign w:val="center"/>
          </w:tcPr>
          <w:p>
            <w:pPr>
              <w:jc w:val="center"/>
              <w:rPr>
                <w:noProof/>
              </w:rPr>
            </w:pPr>
            <w:r>
              <w:rPr>
                <w:noProof/>
                <w:sz w:val="18"/>
              </w:rPr>
              <w:t>от държави от ЕАСТ</w:t>
            </w:r>
            <w:r>
              <w:rPr>
                <w:rStyle w:val="FootnoteReference"/>
                <w:noProof/>
                <w:sz w:val="18"/>
              </w:rPr>
              <w:footnoteReference w:id="7"/>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8"/>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05.046001</w:t>
            </w:r>
            <w:r>
              <w:rPr>
                <w:rStyle w:val="FootnoteReference"/>
                <w:noProof/>
              </w:rPr>
              <w:footnoteReference w:id="9"/>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sz w:val="20"/>
                <w:szCs w:val="20"/>
              </w:rPr>
            </w:pPr>
            <w:r>
              <w:rPr>
                <w:noProof/>
                <w:sz w:val="20"/>
                <w:szCs w:val="20"/>
              </w:rPr>
              <w:t>НЕ</w:t>
            </w:r>
          </w:p>
        </w:tc>
        <w:tc>
          <w:tcPr>
            <w:tcW w:w="1080" w:type="dxa"/>
            <w:vAlign w:val="center"/>
          </w:tcPr>
          <w:p>
            <w:pPr>
              <w:jc w:val="center"/>
              <w:rPr>
                <w:noProof/>
                <w:sz w:val="20"/>
                <w:szCs w:val="20"/>
              </w:rPr>
            </w:pPr>
            <w:r>
              <w:rPr>
                <w:noProof/>
                <w:sz w:val="20"/>
                <w:szCs w:val="20"/>
              </w:rPr>
              <w:t>НЕ</w:t>
            </w:r>
          </w:p>
        </w:tc>
        <w:tc>
          <w:tcPr>
            <w:tcW w:w="956" w:type="dxa"/>
            <w:vAlign w:val="center"/>
          </w:tcPr>
          <w:p>
            <w:pPr>
              <w:jc w:val="center"/>
              <w:rPr>
                <w:noProof/>
                <w:sz w:val="20"/>
                <w:szCs w:val="20"/>
              </w:rPr>
            </w:pPr>
            <w:r>
              <w:rPr>
                <w:noProof/>
                <w:sz w:val="20"/>
                <w:szCs w:val="20"/>
              </w:rPr>
              <w:t>НЕ</w:t>
            </w:r>
          </w:p>
        </w:tc>
        <w:tc>
          <w:tcPr>
            <w:tcW w:w="1448" w:type="dxa"/>
            <w:vAlign w:val="center"/>
          </w:tcPr>
          <w:p>
            <w:pPr>
              <w:jc w:val="center"/>
              <w:rPr>
                <w:noProof/>
                <w:sz w:val="20"/>
                <w:szCs w:val="20"/>
              </w:rPr>
            </w:pPr>
            <w:r>
              <w:rPr>
                <w:noProof/>
                <w:sz w:val="20"/>
                <w:szCs w:val="20"/>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Не е приложимо</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sz w:val="20"/>
                <w:szCs w:val="20"/>
              </w:rPr>
            </w:pPr>
            <w:r>
              <w:rPr>
                <w:noProof/>
                <w:sz w:val="20"/>
                <w:szCs w:val="20"/>
              </w:rPr>
              <w:t>ДА/НЕ</w:t>
            </w:r>
          </w:p>
        </w:tc>
        <w:tc>
          <w:tcPr>
            <w:tcW w:w="1080" w:type="dxa"/>
            <w:vAlign w:val="center"/>
          </w:tcPr>
          <w:p>
            <w:pPr>
              <w:jc w:val="center"/>
              <w:rPr>
                <w:noProof/>
                <w:color w:val="0000FF"/>
                <w:sz w:val="20"/>
                <w:szCs w:val="20"/>
              </w:rPr>
            </w:pPr>
            <w:r>
              <w:rPr>
                <w:noProof/>
                <w:sz w:val="20"/>
                <w:szCs w:val="20"/>
              </w:rPr>
              <w:t>ДА/НЕ</w:t>
            </w:r>
          </w:p>
        </w:tc>
        <w:tc>
          <w:tcPr>
            <w:tcW w:w="956" w:type="dxa"/>
            <w:vAlign w:val="center"/>
          </w:tcPr>
          <w:p>
            <w:pPr>
              <w:jc w:val="center"/>
              <w:rPr>
                <w:noProof/>
                <w:color w:val="0000FF"/>
                <w:sz w:val="20"/>
                <w:szCs w:val="20"/>
              </w:rPr>
            </w:pPr>
            <w:r>
              <w:rPr>
                <w:noProof/>
                <w:sz w:val="20"/>
                <w:szCs w:val="20"/>
              </w:rPr>
              <w:t>ДА/НЕ</w:t>
            </w:r>
          </w:p>
        </w:tc>
        <w:tc>
          <w:tcPr>
            <w:tcW w:w="1448" w:type="dxa"/>
            <w:vAlign w:val="center"/>
          </w:tcPr>
          <w:p>
            <w:pPr>
              <w:jc w:val="center"/>
              <w:rPr>
                <w:noProof/>
                <w:sz w:val="20"/>
                <w:szCs w:val="20"/>
              </w:rPr>
            </w:pPr>
            <w:r>
              <w:rPr>
                <w:noProof/>
                <w:sz w:val="20"/>
                <w:szCs w:val="20"/>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1" w:name="_Toc514938052"/>
      <w:bookmarkStart w:id="52" w:name="_Toc520485051"/>
      <w:r>
        <w:t>3.2.</w:t>
      </w:r>
      <w:r>
        <w:tab/>
      </w:r>
      <w:r>
        <w:rPr>
          <w:noProof/>
        </w:rPr>
        <w:t>Очаквано финансово отражение на предложението върху бюджетните кредити</w:t>
      </w:r>
      <w:bookmarkEnd w:id="51"/>
      <w:bookmarkEnd w:id="52"/>
      <w:r>
        <w:rPr>
          <w:noProof/>
        </w:rPr>
        <w:t xml:space="preserve"> </w:t>
      </w:r>
    </w:p>
    <w:p>
      <w:pPr>
        <w:pStyle w:val="ManualHeading3"/>
        <w:rPr>
          <w:noProof/>
        </w:rPr>
      </w:pPr>
      <w:bookmarkStart w:id="53" w:name="_Toc514938053"/>
      <w:bookmarkStart w:id="54" w:name="_Toc520485052"/>
      <w:r>
        <w:t>3.2.1.</w:t>
      </w:r>
      <w:r>
        <w:tab/>
      </w:r>
      <w:r>
        <w:rPr>
          <w:noProof/>
        </w:rPr>
        <w:t>Обобщение на очакваното отражение върху бюджетните кредити за оперативни разходи</w:t>
      </w:r>
      <w:bookmarkEnd w:id="53"/>
      <w:bookmarkEnd w:id="54"/>
      <w:r>
        <w:rPr>
          <w:noProof/>
        </w:rPr>
        <w:t xml:space="preserve">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szCs w:val="18"/>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rPr>
              <w:t xml:space="preserve"> </w:t>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p>
            <w:pPr>
              <w:spacing w:before="60" w:after="60"/>
              <w:jc w:val="center"/>
              <w:rPr>
                <w:noProof/>
              </w:rPr>
            </w:pPr>
            <w:r>
              <w:rPr>
                <w:noProof/>
                <w:sz w:val="22"/>
              </w:rPr>
              <w:t>2</w:t>
            </w:r>
          </w:p>
        </w:tc>
        <w:tc>
          <w:tcPr>
            <w:tcW w:w="7817" w:type="dxa"/>
            <w:vAlign w:val="center"/>
          </w:tcPr>
          <w:p>
            <w:pPr>
              <w:spacing w:before="60" w:after="60"/>
              <w:rPr>
                <w:noProof/>
              </w:rPr>
            </w:pPr>
            <w:r>
              <w:rPr>
                <w:noProof/>
              </w:rPr>
              <w:t>Устойчив растеж: природни ресурси</w:t>
            </w:r>
          </w:p>
        </w:tc>
      </w:tr>
    </w:tbl>
    <w:p>
      <w:pPr>
        <w:rPr>
          <w:b/>
          <w:i/>
          <w:noProof/>
        </w:rPr>
      </w:pPr>
    </w:p>
    <w:p>
      <w:pPr>
        <w:rPr>
          <w:b/>
          <w:i/>
          <w:noProof/>
        </w:rPr>
      </w:pPr>
      <w:r>
        <w:rPr>
          <w:b/>
          <w:i/>
          <w:noProof/>
        </w:rPr>
        <w:t xml:space="preserve">Няма отражение върху бюджетните кредити за поети задължения. Тъй като това изменение ще бъде финансирано чрез изменения на програмите за развитие на селските райони на държавите членки в рамките на договорените пакети, като цяло няма да са необходими допълнителни бюджетни кредити за плащания, като всички плащания за тази мярка ще бъдат компенсирани с по-ниски плащания по други мерки за развитие на селските райони. </w:t>
      </w:r>
    </w:p>
    <w:p>
      <w:pPr>
        <w:rPr>
          <w:b/>
          <w:i/>
          <w:noProof/>
        </w:rPr>
      </w:pPr>
      <w:r>
        <w:rPr>
          <w:b/>
          <w:i/>
          <w:noProof/>
        </w:rPr>
        <w:t xml:space="preserve">Приема се, че предложението няма отражение върху бюджетните кредити за плащания по линия на ЕЗФРСР за бюджета за 2020 г. Като се има предвид времето, необходимо на държавите членки за изпълнение на тази нова мярка, се очаква свързаните с това разходи да бъдат декларирани през четвъртото тримесечие на 2020 г., като по този начин отражението ще бъде върху бюджета за 2021 г. Съответното отражение върху бюджетните кредити за плащания, което се оценява на около 650 милиона евро, ще бъде покрито в рамките на бюджетните кредити за плащания, които ще бъдат поискани за проектобюджета за 2021 г., и ще бъде компенсирано със съответно намаление на нуждите от плащания през следващите години, както е изчислено по-долу. </w:t>
      </w:r>
    </w:p>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ГД „Земеделие и развитие на селските райони“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noProof/>
                <w:sz w:val="20"/>
              </w:rPr>
              <w:t>2020</w:t>
            </w:r>
          </w:p>
        </w:tc>
        <w:tc>
          <w:tcPr>
            <w:tcW w:w="868" w:type="dxa"/>
            <w:vAlign w:val="center"/>
          </w:tcPr>
          <w:p>
            <w:pPr>
              <w:jc w:val="center"/>
              <w:rPr>
                <w:noProof/>
                <w:sz w:val="20"/>
              </w:rPr>
            </w:pPr>
            <w:r>
              <w:rPr>
                <w:noProof/>
                <w:sz w:val="20"/>
              </w:rPr>
              <w:t>Година</w:t>
            </w:r>
            <w:r>
              <w:rPr>
                <w:noProof/>
              </w:rPr>
              <w:t xml:space="preserve"> </w:t>
            </w:r>
            <w:r>
              <w:rPr>
                <w:noProof/>
              </w:rPr>
              <w:br/>
            </w:r>
            <w:r>
              <w:rPr>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noProof/>
                <w:sz w:val="20"/>
              </w:rPr>
              <w:t>2022</w:t>
            </w:r>
          </w:p>
        </w:tc>
        <w:tc>
          <w:tcPr>
            <w:tcW w:w="868" w:type="dxa"/>
            <w:vAlign w:val="center"/>
          </w:tcPr>
          <w:p>
            <w:pPr>
              <w:jc w:val="center"/>
              <w:rPr>
                <w:noProof/>
                <w:sz w:val="22"/>
              </w:rPr>
            </w:pPr>
            <w:r>
              <w:rPr>
                <w:noProof/>
                <w:sz w:val="20"/>
              </w:rPr>
              <w:t>Година</w:t>
            </w:r>
            <w:r>
              <w:rPr>
                <w:noProof/>
              </w:rPr>
              <w:t xml:space="preserve"> </w:t>
            </w:r>
            <w:r>
              <w:rPr>
                <w:noProof/>
              </w:rPr>
              <w:br/>
            </w:r>
            <w:r>
              <w:rPr>
                <w:noProof/>
                <w:sz w:val="22"/>
              </w:rPr>
              <w:t>2023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05.046001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+ 650</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619"/>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rPr>
              <w:t>Не е приложимо</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ГД „Земеделие и развитие на селските райони“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=2а+2б</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+650</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rPr>
          <w:noProof/>
        </w:rPr>
      </w:pPr>
    </w:p>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+650</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ОБЩО бюджетни кредити за административни разходи, финансирани от пакета за специфични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ОБЩО бюджетни кредити</w:t>
            </w:r>
            <w:r>
              <w:rPr>
                <w:noProof/>
              </w:rPr>
              <w:t xml:space="preserve"> </w:t>
            </w:r>
            <w:r>
              <w:rPr>
                <w:b/>
                <w:noProof/>
                <w:sz w:val="22"/>
              </w:rPr>
              <w:t>за ФУНКЦИЯ 2</w:t>
            </w:r>
            <w:r>
              <w:rPr>
                <w:noProof/>
              </w:rPr>
              <w:t xml:space="preserve"> </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+650</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rPr>
              <w:t xml:space="preserve"> </w:t>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се попълва, като се използва таблицата за бюджетни данни от административно естество, която най-напред се въвежда в </w:t>
      </w:r>
      <w:hyperlink r:id="rId16" w:history="1">
        <w:r>
          <w:rPr>
            <w:rStyle w:val="Hyperlink"/>
            <w:noProof/>
          </w:rPr>
          <w:t>приложението към законодателната финансова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w:t>
            </w:r>
            <w:r>
              <w:rPr>
                <w:noProof/>
                <w:sz w:val="22"/>
              </w:rPr>
              <w:t xml:space="preserve"> &lt;….&gt;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ФУНКЦИЯ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2020</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rPr>
              <w:t xml:space="preserve"> </w:t>
            </w:r>
            <w:r>
              <w:rPr>
                <w:b/>
                <w:noProof/>
                <w:sz w:val="22"/>
              </w:rPr>
              <w:t>за ФУНКЦИИ 1—5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+ 650</w:t>
            </w:r>
          </w:p>
        </w:tc>
        <w:tc>
          <w:tcPr>
            <w:tcW w:w="868" w:type="dxa"/>
            <w:vAlign w:val="center"/>
          </w:tcPr>
          <w:p>
            <w:pPr>
              <w:spacing w:before="60" w:after="60"/>
              <w:jc w:val="right"/>
              <w:rPr>
                <w:noProof/>
                <w:sz w:val="20"/>
              </w:rPr>
            </w:pPr>
            <w:r>
              <w:rPr>
                <w:noProof/>
                <w:sz w:val="20"/>
              </w:rPr>
              <w:t>-325</w:t>
            </w:r>
          </w:p>
        </w:tc>
        <w:tc>
          <w:tcPr>
            <w:tcW w:w="868" w:type="dxa"/>
            <w:vAlign w:val="center"/>
          </w:tcPr>
          <w:p>
            <w:pPr>
              <w:spacing w:before="60" w:after="60"/>
              <w:jc w:val="right"/>
              <w:rPr>
                <w:noProof/>
                <w:sz w:val="20"/>
              </w:rPr>
            </w:pPr>
            <w:r>
              <w:rPr>
                <w:noProof/>
                <w:sz w:val="20"/>
              </w:rPr>
              <w:t>-325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pPr>
    </w:p>
    <w:p>
      <w:pPr>
        <w:pStyle w:val="ManualHeading3"/>
        <w:rPr>
          <w:bCs/>
          <w:noProof/>
          <w:szCs w:val="24"/>
        </w:rPr>
      </w:pPr>
      <w:bookmarkStart w:id="55" w:name="_Toc514938054"/>
      <w:bookmarkStart w:id="56" w:name="_Toc520485053"/>
      <w:r>
        <w:t>3.2.2.</w:t>
      </w:r>
      <w:r>
        <w:tab/>
      </w:r>
      <w:r>
        <w:rPr>
          <w:noProof/>
        </w:rPr>
        <w:t>Очакван резултат, финансиран с бюджетни кредити за оперативни разходи</w:t>
      </w:r>
      <w:bookmarkEnd w:id="55"/>
      <w:bookmarkEnd w:id="56"/>
      <w:r>
        <w:rPr>
          <w:noProof/>
        </w:rPr>
        <w:t xml:space="preserve"> </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0"/>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pPr>
        <w:pStyle w:val="ManualHeading3"/>
        <w:rPr>
          <w:bCs/>
          <w:noProof/>
          <w:szCs w:val="24"/>
        </w:rPr>
      </w:pPr>
      <w:bookmarkStart w:id="57" w:name="_Toc514938055"/>
      <w:bookmarkStart w:id="58" w:name="_Toc520485054"/>
      <w:r>
        <w:t>3.2.3.</w:t>
      </w:r>
      <w:r>
        <w:tab/>
      </w:r>
      <w:r>
        <w:rPr>
          <w:noProof/>
        </w:rPr>
        <w:t>Обобщение на очакваното отражение върху бюджетните кредити за административни разходи</w:t>
      </w:r>
      <w:bookmarkEnd w:id="57"/>
      <w:bookmarkEnd w:id="58"/>
      <w:r>
        <w:rPr>
          <w:noProof/>
        </w:rPr>
        <w:t xml:space="preserve"> </w:t>
      </w:r>
    </w:p>
    <w:p>
      <w:pPr>
        <w:pStyle w:val="ListDash1"/>
        <w:rPr>
          <w:noProof/>
        </w:rPr>
      </w:pPr>
      <w:r>
        <w:rPr>
          <w:noProof/>
        </w:rPr>
        <w:t>X</w:t>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 xml:space="preserve">N </w:t>
            </w:r>
            <w:r>
              <w:rPr>
                <w:rStyle w:val="FootnoteReference"/>
                <w:b/>
                <w:noProof/>
                <w:sz w:val="16"/>
              </w:rPr>
              <w:footnoteReference w:id="12"/>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3"/>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административни разходи</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извън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Очаквани нужди от човешки ресурси </w:t>
      </w:r>
    </w:p>
    <w:p>
      <w:pPr>
        <w:pStyle w:val="ListDash1"/>
        <w:rPr>
          <w:noProof/>
        </w:rPr>
      </w:pPr>
      <w:r>
        <w:rPr>
          <w:noProof/>
        </w:rPr>
        <w:t>X</w:t>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N+2</w:t>
            </w:r>
          </w:p>
        </w:tc>
        <w:tc>
          <w:tcPr>
            <w:tcW w:w="600" w:type="dxa"/>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N+3</w:t>
            </w:r>
          </w:p>
        </w:tc>
        <w:tc>
          <w:tcPr>
            <w:tcW w:w="600" w:type="dxa"/>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ЕПРВ)</w:t>
            </w:r>
            <w:r>
              <w:rPr>
                <w:rStyle w:val="FootnoteReference"/>
                <w:b/>
                <w:noProof/>
                <w:sz w:val="16"/>
              </w:rPr>
              <w:footnoteReference w:id="14"/>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b/>
                <w:i/>
                <w:noProof/>
                <w:sz w:val="16"/>
              </w:rPr>
              <w:footnoteReference w:id="15"/>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0 в централата</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0 в делегациите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59" w:name="_Toc514938056"/>
      <w:bookmarkStart w:id="60" w:name="_Toc520485055"/>
      <w:r>
        <w:t>3.2.4.</w:t>
      </w:r>
      <w:r>
        <w:tab/>
      </w:r>
      <w:r>
        <w:rPr>
          <w:noProof/>
        </w:rPr>
        <w:t>Съвместимост с настоящата многогодишна финансова рамка</w:t>
      </w:r>
      <w:bookmarkEnd w:id="59"/>
      <w:bookmarkEnd w:id="60"/>
      <w:r>
        <w:rPr>
          <w:noProof/>
        </w:rPr>
        <w:t xml:space="preserve"> </w:t>
      </w:r>
    </w:p>
    <w:p>
      <w:pPr>
        <w:pStyle w:val="Text1"/>
        <w:rPr>
          <w:noProof/>
        </w:rPr>
      </w:pPr>
      <w:r>
        <w:rPr>
          <w:noProof/>
        </w:rPr>
        <w:t>Предложението/инициативата:</w:t>
      </w:r>
    </w:p>
    <w:p>
      <w:pPr>
        <w:pStyle w:val="ListDash1"/>
        <w:rPr>
          <w:noProof/>
        </w:rPr>
      </w:pPr>
      <w:r>
        <w:rPr>
          <w:noProof/>
        </w:rPr>
        <w:t>X</w:t>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r>
        <w:rPr>
          <w:noProof/>
        </w:rPr>
        <w:t xml:space="preserve"> </w:t>
      </w:r>
      <w:r>
        <w:rPr>
          <w:noProof/>
          <w:sz w:val="20"/>
        </w:rPr>
        <w:t>Моля, представете таблица в Excel, ако е необходимо голямо препрограмиране.</w:t>
      </w:r>
    </w:p>
    <w:p>
      <w:pPr>
        <w:pStyle w:val="ListDash1"/>
        <w:rPr>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 и инструментите, които се предлага да бъдат използвани.</w:t>
      </w:r>
    </w:p>
    <w:p>
      <w:pPr>
        <w:pStyle w:val="ListDash1"/>
        <w:rPr>
          <w:noProof/>
        </w:rPr>
      </w:pPr>
      <w:r>
        <w:rPr>
          <w:noProof/>
        </w:rPr>
        <w:sym w:font="Wingdings" w:char="F0A8"/>
      </w:r>
      <w:r>
        <w:rPr>
          <w:noProof/>
        </w:rPr>
        <w:tab/>
        <w:t>налага преразглеждане на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bookmarkStart w:id="61" w:name="_Toc514938058"/>
      <w:bookmarkStart w:id="62" w:name="_Toc520485056"/>
      <w:r>
        <w:t>3.2.5.</w:t>
      </w:r>
      <w:r>
        <w:tab/>
      </w:r>
      <w:r>
        <w:rPr>
          <w:noProof/>
        </w:rPr>
        <w:t>Съфинансиране от трети страни</w:t>
      </w:r>
      <w:bookmarkEnd w:id="61"/>
      <w:bookmarkEnd w:id="62"/>
      <w:r>
        <w:rPr>
          <w:noProof/>
        </w:rPr>
        <w:t xml:space="preserve"> </w:t>
      </w:r>
    </w:p>
    <w:p>
      <w:pPr>
        <w:pStyle w:val="Text1"/>
        <w:rPr>
          <w:noProof/>
        </w:rPr>
      </w:pPr>
      <w:r>
        <w:rPr>
          <w:noProof/>
        </w:rPr>
        <w:t>Предложението/инициативата:</w:t>
      </w:r>
    </w:p>
    <w:p>
      <w:pPr>
        <w:pStyle w:val="ListDash1"/>
        <w:rPr>
          <w:noProof/>
        </w:rPr>
      </w:pPr>
      <w:r>
        <w:rPr>
          <w:noProof/>
        </w:rPr>
        <w:sym w:font="Wingdings" w:char="F0A8"/>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r>
              <w:rPr>
                <w:rStyle w:val="FootnoteReference"/>
                <w:b/>
                <w:noProof/>
                <w:sz w:val="20"/>
              </w:rPr>
              <w:footnoteReference w:id="16"/>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bookmarkStart w:id="63" w:name="_Toc514938059"/>
      <w:bookmarkStart w:id="64" w:name="_Toc520485057"/>
      <w:r>
        <w:t>3.3.</w:t>
      </w:r>
      <w:r>
        <w:tab/>
      </w:r>
      <w:r>
        <w:rPr>
          <w:noProof/>
        </w:rPr>
        <w:t>Очаквано отражение върху приходите</w:t>
      </w:r>
      <w:bookmarkEnd w:id="63"/>
      <w:bookmarkEnd w:id="64"/>
      <w:r>
        <w:rPr>
          <w:noProof/>
        </w:rPr>
        <w:t xml:space="preserve">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Tiret2"/>
        <w:numPr>
          <w:ilvl w:val="0"/>
          <w:numId w:val="17"/>
        </w:numPr>
        <w:rPr>
          <w:noProof/>
        </w:rPr>
      </w:pPr>
      <w:r>
        <w:rPr>
          <w:noProof/>
        </w:rPr>
        <w:sym w:font="Wingdings" w:char="F0A8"/>
      </w:r>
      <w:r>
        <w:rPr>
          <w:noProof/>
        </w:rPr>
        <w:tab/>
        <w:t xml:space="preserve">върху собствените ресурси </w:t>
      </w:r>
    </w:p>
    <w:p>
      <w:pPr>
        <w:pStyle w:val="Tiret2"/>
        <w:rPr>
          <w:noProof/>
        </w:rPr>
      </w:pPr>
      <w:r>
        <w:rPr>
          <w:noProof/>
        </w:rPr>
        <w:sym w:font="Wingdings" w:char="F0A8"/>
      </w:r>
      <w:r>
        <w:rPr>
          <w:noProof/>
        </w:rPr>
        <w:tab/>
        <w:t>върху разните приходи</w:t>
      </w:r>
    </w:p>
    <w:p>
      <w:pPr>
        <w:pStyle w:val="Tiret2"/>
        <w:rPr>
          <w:noProof/>
        </w:rPr>
      </w:pPr>
      <w:r>
        <w:rPr>
          <w:noProof/>
        </w:rPr>
        <w:sym w:font="Wingdings" w:char="F0A8"/>
      </w:r>
      <w:r>
        <w:rPr>
          <w:noProof/>
        </w:rPr>
        <w:tab/>
        <w:t>моля, посочете дали приходите са записани по разходни бюджетни редове</w:t>
      </w:r>
    </w:p>
    <w:p>
      <w:pPr>
        <w:ind w:left="4320"/>
        <w:rPr>
          <w:i/>
          <w:noProof/>
          <w:sz w:val="20"/>
        </w:rPr>
      </w:pPr>
      <w:r>
        <w:rPr>
          <w:noProof/>
        </w:rPr>
        <w:t xml:space="preserve">     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17"/>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OВ C ,  г., стр. .</w:t>
      </w:r>
    </w:p>
  </w:footnote>
  <w:footnote w:id="3">
    <w:p>
      <w:pPr>
        <w:pStyle w:val="FootnoteText"/>
      </w:pPr>
      <w:r>
        <w:rPr>
          <w:rStyle w:val="FootnoteReference"/>
        </w:rPr>
        <w:footnoteRef/>
      </w:r>
      <w:r>
        <w:tab/>
        <w:t>OВ C ,  г., стр. .</w:t>
      </w:r>
    </w:p>
  </w:footnote>
  <w:footnote w:id="4">
    <w:p>
      <w:pPr>
        <w:pStyle w:val="FootnoteText"/>
        <w:rPr>
          <w:szCs w:val="24"/>
        </w:rPr>
      </w:pPr>
      <w:r>
        <w:rPr>
          <w:rStyle w:val="FootnoteReference"/>
        </w:rPr>
        <w:footnoteRef/>
      </w:r>
      <w:r>
        <w:tab/>
        <w:t>Съгласно член 58, параграф 2, буква а) или б) от Финансовия регламент.</w:t>
      </w:r>
    </w:p>
  </w:footnote>
  <w:footnote w:id="5">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7">
    <w:p>
      <w:pPr>
        <w:pStyle w:val="FootnoteText"/>
        <w:rPr>
          <w:szCs w:val="24"/>
        </w:rPr>
      </w:pPr>
      <w:r>
        <w:rPr>
          <w:rStyle w:val="FootnoteReference"/>
        </w:rPr>
        <w:footnoteRef/>
      </w:r>
      <w:r>
        <w:tab/>
        <w:t xml:space="preserve">ЕАСТ: Европейска асоциация за свободна търговия. </w:t>
      </w:r>
    </w:p>
  </w:footnote>
  <w:footnote w:id="8">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9">
    <w:p>
      <w:pPr>
        <w:pStyle w:val="FootnoteText"/>
      </w:pPr>
      <w:r>
        <w:rPr>
          <w:rStyle w:val="FootnoteReference"/>
        </w:rPr>
        <w:footnoteRef/>
      </w:r>
      <w:r>
        <w:tab/>
        <w:t>Бюджетен ред 08.0301, считано от бюджетната 2021 година</w:t>
      </w:r>
    </w:p>
  </w:footnote>
  <w:footnote w:id="10">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1">
    <w:p>
      <w:pPr>
        <w:pStyle w:val="FootnoteText"/>
        <w:rPr>
          <w:szCs w:val="24"/>
        </w:rPr>
      </w:pPr>
      <w:r>
        <w:rPr>
          <w:rStyle w:val="FootnoteReference"/>
        </w:rPr>
        <w:footnoteRef/>
      </w:r>
      <w:r>
        <w:tab/>
        <w:t xml:space="preserve">Съгласно описанието в точка 1.4.2. „Конкретни цели…“. </w:t>
      </w:r>
    </w:p>
  </w:footnote>
  <w:footnote w:id="12">
    <w:p>
      <w:pPr>
        <w:pStyle w:val="FootnoteText"/>
        <w:rPr>
          <w:sz w:val="18"/>
          <w:szCs w:val="18"/>
        </w:rPr>
      </w:pPr>
      <w:r>
        <w:rPr>
          <w:rStyle w:val="FootnoteReference"/>
        </w:rPr>
        <w:footnoteRef/>
      </w:r>
      <w:r>
        <w:tab/>
      </w:r>
      <w:r>
        <w:rPr>
          <w:sz w:val="18"/>
          <w:szCs w:val="18"/>
        </w:rPr>
        <w:t>Година N е годината, през която започва да се изпълнява предложението/инициативата. Буквата N да се замени с очакваната първа година от изпълнението (например: 2021). Същото за следващите години.</w:t>
      </w:r>
    </w:p>
  </w:footnote>
  <w:footnote w:id="13">
    <w:p>
      <w:pPr>
        <w:pStyle w:val="FootnoteText"/>
        <w:rPr>
          <w:szCs w:val="24"/>
        </w:rPr>
      </w:pPr>
      <w:r>
        <w:rPr>
          <w:rStyle w:val="FootnoteReference"/>
        </w:rPr>
        <w:footnoteRef/>
      </w:r>
      <w:r>
        <w:tab/>
      </w:r>
      <w:r>
        <w:rPr>
          <w:sz w:val="18"/>
          <w:szCs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6">
    <w:p>
      <w:pPr>
        <w:pStyle w:val="FootnoteText"/>
      </w:pPr>
      <w:r>
        <w:rPr>
          <w:rStyle w:val="FootnoteReference"/>
        </w:rPr>
        <w:footnoteRef/>
      </w:r>
      <w:r>
        <w:tab/>
        <w:t>Година N е годината, през която започва да се изпълнява предложението/инициативата. Буквата N да се замени с очакваната първа година от изпълнението (например: 2021). Същото за следващите години.</w:t>
      </w:r>
    </w:p>
  </w:footnote>
  <w:footnote w:id="17">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484C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7"/>
  </w:num>
  <w:num w:numId="13">
    <w:abstractNumId w:val="13"/>
  </w:num>
  <w:num w:numId="14">
    <w:abstractNumId w:val="23"/>
  </w:num>
  <w:num w:numId="15">
    <w:abstractNumId w:val="2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 w:numId="32">
    <w:abstractNumId w:val="22"/>
  </w:num>
  <w:num w:numId="33">
    <w:abstractNumId w:val="14"/>
  </w:num>
  <w:num w:numId="34">
    <w:abstractNumId w:val="24"/>
  </w:num>
  <w:num w:numId="35">
    <w:abstractNumId w:val="12"/>
  </w:num>
  <w:num w:numId="36">
    <w:abstractNumId w:val="15"/>
  </w:num>
  <w:num w:numId="37">
    <w:abstractNumId w:val="10"/>
  </w:num>
  <w:num w:numId="38">
    <w:abstractNumId w:val="23"/>
  </w:num>
  <w:num w:numId="39">
    <w:abstractNumId w:val="9"/>
  </w:num>
  <w:num w:numId="40">
    <w:abstractNumId w:val="16"/>
  </w:num>
  <w:num w:numId="41">
    <w:abstractNumId w:val="20"/>
  </w:num>
  <w:num w:numId="42">
    <w:abstractNumId w:val="21"/>
  </w:num>
  <w:num w:numId="43">
    <w:abstractNumId w:val="11"/>
  </w:num>
  <w:num w:numId="44">
    <w:abstractNumId w:val="19"/>
  </w:num>
  <w:num w:numId="4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7 18:32: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8C36DAE2-AEEA-43C7-BCD7-93A054052AFA"/>
    <w:docVar w:name="LW_COVERPAGE_TYPE" w:val="1"/>
    <w:docVar w:name="LW_CROSSREFERENCE" w:val="&lt;UNUSED&gt;"/>
    <w:docVar w:name="LW_DocType" w:val="COM"/>
    <w:docVar w:name="LW_EMISSION" w:val="30.4.2020"/>
    <w:docVar w:name="LW_EMISSION_ISODATE" w:val="2020-04-3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75"/>
    <w:docVar w:name="LW_REF.II.NEW.CP_YEAR" w:val="2020"/>
    <w:docVar w:name="LW_REF.INST.NEW" w:val="COM"/>
    <w:docVar w:name="LW_REF.INST.NEW_ADOPTED" w:val="final"/>
    <w:docVar w:name="LW_REF.INST.NEW_TEXT" w:val="(2020)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5/2013 \u1087?\u1086? \u1086?\u1090?\u1085?\u1086?\u1096?\u1077?\u1085?\u1080?\u1077? \u1085?\u1072? \u1082?\u1086?\u1085?\u1082?\u1088?\u1077?\u1090?\u1085?\u1080?\u1090?\u1077? \u1084?\u1077?\u1088?\u1082?\u1080? \u1079?\u1072? \u1087?\u1088?\u1077?\u1076?\u1086?\u1089?\u1090?\u1072?\u1074?\u1103?\u1085?\u1077? \u1085?\u1072? \u1080?\u1079?\u1074?\u1098?\u1085?\u1088?\u1077?\u1076?\u1085?\u1072? \u1074?\u1088?\u1077?\u1084?\u1077?\u1085?\u1085?\u1072? \u1087?\u1086?\u1076?\u1082?\u1088?\u1077?\u1087?\u1072? \u1087?\u1086? \u1083?\u1080?\u1085?\u1080?\u1103? \u1085?\u1072? \u1045?\u1047?\u1060?\u1056?\u1057?\u1056? \u1074? \u1086?\u1090?\u1075?\u1086?\u1074?\u1086?\u1088? \u1085?\u1072? \u1088?\u1072?\u1079?\u1087?\u1088?\u1086?\u1089?\u1090?\u1088?\u1072?\u1085?\u1077?\u1085?\u1080?\u1077?\u1090?\u1086? \u1085?\u1072? COVID-1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239412536">
      <w:bodyDiv w:val="1"/>
      <w:marLeft w:val="0"/>
      <w:marRight w:val="0"/>
      <w:marTop w:val="0"/>
      <w:marBottom w:val="0"/>
      <w:divBdr>
        <w:top w:val="none" w:sz="0" w:space="0" w:color="auto"/>
        <w:left w:val="none" w:sz="0" w:space="0" w:color="auto"/>
        <w:bottom w:val="none" w:sz="0" w:space="0" w:color="auto"/>
        <w:right w:val="none" w:sz="0" w:space="0" w:color="auto"/>
      </w:divBdr>
      <w:divsChild>
        <w:div w:id="48304366">
          <w:marLeft w:val="0"/>
          <w:marRight w:val="0"/>
          <w:marTop w:val="0"/>
          <w:marBottom w:val="0"/>
          <w:divBdr>
            <w:top w:val="none" w:sz="0" w:space="0" w:color="auto"/>
            <w:left w:val="none" w:sz="0" w:space="0" w:color="auto"/>
            <w:bottom w:val="none" w:sz="0" w:space="0" w:color="auto"/>
            <w:right w:val="none" w:sz="0" w:space="0" w:color="auto"/>
          </w:divBdr>
          <w:divsChild>
            <w:div w:id="517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759641325">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403678544">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leg/internal/Documents/2016-5-legislative-financial-statement-ann-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3.xml><?xml version="1.0" encoding="utf-8"?>
<ds:datastoreItem xmlns:ds="http://schemas.openxmlformats.org/officeDocument/2006/customXml" ds:itemID="{05716F78-C311-4872-8C4A-C603A696F179}">
  <ds:schemaRefs>
    <ds:schemaRef ds:uri="http://schemas.microsoft.com/office/2006/documentManagement/types"/>
    <ds:schemaRef ds:uri="62e97ea9-7ea3-481f-81a3-2d45a5a9b393"/>
    <ds:schemaRef ds:uri="http://schemas.microsoft.com/sharepoint/v3/field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D491DC6-9EE8-4A9B-952A-08B72432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22</Pages>
  <Words>4301</Words>
  <Characters>25423</Characters>
  <Application>Microsoft Office Word</Application>
  <DocSecurity>0</DocSecurity>
  <Lines>1412</Lines>
  <Paragraphs>530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2020-05-07T12:26:00Z</dcterms:created>
  <dcterms:modified xsi:type="dcterms:W3CDTF">2020-05-07T16:32:00Z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DQCStatus">
    <vt:lpwstr>Green (DQC version 03)</vt:lpwstr>
  </property>
</Properties>
</file>