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E25E95F-C266-49E5-A294-E05D4BECA5FA"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b/>
          <w:noProof/>
        </w:rPr>
      </w:pPr>
      <w:r>
        <w:rPr>
          <w:noProof/>
        </w:rPr>
        <w:t>L’objectif de la proposition est d’adapter le montant des ressources disponibles pour la cohésion économique, sociale et territoriale visé à l’article 91, paragraphe 1, du règlement (UE) nº 1303/2013</w:t>
      </w:r>
      <w:r>
        <w:rPr>
          <w:rStyle w:val="FootnoteReference"/>
          <w:noProof/>
        </w:rPr>
        <w:footnoteReference w:id="1"/>
      </w:r>
      <w:r>
        <w:rPr>
          <w:noProof/>
        </w:rPr>
        <w:t xml:space="preserve"> et le montant des ressources affectées à la dotation spécifique allouée à l’initiative pour l’emploi des jeunes («IEJ») visé à l’article 92, paragraphe 5, dudit règlement, ainsi que la ventilation annuelle des crédits d’engagement, figurant à l’annexe VI dudit règlement, pour tenir compte de l’augmentation des ressources de la dotation spécifique allouée à l’IEJ. Plus spécifiquement, conformément au budget adopté pour 2020, les crédits d’engagement pour la dotation spécifique allouée à l’IEJ pour 2020 devraient être augmentés d’un montant de 28 333 334 EUR en prix courants, ce qui porte le montant total pour 2020 à 145 millions EUR. </w:t>
      </w:r>
    </w:p>
    <w:p>
      <w:pPr>
        <w:rPr>
          <w:b/>
          <w:noProof/>
        </w:rPr>
      </w:pPr>
      <w:r>
        <w:rPr>
          <w:noProof/>
        </w:rPr>
        <w:t xml:space="preserve">En outre, la proposition précise que les dispositions pertinentes qui ont été introduites afin de faciliter la programmation des ressources supplémentaires allouées à l’IEJ en 2019 s’appliqueront également aux ressources supplémentaires allouées à l’IEJ en 2020.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résulte du budget de l'Union pour 2020.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proposition est cohérente avec les autres propositions et initiatives adoptées par la Commission européenne.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 xml:space="preserve">Le réexamen reflète l’augmentation des ressources affectées à la dotation spécifique allouée à l’initiative pour l’emploi des jeunes (IEJ) opérée dans le budget de l’Union pour 2020.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proposition est conforme au principe de subsidiarité.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 xml:space="preserve">La proposition est proportionnée. Elle inclut les ajustements techniques nécessaires à la suite de l’adoption du budget 2020 qui augmente les ressources de la dotation spécifique allouée à l’IEJ.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Instrument proposé: modification du règlement actuel.</w:t>
      </w:r>
    </w:p>
    <w:p>
      <w:pPr>
        <w:pBdr>
          <w:top w:val="nil"/>
          <w:left w:val="nil"/>
          <w:bottom w:val="nil"/>
          <w:right w:val="nil"/>
          <w:between w:val="nil"/>
          <w:bar w:val="nil"/>
        </w:pBdr>
        <w:spacing w:before="0" w:after="240"/>
        <w:rPr>
          <w:rFonts w:eastAsia="Arial Unicode MS"/>
          <w:noProof/>
        </w:rPr>
      </w:pPr>
      <w:r>
        <w:rPr>
          <w:noProof/>
        </w:rPr>
        <w:t>La Commission a examiné la marge de manœuvre offerte par le cadre juridique et estime nécessaire de proposer des modifications du règlement (UE) nº 1303/2013.</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Compte tenu des circonstances particulières de la proposition, la législation existante n'a fait l'objet ni d'une évaluation ex post ni d'un bilan de qualité.</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Compte tenu des circonstances particulières de la présente proposition, les parties prenantes externes n’ont pas été consultées.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Le recours à une expertise externe n’a pas été nécessaire.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rPr>
      </w:pPr>
      <w:r>
        <w:rPr>
          <w:noProof/>
        </w:rPr>
        <w:t>Il ne s'agit pas d'une initiative relevant du programme pour une réglementation affûtée et performante (REFIT).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Les crédits d’engagement pour 2020 de la dotation spécifique allouée à l’IEJ devraient être augmentés de 28 333 334 EUR pour atteindre le montant de 145 millions EUR en prix courants. </w:t>
      </w:r>
    </w:p>
    <w:p>
      <w:pPr>
        <w:pBdr>
          <w:top w:val="nil"/>
          <w:left w:val="nil"/>
          <w:bottom w:val="nil"/>
          <w:right w:val="nil"/>
          <w:between w:val="nil"/>
          <w:bar w:val="nil"/>
        </w:pBdr>
        <w:spacing w:before="0" w:after="240"/>
        <w:rPr>
          <w:noProof/>
        </w:rPr>
      </w:pPr>
      <w:r>
        <w:rPr>
          <w:noProof/>
        </w:rPr>
        <w:t>La modification proposée devrait entraîner des paiements supplémentaires de 3 millions EUR en 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rPr>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L’objectif de la proposition est d’adapter les montants des ressources disponibles pour la cohésion économique, sociale et territoriale et pour la dotation spécifique allouée à l’IEJ, visés respectivement à l’article 91, paragraphe 1, et à l’article 92, paragraphe 5, du règlement (UE) nº 1303/2013, ainsi que la ventilation annuelle des crédits d’engagement figurant à l’annexe VI dudit règlement afin de prendre en compte les ressources supplémentaires affectées à la dotation spécifique allouée à l’IEJ. Par conséquent, conformément au budget adopté pour 2020, les crédits d’engagement pour la dotation spécifique allouée à l’IEJ devraient être augmentés d’un montant de 28 333 334 EUR en prix courants, ce qui porte le montant total pour 2020 à 145 millions EUR en prix courants. </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 1303/2013 en ce qui concerne les ressources affectées à la dotation spécifique allouée à l'initiative pour l'emploi des jeunes</w:t>
      </w:r>
    </w:p>
    <w:p>
      <w:pPr>
        <w:pStyle w:val="Institutionquiagit"/>
        <w:rPr>
          <w:noProof/>
          <w:szCs w:val="24"/>
        </w:rPr>
      </w:pPr>
      <w:r>
        <w:rPr>
          <w:noProof/>
        </w:rPr>
        <w:t>LE PARLEMENT EUROPÉEN ET LE CONSEIL DE L’UNION EUROPÉENNE,</w:t>
      </w:r>
    </w:p>
    <w:p>
      <w:pPr>
        <w:rPr>
          <w:noProof/>
          <w:szCs w:val="24"/>
        </w:rPr>
      </w:pPr>
      <w:r>
        <w:rPr>
          <w:noProof/>
        </w:rPr>
        <w:t xml:space="preserve">vu le traité sur le fonctionnement de l'Union européenne, et notamment son article 177, </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noProof/>
          <w:szCs w:val="24"/>
        </w:rPr>
      </w:pPr>
      <w:r>
        <w:rPr>
          <w:noProof/>
        </w:rPr>
        <w:t>vu l’avis du Comité économique et social européen</w:t>
      </w:r>
      <w:r>
        <w:rPr>
          <w:rStyle w:val="FootnoteReference"/>
          <w:noProof/>
          <w:szCs w:val="24"/>
        </w:rPr>
        <w:footnoteReference w:id="2"/>
      </w:r>
      <w:r>
        <w:rPr>
          <w:noProof/>
        </w:rPr>
        <w:t>,</w:t>
      </w:r>
    </w:p>
    <w:p>
      <w:pPr>
        <w:rPr>
          <w:noProof/>
          <w:szCs w:val="24"/>
        </w:rPr>
      </w:pPr>
      <w:r>
        <w:rPr>
          <w:noProof/>
        </w:rPr>
        <w:t>vu l’avis du Comité des régions</w:t>
      </w:r>
      <w:r>
        <w:rPr>
          <w:rStyle w:val="FootnoteReference"/>
          <w:noProof/>
          <w:szCs w:val="24"/>
        </w:rPr>
        <w:footnoteReference w:id="3"/>
      </w:r>
      <w:r>
        <w:rPr>
          <w:noProof/>
        </w:rPr>
        <w:t xml:space="preserve">, </w:t>
      </w:r>
    </w:p>
    <w:p>
      <w:pPr>
        <w:rPr>
          <w:noProof/>
          <w:szCs w:val="24"/>
        </w:rPr>
      </w:pPr>
      <w:r>
        <w:rPr>
          <w:noProof/>
        </w:rPr>
        <w:t>statuant conformément à la procédure législative ordinaire,</w:t>
      </w:r>
    </w:p>
    <w:p>
      <w:pPr>
        <w:rPr>
          <w:noProof/>
          <w:szCs w:val="24"/>
        </w:rPr>
      </w:pPr>
      <w:r>
        <w:rPr>
          <w:noProof/>
        </w:rPr>
        <w:t>considérant ce qui suit:</w:t>
      </w:r>
    </w:p>
    <w:p>
      <w:pPr>
        <w:pStyle w:val="ManualConsidrant"/>
        <w:rPr>
          <w:noProof/>
          <w:szCs w:val="24"/>
        </w:rPr>
      </w:pPr>
      <w:r>
        <w:t>(1)</w:t>
      </w:r>
      <w:r>
        <w:tab/>
      </w:r>
      <w:r>
        <w:rPr>
          <w:noProof/>
        </w:rPr>
        <w:t>Le règlement (UE) n° 1303/2013 du Parlement européen et du Conseil</w:t>
      </w:r>
      <w:r>
        <w:rPr>
          <w:rStyle w:val="FootnoteReference"/>
          <w:noProof/>
          <w:szCs w:val="24"/>
        </w:rPr>
        <w:footnoteReference w:id="4"/>
      </w:r>
      <w:r>
        <w:rPr>
          <w:noProof/>
        </w:rPr>
        <w:t xml:space="preserve"> arrête les règles communes et les règles générales applicables aux Fonds structurels et d'investissement européens. </w:t>
      </w:r>
    </w:p>
    <w:p>
      <w:pPr>
        <w:pStyle w:val="ManualConsidrant"/>
        <w:rPr>
          <w:noProof/>
          <w:szCs w:val="24"/>
        </w:rPr>
      </w:pPr>
      <w:r>
        <w:t>(2)</w:t>
      </w:r>
      <w:r>
        <w:tab/>
      </w:r>
      <w:r>
        <w:rPr>
          <w:noProof/>
        </w:rPr>
        <w:t>Le budget général de l’Union pour l’exercice 2020</w:t>
      </w:r>
      <w:r>
        <w:rPr>
          <w:rStyle w:val="FootnoteReference"/>
          <w:noProof/>
        </w:rPr>
        <w:footnoteReference w:id="5"/>
      </w:r>
      <w:r>
        <w:rPr>
          <w:noProof/>
        </w:rPr>
        <w:t xml:space="preserve"> a modifié le montant total des ressources affectées à l’initiative pour l’emploi des jeunes («IEJ») en augmentant de 28 333 334 EUR en prix courants les crédits d’engagement pour la dotation spécifique allouée à l’IEJ en 2020 et en portant à 4 556 215 406 EUR en prix courants le montant total des crédits d’engagement pour la dotation spécifique allouée à l’IEJ pour l’ensemble de la période de programmation. </w:t>
      </w:r>
    </w:p>
    <w:p>
      <w:pPr>
        <w:pStyle w:val="ManualConsidrant"/>
        <w:rPr>
          <w:noProof/>
          <w:szCs w:val="24"/>
        </w:rPr>
      </w:pPr>
      <w:r>
        <w:t>(3)</w:t>
      </w:r>
      <w:r>
        <w:tab/>
      </w:r>
      <w:r>
        <w:rPr>
          <w:noProof/>
        </w:rPr>
        <w:t>Pour 2020, les ressources supplémentaires de 23,7 millions EUR exprimées aux prix de 2011 sont financées par la marge globale pour les engagements dans les limites de la marge du cadre financier pluriannuel pour la période 2014-2020.</w:t>
      </w:r>
    </w:p>
    <w:p>
      <w:pPr>
        <w:pStyle w:val="ManualConsidrant"/>
        <w:rPr>
          <w:noProof/>
          <w:szCs w:val="24"/>
        </w:rPr>
      </w:pPr>
      <w:r>
        <w:t>(4)</w:t>
      </w:r>
      <w:r>
        <w:tab/>
      </w:r>
      <w:r>
        <w:rPr>
          <w:noProof/>
        </w:rPr>
        <w:t xml:space="preserve">Étant donné qu’il est urgent de modifier les programmes de soutien à l’IEJ afin d’inclure les ressources supplémentaires affectées à la dotation spécifique allouée à l’IEJ avant la fin de 2020, il convient que le présent règlement entre en vigueur le jour suivant celui de sa publication au </w:t>
      </w:r>
      <w:r>
        <w:rPr>
          <w:i/>
          <w:noProof/>
          <w:szCs w:val="24"/>
        </w:rPr>
        <w:t>Journal officiel de l’Union européenne</w:t>
      </w:r>
      <w:r>
        <w:rPr>
          <w:noProof/>
        </w:rPr>
        <w:t>.</w:t>
      </w:r>
    </w:p>
    <w:p>
      <w:pPr>
        <w:pStyle w:val="ManualConsidrant"/>
        <w:rPr>
          <w:noProof/>
          <w:szCs w:val="24"/>
        </w:rPr>
      </w:pPr>
      <w:r>
        <w:t>(5)</w:t>
      </w:r>
      <w:r>
        <w:tab/>
      </w:r>
      <w:r>
        <w:rPr>
          <w:noProof/>
        </w:rPr>
        <w:t>Il convient, dès lors, de modifier le règlement (UE) n° 1303/2013 en conséquence,</w:t>
      </w:r>
    </w:p>
    <w:p>
      <w:pPr>
        <w:pStyle w:val="Formuledadoption"/>
        <w:rPr>
          <w:noProof/>
        </w:rPr>
      </w:pPr>
      <w:r>
        <w:rPr>
          <w:noProof/>
        </w:rPr>
        <w:lastRenderedPageBreak/>
        <w:t>ONT ADOPTÉ LE PRÉSENT RÈGLEMENT:</w:t>
      </w:r>
    </w:p>
    <w:p>
      <w:pPr>
        <w:pStyle w:val="Titrearticle"/>
        <w:rPr>
          <w:noProof/>
        </w:rPr>
      </w:pPr>
      <w:r>
        <w:rPr>
          <w:noProof/>
        </w:rPr>
        <w:t>Article premier</w:t>
      </w:r>
    </w:p>
    <w:p>
      <w:pPr>
        <w:rPr>
          <w:noProof/>
        </w:rPr>
      </w:pPr>
      <w:r>
        <w:rPr>
          <w:noProof/>
        </w:rPr>
        <w:t>Le règlement (UE) n° 1303/2013 est modifié comme suit:</w:t>
      </w:r>
    </w:p>
    <w:p>
      <w:pPr>
        <w:pStyle w:val="Point0"/>
        <w:rPr>
          <w:noProof/>
        </w:rPr>
      </w:pPr>
      <w:r>
        <w:t>(1)</w:t>
      </w:r>
      <w:r>
        <w:tab/>
      </w:r>
      <w:r>
        <w:rPr>
          <w:noProof/>
        </w:rPr>
        <w:t>À l'article 91, le paragraphe 1 est remplacé par le texte suivant:</w:t>
      </w:r>
    </w:p>
    <w:p>
      <w:pPr>
        <w:pStyle w:val="Text1"/>
        <w:rPr>
          <w:noProof/>
        </w:rPr>
      </w:pPr>
      <w:r>
        <w:rPr>
          <w:noProof/>
        </w:rPr>
        <w:t>«1. Les ressources affectées à la cohésion économique, sociale et territoriale disponibles pour les engagements budgétaires pour la période 2014-2020, exprimées aux prix de 2011, s'élèvent à 330 105 627 309 EUR, conformément à la ventilation annuelle présentée à l'annexe VI, dont 325 938 694 233 EUR représentent les ressources globales allouées au FEDER, au FSE et au Fonds de cohésion et 4 166 933 076 EUR représentent une dotation spécifique allouée à l'IEJ. Aux fins de la programmation et de l'inscription ultérieure au budget général de l'Union, le montant des ressources affectées à la cohésion économique, sociale et territoriale est indexé de 2 % par an.»;</w:t>
      </w:r>
    </w:p>
    <w:p>
      <w:pPr>
        <w:pStyle w:val="Point0"/>
        <w:rPr>
          <w:noProof/>
        </w:rPr>
      </w:pPr>
      <w:r>
        <w:t>(2)</w:t>
      </w:r>
      <w:r>
        <w:tab/>
      </w:r>
      <w:r>
        <w:rPr>
          <w:noProof/>
        </w:rPr>
        <w:t>À l'article 92, le paragraphe 5 est remplacé par le texte suivant:</w:t>
      </w:r>
    </w:p>
    <w:p>
      <w:pPr>
        <w:pStyle w:val="Text1"/>
        <w:rPr>
          <w:noProof/>
        </w:rPr>
      </w:pPr>
      <w:r>
        <w:rPr>
          <w:noProof/>
        </w:rPr>
        <w:t>«5. Les ressources affectées à l’IEJ s’élèvent à 4 166 933 076 EUR , dont 23,7 millions EUR constituent les ressources supplémentaires pour 2020. Elles sont complétées par un investissement ciblé du FSE, conformément à l’article 22 du règlement (UE) n° 1304/2013.</w:t>
      </w:r>
    </w:p>
    <w:p>
      <w:pPr>
        <w:pStyle w:val="Text1"/>
        <w:rPr>
          <w:noProof/>
        </w:rPr>
      </w:pPr>
      <w:r>
        <w:rPr>
          <w:noProof/>
        </w:rPr>
        <w:t>Les États membres qui bénéficient des ressources supplémentaires au titre de la dotation spécifique allouée à l’IEJ peuvent demander le transfert, jusqu’à concurrence de 50 %, de ces ressources vers le FSE afin de constituer le montant d'investissement équivalent ciblé, conformément à l’article 22, paragraphe 1, du règlement (UE) n° 1304/2013. Ce transfert est effectué au profit des différentes catégories de régions correspondant à la qualification des régions éligibles aux fins de l'augmentation de la dotation spécifique allouée à l'IEJ. Les États membres demandent le transfert dans les demandes de modification de programmes, conformément à l'article 30, paragraphe 1, du présent règlement. Les ressources allouées aux années précédentes ne peuvent pas être transférées.</w:t>
      </w:r>
    </w:p>
    <w:p>
      <w:pPr>
        <w:pStyle w:val="Text1"/>
        <w:rPr>
          <w:noProof/>
        </w:rPr>
      </w:pPr>
      <w:r>
        <w:rPr>
          <w:noProof/>
        </w:rPr>
        <w:t>Le deuxième alinéa s’applique à l'ensemble des ressources supplémentaires affectées à la dotation spécifique allouée à l’IEJ en 2019 et en 2020»;</w:t>
      </w:r>
    </w:p>
    <w:p>
      <w:pPr>
        <w:pStyle w:val="Point0"/>
        <w:rPr>
          <w:noProof/>
        </w:rPr>
      </w:pPr>
      <w:r>
        <w:t>(3)</w:t>
      </w:r>
      <w:r>
        <w:tab/>
      </w:r>
      <w:r>
        <w:rPr>
          <w:noProof/>
        </w:rPr>
        <w:t>L'annexe VI est remplacée par le texte figurant dans l'annexe du présent règlement.</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n° 1303/2013 en ce qui concerne les ressources affectées à la dotation spécifique allouée à l’initiative pour l’emploi des jeunes</w:t>
      </w:r>
    </w:p>
    <w:p>
      <w:pPr>
        <w:pStyle w:val="ManualHeading2"/>
        <w:rPr>
          <w:noProof/>
          <w:szCs w:val="24"/>
        </w:rPr>
      </w:pPr>
      <w:r>
        <w:rPr>
          <w:noProof/>
        </w:rPr>
        <w:t>1.2.</w:t>
      </w:r>
      <w:r>
        <w:rPr>
          <w:noProof/>
        </w:rPr>
        <w:tab/>
        <w:t>Domaine(s) politique(s) concerné(s) dans la structure ABM/ABB</w:t>
      </w:r>
      <w:r>
        <w:rPr>
          <w:rStyle w:val="FootnoteReference"/>
          <w:bCs/>
          <w:noProof/>
        </w:rPr>
        <w:footnoteReference w:id="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Emploi, affaires sociales et inclusion</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64 – Initiative pour l’emploi des jeunes (IEJ)</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7"/>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w:t>
      </w:r>
      <w:r>
        <w:rPr>
          <w:b/>
          <w:noProof/>
        </w:rPr>
        <w:t xml:space="preserve">à durée limitée </w:t>
      </w:r>
    </w:p>
    <w:p>
      <w:pPr>
        <w:pStyle w:val="ListDash2"/>
        <w:rPr>
          <w:noProof/>
        </w:rPr>
      </w:pPr>
      <w:r>
        <w:rPr>
          <w:noProof/>
        </w:rPr>
        <w:sym w:font="Wingdings" w:char="F078"/>
      </w:r>
      <w:r>
        <w:rPr>
          <w:noProof/>
        </w:rPr>
        <w:tab/>
        <w:t>Proposition/initiative en vigueur du 1</w:t>
      </w:r>
      <w:r>
        <w:rPr>
          <w:noProof/>
          <w:vertAlign w:val="superscript"/>
        </w:rPr>
        <w:t>er</w:t>
      </w:r>
      <w:r>
        <w:rPr>
          <w:noProof/>
        </w:rPr>
        <w:t xml:space="preserve"> janvier 2017 au 31 décembre 2023</w:t>
      </w:r>
    </w:p>
    <w:p>
      <w:pPr>
        <w:pStyle w:val="ListDash2"/>
        <w:rPr>
          <w:noProof/>
        </w:rPr>
      </w:pPr>
      <w:r>
        <w:rPr>
          <w:noProof/>
        </w:rPr>
        <w:sym w:font="Wingdings" w:char="F078"/>
      </w:r>
      <w:r>
        <w:rPr>
          <w:noProof/>
        </w:rPr>
        <w:tab/>
        <w:t>Incidence financière de 2017 à 2020</w:t>
      </w:r>
    </w:p>
    <w:p>
      <w:pPr>
        <w:pStyle w:val="Text1"/>
        <w:rPr>
          <w:noProof/>
        </w:rPr>
      </w:pPr>
      <w:r>
        <w:rPr>
          <w:noProof/>
        </w:rPr>
        <w:sym w:font="Wingdings" w:char="F0A8"/>
      </w:r>
      <w:r>
        <w:rPr>
          <w:b/>
          <w:i/>
          <w:noProof/>
        </w:rPr>
        <w:t xml:space="preserve"> </w:t>
      </w:r>
      <w:r>
        <w:rPr>
          <w:noProof/>
        </w:rPr>
        <w:t xml:space="preserve">Proposition/initiative </w:t>
      </w:r>
      <w:r>
        <w:rPr>
          <w:b/>
          <w:noProof/>
        </w:rPr>
        <w:t>à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bCs/>
          <w:noProof/>
        </w:rPr>
        <w:footnoteReference w:id="8"/>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 xml:space="preserve"> par les agences exécutives </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Sans objet</w:t>
      </w: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rPr>
              <w:t>Nature de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 [Libellé……………………………………]</w:t>
            </w:r>
          </w:p>
        </w:tc>
        <w:tc>
          <w:tcPr>
            <w:tcW w:w="1080" w:type="dxa"/>
            <w:vAlign w:val="center"/>
          </w:tcPr>
          <w:p>
            <w:pPr>
              <w:jc w:val="center"/>
              <w:rPr>
                <w:noProof/>
              </w:rPr>
            </w:pPr>
            <w:r>
              <w:rPr>
                <w:noProof/>
              </w:rPr>
              <w:t>CD/CND</w:t>
            </w:r>
            <w:r>
              <w:rPr>
                <w:rStyle w:val="FootnoteReference"/>
                <w:noProof/>
              </w:rPr>
              <w:footnoteReference w:id="9"/>
            </w:r>
          </w:p>
        </w:tc>
        <w:tc>
          <w:tcPr>
            <w:tcW w:w="956" w:type="dxa"/>
            <w:vAlign w:val="center"/>
          </w:tcPr>
          <w:p>
            <w:pPr>
              <w:jc w:val="center"/>
              <w:rPr>
                <w:noProof/>
              </w:rPr>
            </w:pPr>
            <w:r>
              <w:rPr>
                <w:noProof/>
                <w:sz w:val="18"/>
              </w:rPr>
              <w:t>de pays AELE</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shd w:val="clear" w:color="auto" w:fill="auto"/>
            <w:vAlign w:val="center"/>
          </w:tcPr>
          <w:p>
            <w:pPr>
              <w:jc w:val="center"/>
              <w:rPr>
                <w:noProof/>
                <w:color w:val="0000FF"/>
              </w:rPr>
            </w:pPr>
            <w:r>
              <w:rPr>
                <w:noProof/>
              </w:rPr>
              <w:t>1 Croissance intelligente et inclusive</w:t>
            </w:r>
          </w:p>
        </w:tc>
        <w:tc>
          <w:tcPr>
            <w:tcW w:w="3960" w:type="dxa"/>
            <w:vAlign w:val="center"/>
          </w:tcPr>
          <w:p>
            <w:pPr>
              <w:spacing w:after="60"/>
              <w:rPr>
                <w:noProof/>
              </w:rPr>
            </w:pPr>
            <w:r>
              <w:rPr>
                <w:noProof/>
              </w:rPr>
              <w:t>04 02 60 – Fonds social européen – Régions moins développées – Objectif «Investissement pour la croissance et l’emploi»</w:t>
            </w:r>
          </w:p>
          <w:p>
            <w:pPr>
              <w:spacing w:after="60"/>
              <w:rPr>
                <w:noProof/>
              </w:rPr>
            </w:pPr>
          </w:p>
          <w:p>
            <w:pPr>
              <w:spacing w:after="60"/>
              <w:rPr>
                <w:noProof/>
              </w:rPr>
            </w:pPr>
            <w:r>
              <w:rPr>
                <w:noProof/>
              </w:rPr>
              <w:t>04 02 61 – Fonds social européen – Régions en transition – Objectif «Investissement pour la croissance et l’emploi»</w:t>
            </w:r>
          </w:p>
          <w:p>
            <w:pPr>
              <w:spacing w:after="60"/>
              <w:rPr>
                <w:noProof/>
              </w:rPr>
            </w:pPr>
          </w:p>
          <w:p>
            <w:pPr>
              <w:spacing w:after="60"/>
              <w:rPr>
                <w:noProof/>
              </w:rPr>
            </w:pPr>
            <w:r>
              <w:rPr>
                <w:noProof/>
              </w:rPr>
              <w:t>04 02 62 – Fonds social européen – Régions plus développées – Objectif «Investissement pour la croissance et l’emploi»</w:t>
            </w:r>
          </w:p>
          <w:p>
            <w:pPr>
              <w:spacing w:after="60"/>
              <w:rPr>
                <w:noProof/>
              </w:rPr>
            </w:pPr>
          </w:p>
          <w:p>
            <w:pPr>
              <w:spacing w:after="60"/>
              <w:rPr>
                <w:noProof/>
              </w:rPr>
            </w:pPr>
            <w:r>
              <w:rPr>
                <w:noProof/>
              </w:rPr>
              <w:t>04 02 64 – Initiative pour l’emploi des jeunes (IEJ)</w:t>
            </w:r>
          </w:p>
          <w:p>
            <w:pPr>
              <w:spacing w:after="60"/>
              <w:rPr>
                <w:noProof/>
              </w:rPr>
            </w:pPr>
          </w:p>
          <w:p>
            <w:pPr>
              <w:spacing w:after="60"/>
              <w:rPr>
                <w:noProof/>
              </w:rPr>
            </w:pPr>
          </w:p>
          <w:p>
            <w:pPr>
              <w:spacing w:after="60"/>
              <w:rPr>
                <w:noProof/>
              </w:rPr>
            </w:pPr>
          </w:p>
          <w:p>
            <w:pPr>
              <w:spacing w:after="60"/>
              <w:rPr>
                <w:noProof/>
              </w:rPr>
            </w:pPr>
          </w:p>
          <w:p>
            <w:pPr>
              <w:spacing w:after="60"/>
              <w:rPr>
                <w:noProof/>
              </w:rPr>
            </w:pPr>
          </w:p>
        </w:tc>
        <w:tc>
          <w:tcPr>
            <w:tcW w:w="1080" w:type="dxa"/>
            <w:vAlign w:val="center"/>
          </w:tcPr>
          <w:p>
            <w:pPr>
              <w:jc w:val="center"/>
              <w:rPr>
                <w:noProof/>
                <w:color w:val="0000FF"/>
              </w:rPr>
            </w:pPr>
            <w:r>
              <w:rPr>
                <w:noProof/>
              </w:rPr>
              <w:t>Différence</w:t>
            </w:r>
          </w:p>
        </w:tc>
        <w:tc>
          <w:tcPr>
            <w:tcW w:w="956" w:type="dxa"/>
            <w:vAlign w:val="center"/>
          </w:tcPr>
          <w:p>
            <w:pPr>
              <w:jc w:val="center"/>
              <w:rPr>
                <w:noProof/>
              </w:rPr>
            </w:pPr>
            <w:r>
              <w:rPr>
                <w:noProof/>
              </w:rPr>
              <w:t>NON</w:t>
            </w:r>
          </w:p>
        </w:tc>
        <w:tc>
          <w:tcPr>
            <w:tcW w:w="1080" w:type="dxa"/>
            <w:vAlign w:val="center"/>
          </w:tcPr>
          <w:p>
            <w:pPr>
              <w:jc w:val="center"/>
              <w:rPr>
                <w:noProof/>
              </w:rPr>
            </w:pPr>
            <w:r>
              <w:rPr>
                <w:noProof/>
              </w:rPr>
              <w:t>NON</w:t>
            </w:r>
          </w:p>
        </w:tc>
        <w:tc>
          <w:tcPr>
            <w:tcW w:w="956" w:type="dxa"/>
            <w:vAlign w:val="center"/>
          </w:tcPr>
          <w:p>
            <w:pPr>
              <w:jc w:val="center"/>
              <w:rPr>
                <w:noProof/>
              </w:rPr>
            </w:pPr>
            <w:r>
              <w:rPr>
                <w:noProof/>
              </w:rPr>
              <w:t>NON</w:t>
            </w:r>
          </w:p>
        </w:tc>
        <w:tc>
          <w:tcPr>
            <w:tcW w:w="1448" w:type="dxa"/>
            <w:vAlign w:val="center"/>
          </w:tcPr>
          <w:p>
            <w:pPr>
              <w:jc w:val="center"/>
              <w:rPr>
                <w:noProof/>
              </w:rPr>
            </w:pPr>
            <w:r>
              <w:rPr>
                <w:noProof/>
              </w:rPr>
              <w:t>NON</w:t>
            </w:r>
          </w:p>
        </w:tc>
      </w:tr>
    </w:tbl>
    <w:p>
      <w:pPr>
        <w:rPr>
          <w:noProof/>
        </w:rPr>
      </w:pPr>
    </w:p>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Numéro</w:t>
            </w:r>
            <w:r>
              <w:rPr>
                <w:noProof/>
              </w:rPr>
              <w:t xml:space="preserve"> </w:t>
            </w:r>
            <w:r>
              <w:rPr>
                <w:noProof/>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OUI/NON</w:t>
            </w:r>
          </w:p>
        </w:tc>
        <w:tc>
          <w:tcPr>
            <w:tcW w:w="1080" w:type="dxa"/>
            <w:vAlign w:val="center"/>
          </w:tcPr>
          <w:p>
            <w:pPr>
              <w:jc w:val="center"/>
              <w:rPr>
                <w:noProof/>
                <w:color w:val="0000FF"/>
                <w:sz w:val="18"/>
              </w:rPr>
            </w:pPr>
            <w:r>
              <w:rPr>
                <w:noProof/>
              </w:rPr>
              <w:t>OUI/NON</w:t>
            </w:r>
          </w:p>
        </w:tc>
        <w:tc>
          <w:tcPr>
            <w:tcW w:w="956" w:type="dxa"/>
            <w:vAlign w:val="center"/>
          </w:tcPr>
          <w:p>
            <w:pPr>
              <w:jc w:val="center"/>
              <w:rPr>
                <w:noProof/>
                <w:color w:val="0000FF"/>
                <w:sz w:val="18"/>
              </w:rPr>
            </w:pPr>
            <w:r>
              <w:rPr>
                <w:noProof/>
              </w:rPr>
              <w:t>OUI/NON</w:t>
            </w:r>
          </w:p>
        </w:tc>
        <w:tc>
          <w:tcPr>
            <w:tcW w:w="1448" w:type="dxa"/>
            <w:vAlign w:val="center"/>
          </w:tcPr>
          <w:p>
            <w:pPr>
              <w:jc w:val="center"/>
              <w:rPr>
                <w:noProof/>
              </w:rPr>
            </w:pPr>
            <w:r>
              <w:rPr>
                <w:noProof/>
              </w:rPr>
              <w:t>OUI/NON</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Bdr>
          <w:top w:val="nil"/>
          <w:left w:val="nil"/>
          <w:bottom w:val="nil"/>
          <w:right w:val="nil"/>
          <w:between w:val="nil"/>
          <w:bar w:val="nil"/>
        </w:pBdr>
        <w:spacing w:before="0" w:after="240"/>
        <w:rPr>
          <w:noProof/>
        </w:rPr>
      </w:pPr>
      <w:r>
        <w:rPr>
          <w:noProof/>
        </w:rPr>
        <w:t>Les crédits d’engagement affectés à la dotation spécifique allouée à l’IEJ pour 2020 devraient être augmentés de 28 333 334 EUR</w:t>
      </w:r>
      <w:r>
        <w:rPr>
          <w:rStyle w:val="FootnoteReference"/>
          <w:noProof/>
        </w:rPr>
        <w:footnoteReference w:id="12"/>
      </w:r>
      <w:r>
        <w:rPr>
          <w:noProof/>
        </w:rPr>
        <w:t xml:space="preserve"> à prix courants. La modification proposée devrait entraîner des paiements supplémentaires de 3 millions EUR en 2020.</w:t>
      </w:r>
    </w:p>
    <w:p>
      <w:pPr>
        <w:pStyle w:val="ManualHeading3"/>
        <w:rPr>
          <w:noProof/>
          <w:u w:val="single"/>
        </w:rPr>
      </w:pPr>
      <w:r>
        <w:rPr>
          <w:noProof/>
        </w:rPr>
        <w:t>3.2.1.</w:t>
      </w:r>
      <w:r>
        <w:rPr>
          <w:noProof/>
        </w:rPr>
        <w:tab/>
        <w:t xml:space="preserve">Synthèse de l'incidence estimée sur les dépenses </w:t>
      </w:r>
    </w:p>
    <w:p>
      <w:pPr>
        <w:spacing w:before="0" w:after="200" w:line="276" w:lineRule="auto"/>
        <w:jc w:val="left"/>
        <w:rPr>
          <w:noProof/>
          <w:sz w:val="20"/>
        </w:rPr>
      </w:pPr>
      <w:r>
        <w:rPr>
          <w:noProof/>
        </w:rPr>
        <w:br w:type="page"/>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 xml:space="preserve">Rubrique du cadre financier pluriannuel </w:t>
            </w:r>
          </w:p>
        </w:tc>
        <w:tc>
          <w:tcPr>
            <w:tcW w:w="1080" w:type="dxa"/>
            <w:vAlign w:val="center"/>
          </w:tcPr>
          <w:p>
            <w:pPr>
              <w:spacing w:before="60" w:after="60"/>
              <w:jc w:val="center"/>
              <w:rPr>
                <w:noProof/>
              </w:rPr>
            </w:pPr>
            <w:r>
              <w:rPr>
                <w:noProof/>
                <w:sz w:val="22"/>
              </w:rPr>
              <w:t>Numéro</w:t>
            </w:r>
          </w:p>
          <w:p>
            <w:pPr>
              <w:spacing w:before="60" w:after="60"/>
              <w:jc w:val="center"/>
              <w:rPr>
                <w:noProof/>
              </w:rPr>
            </w:pPr>
            <w:r>
              <w:rPr>
                <w:noProof/>
                <w:sz w:val="22"/>
              </w:rPr>
              <w:t>1b</w:t>
            </w:r>
          </w:p>
        </w:tc>
        <w:tc>
          <w:tcPr>
            <w:tcW w:w="7817" w:type="dxa"/>
            <w:vAlign w:val="center"/>
          </w:tcPr>
          <w:p>
            <w:pPr>
              <w:spacing w:before="60" w:after="60"/>
              <w:rPr>
                <w:noProof/>
              </w:rPr>
            </w:pPr>
            <w:r>
              <w:rPr>
                <w:noProof/>
              </w:rPr>
              <w:t>Croissance intelligente et inclusive</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DG: </w:t>
            </w:r>
            <w:r>
              <w:rPr>
                <w:noProof/>
              </w:rPr>
              <w:t xml:space="preserve">EMPL, REGIO </w:t>
            </w:r>
          </w:p>
        </w:tc>
        <w:tc>
          <w:tcPr>
            <w:tcW w:w="3119" w:type="dxa"/>
          </w:tcPr>
          <w:p>
            <w:pPr>
              <w:rPr>
                <w:noProof/>
                <w:sz w:val="20"/>
              </w:rPr>
            </w:pPr>
          </w:p>
        </w:tc>
        <w:tc>
          <w:tcPr>
            <w:tcW w:w="425" w:type="dxa"/>
          </w:tcPr>
          <w:p>
            <w:pPr>
              <w:jc w:val="center"/>
              <w:rPr>
                <w:noProof/>
                <w:sz w:val="20"/>
              </w:rPr>
            </w:pPr>
          </w:p>
        </w:tc>
        <w:tc>
          <w:tcPr>
            <w:tcW w:w="709" w:type="dxa"/>
          </w:tcPr>
          <w:p>
            <w:pPr>
              <w:rPr>
                <w:noProof/>
              </w:rPr>
            </w:pPr>
            <w:r>
              <w:rPr>
                <w:noProof/>
              </w:rPr>
              <w:t>2014</w:t>
            </w:r>
          </w:p>
        </w:tc>
        <w:tc>
          <w:tcPr>
            <w:tcW w:w="708" w:type="dxa"/>
          </w:tcPr>
          <w:p>
            <w:pPr>
              <w:rPr>
                <w:noProof/>
              </w:rPr>
            </w:pPr>
            <w:r>
              <w:rPr>
                <w:noProof/>
              </w:rPr>
              <w:t>2015</w:t>
            </w:r>
          </w:p>
        </w:tc>
        <w:tc>
          <w:tcPr>
            <w:tcW w:w="709" w:type="dxa"/>
          </w:tcPr>
          <w:p>
            <w:pPr>
              <w:rPr>
                <w:noProof/>
              </w:rPr>
            </w:pPr>
            <w:r>
              <w:rPr>
                <w:noProof/>
              </w:rPr>
              <w:t>2016</w:t>
            </w:r>
          </w:p>
        </w:tc>
        <w:tc>
          <w:tcPr>
            <w:tcW w:w="1276" w:type="dxa"/>
          </w:tcPr>
          <w:p>
            <w:pPr>
              <w:rPr>
                <w:noProof/>
              </w:rPr>
            </w:pPr>
            <w:r>
              <w:rPr>
                <w:noProof/>
              </w:rPr>
              <w:t>2017</w:t>
            </w:r>
          </w:p>
        </w:tc>
        <w:tc>
          <w:tcPr>
            <w:tcW w:w="1276" w:type="dxa"/>
          </w:tcPr>
          <w:p>
            <w:pPr>
              <w:rPr>
                <w:noProof/>
              </w:rPr>
            </w:pPr>
            <w:r>
              <w:rPr>
                <w:noProof/>
              </w:rPr>
              <w:t>2018</w:t>
            </w:r>
          </w:p>
        </w:tc>
        <w:tc>
          <w:tcPr>
            <w:tcW w:w="1275" w:type="dxa"/>
          </w:tcPr>
          <w:p>
            <w:pPr>
              <w:rPr>
                <w:noProof/>
              </w:rPr>
            </w:pPr>
            <w:r>
              <w:rPr>
                <w:noProof/>
              </w:rPr>
              <w:t>2019</w:t>
            </w:r>
          </w:p>
        </w:tc>
        <w:tc>
          <w:tcPr>
            <w:tcW w:w="1276" w:type="dxa"/>
          </w:tcPr>
          <w:p>
            <w:pPr>
              <w:rPr>
                <w:noProof/>
              </w:rPr>
            </w:pPr>
            <w:r>
              <w:rPr>
                <w:noProof/>
              </w:rPr>
              <w:t>2020</w:t>
            </w:r>
          </w:p>
        </w:tc>
        <w:tc>
          <w:tcPr>
            <w:tcW w:w="1518" w:type="dxa"/>
            <w:vAlign w:val="center"/>
          </w:tcPr>
          <w:p>
            <w:pPr>
              <w:jc w:val="center"/>
              <w:rPr>
                <w:b/>
                <w:noProof/>
                <w:sz w:val="20"/>
              </w:rPr>
            </w:pPr>
            <w:r>
              <w:rPr>
                <w:b/>
                <w:noProof/>
                <w:sz w:val="20"/>
              </w:rPr>
              <w:t>TOTAL</w:t>
            </w:r>
          </w:p>
        </w:tc>
      </w:tr>
      <w:tr>
        <w:trPr>
          <w:trHeight w:val="213"/>
        </w:trPr>
        <w:tc>
          <w:tcPr>
            <w:tcW w:w="5747" w:type="dxa"/>
            <w:gridSpan w:val="3"/>
            <w:vAlign w:val="center"/>
          </w:tcPr>
          <w:p>
            <w:pPr>
              <w:spacing w:before="20" w:after="20"/>
              <w:rPr>
                <w:noProof/>
                <w:sz w:val="21"/>
              </w:rPr>
            </w:pPr>
            <w:r>
              <w:rPr>
                <w:noProof/>
                <w:sz w:val="21"/>
              </w:rPr>
              <w:sym w:font="Wingdings" w:char="F09F"/>
            </w:r>
            <w:r>
              <w:rPr>
                <w:noProof/>
              </w:rPr>
              <w:t xml:space="preserve"> Crédits opérationnels</w:t>
            </w:r>
            <w:r>
              <w:rPr>
                <w:noProof/>
                <w:sz w:val="21"/>
              </w:rPr>
              <w:t xml:space="preserve"> </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spacing w:before="60"/>
              <w:rPr>
                <w:noProof/>
                <w:sz w:val="21"/>
              </w:rPr>
            </w:pPr>
            <w:r>
              <w:rPr>
                <w:noProof/>
                <w:sz w:val="21"/>
              </w:rPr>
              <w:t>1b: La cohésion économique, sociale et territoire</w:t>
            </w:r>
          </w:p>
          <w:p>
            <w:pPr>
              <w:spacing w:before="60"/>
              <w:rPr>
                <w:noProof/>
              </w:rPr>
            </w:pPr>
            <w:r>
              <w:rPr>
                <w:noProof/>
                <w:sz w:val="21"/>
              </w:rPr>
              <w:t>Fonds européen de développement régional, Fonds social européen et Fonds de cohésion</w:t>
            </w:r>
          </w:p>
        </w:tc>
        <w:tc>
          <w:tcPr>
            <w:tcW w:w="3119" w:type="dxa"/>
            <w:vAlign w:val="center"/>
          </w:tcPr>
          <w:p>
            <w:pPr>
              <w:spacing w:before="20" w:after="20"/>
              <w:rPr>
                <w:noProof/>
                <w:sz w:val="18"/>
              </w:rPr>
            </w:pPr>
            <w:r>
              <w:rPr>
                <w:noProof/>
                <w:sz w:val="18"/>
              </w:rPr>
              <w:t xml:space="preserve">Engagements </w:t>
            </w:r>
          </w:p>
          <w:p>
            <w:pPr>
              <w:spacing w:before="20" w:after="20"/>
              <w:rPr>
                <w:noProof/>
                <w:sz w:val="18"/>
              </w:rPr>
            </w:pPr>
          </w:p>
          <w:p>
            <w:pPr>
              <w:spacing w:before="20" w:after="20"/>
              <w:rPr>
                <w:noProof/>
                <w:sz w:val="18"/>
              </w:rPr>
            </w:pPr>
          </w:p>
          <w:p>
            <w:pPr>
              <w:spacing w:after="60"/>
              <w:rPr>
                <w:noProof/>
              </w:rPr>
            </w:pPr>
            <w:r>
              <w:rPr>
                <w:noProof/>
              </w:rPr>
              <w:t>04 02 64 – Initiative pour l’emploi des jeunes (IEJ)</w:t>
            </w:r>
          </w:p>
          <w:p>
            <w:pPr>
              <w:spacing w:before="20" w:after="20"/>
              <w:rPr>
                <w:noProof/>
                <w:sz w:val="18"/>
              </w:rPr>
            </w:pPr>
          </w:p>
          <w:p>
            <w:pPr>
              <w:spacing w:before="20" w:after="20"/>
              <w:rPr>
                <w:noProof/>
                <w:sz w:val="18"/>
              </w:rPr>
            </w:pPr>
          </w:p>
          <w:p>
            <w:pPr>
              <w:spacing w:before="20" w:after="20"/>
              <w:rPr>
                <w:noProof/>
                <w:sz w:val="18"/>
              </w:rPr>
            </w:pPr>
          </w:p>
          <w:p>
            <w:pPr>
              <w:spacing w:before="20" w:after="20"/>
              <w:rPr>
                <w:noProof/>
                <w:sz w:val="18"/>
              </w:rPr>
            </w:pPr>
          </w:p>
        </w:tc>
        <w:tc>
          <w:tcPr>
            <w:tcW w:w="425" w:type="dxa"/>
            <w:vAlign w:val="center"/>
          </w:tcPr>
          <w:p>
            <w:pPr>
              <w:spacing w:before="20" w:after="20"/>
              <w:jc w:val="center"/>
              <w:rPr>
                <w:noProof/>
                <w:sz w:val="14"/>
              </w:rPr>
            </w:pPr>
            <w:r>
              <w:rPr>
                <w:noProof/>
                <w:sz w:val="14"/>
              </w:rPr>
              <w:t>(1)</w:t>
            </w:r>
          </w:p>
        </w:tc>
        <w:tc>
          <w:tcPr>
            <w:tcW w:w="709" w:type="dxa"/>
            <w:vAlign w:val="center"/>
          </w:tcPr>
          <w:p>
            <w:pPr>
              <w:spacing w:before="20" w:after="20"/>
              <w:jc w:val="right"/>
              <w:rPr>
                <w:noProof/>
                <w:sz w:val="20"/>
              </w:rPr>
            </w:pPr>
          </w:p>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rPr>
                <w:noProof/>
                <w:sz w:val="20"/>
              </w:rPr>
            </w:pPr>
          </w:p>
        </w:tc>
        <w:tc>
          <w:tcPr>
            <w:tcW w:w="1276" w:type="dxa"/>
            <w:vAlign w:val="center"/>
          </w:tcPr>
          <w:p>
            <w:pPr>
              <w:spacing w:before="20" w:after="20"/>
              <w:rPr>
                <w:noProof/>
                <w:sz w:val="20"/>
              </w:rPr>
            </w:pPr>
            <w:r>
              <w:rPr>
                <w:noProof/>
                <w:sz w:val="20"/>
                <w:szCs w:val="20"/>
              </w:rPr>
              <w:t>28,333</w:t>
            </w:r>
          </w:p>
        </w:tc>
        <w:tc>
          <w:tcPr>
            <w:tcW w:w="1518" w:type="dxa"/>
            <w:vAlign w:val="center"/>
          </w:tcPr>
          <w:p>
            <w:pPr>
              <w:spacing w:before="20" w:after="20"/>
              <w:rPr>
                <w:noProof/>
                <w:sz w:val="20"/>
              </w:rPr>
            </w:pPr>
            <w:r>
              <w:rPr>
                <w:noProof/>
                <w:sz w:val="20"/>
                <w:szCs w:val="20"/>
              </w:rPr>
              <w:t>28,333</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Paiements </w:t>
            </w:r>
          </w:p>
          <w:p>
            <w:pPr>
              <w:spacing w:after="60"/>
              <w:rPr>
                <w:noProof/>
              </w:rPr>
            </w:pPr>
          </w:p>
          <w:p>
            <w:pPr>
              <w:spacing w:after="60"/>
              <w:rPr>
                <w:noProof/>
              </w:rPr>
            </w:pPr>
          </w:p>
          <w:p>
            <w:pPr>
              <w:spacing w:after="60"/>
              <w:rPr>
                <w:noProof/>
              </w:rPr>
            </w:pPr>
            <w:r>
              <w:rPr>
                <w:noProof/>
              </w:rPr>
              <w:t>04 02 64 – Initiative pour l’emploi des jeunes (IEJ)</w:t>
            </w:r>
          </w:p>
          <w:p>
            <w:pPr>
              <w:spacing w:after="60"/>
              <w:rPr>
                <w:noProof/>
              </w:rPr>
            </w:pPr>
          </w:p>
          <w:p>
            <w:pPr>
              <w:spacing w:after="60"/>
              <w:rPr>
                <w:noProof/>
                <w:sz w:val="18"/>
              </w:rPr>
            </w:pPr>
            <w:r>
              <w:rPr>
                <w:noProof/>
              </w:rPr>
              <w:t xml:space="preserve"> </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vAlign w:val="center"/>
          </w:tcPr>
          <w:p>
            <w:pPr>
              <w:spacing w:before="20" w:after="20"/>
              <w:rPr>
                <w:noProof/>
                <w:sz w:val="20"/>
              </w:rPr>
            </w:pPr>
          </w:p>
        </w:tc>
        <w:tc>
          <w:tcPr>
            <w:tcW w:w="709" w:type="dxa"/>
            <w:vAlign w:val="center"/>
          </w:tcPr>
          <w:p>
            <w:pPr>
              <w:spacing w:before="20" w:after="20"/>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rPr>
                <w:noProof/>
                <w:sz w:val="20"/>
              </w:rPr>
            </w:pPr>
            <w:r>
              <w:rPr>
                <w:noProof/>
                <w:sz w:val="20"/>
                <w:szCs w:val="20"/>
              </w:rPr>
              <w:t>3,000</w:t>
            </w:r>
          </w:p>
        </w:tc>
        <w:tc>
          <w:tcPr>
            <w:tcW w:w="1518" w:type="dxa"/>
            <w:vAlign w:val="center"/>
          </w:tcPr>
          <w:p>
            <w:pPr>
              <w:spacing w:before="20" w:after="20"/>
              <w:rPr>
                <w:b/>
                <w:noProof/>
                <w:sz w:val="20"/>
              </w:rPr>
            </w:pPr>
            <w:r>
              <w:rPr>
                <w:noProof/>
                <w:sz w:val="20"/>
                <w:szCs w:val="20"/>
              </w:rPr>
              <w:t>3,000</w:t>
            </w:r>
          </w:p>
        </w:tc>
      </w:tr>
      <w:tr>
        <w:trPr>
          <w:trHeight w:val="231"/>
        </w:trPr>
        <w:tc>
          <w:tcPr>
            <w:tcW w:w="5747"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3"/>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Sans objet</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TOTAL des crédits</w:t>
            </w:r>
            <w:r>
              <w:rPr>
                <w:noProof/>
              </w:rPr>
              <w:t xml:space="preserve"> </w:t>
            </w:r>
            <w:r>
              <w:rPr>
                <w:noProof/>
              </w:rPr>
              <w:br/>
            </w:r>
            <w:r>
              <w:rPr>
                <w:b/>
                <w:noProof/>
                <w:sz w:val="22"/>
              </w:rPr>
              <w:t>pour les DG</w:t>
            </w:r>
            <w:r>
              <w:rPr>
                <w:noProof/>
              </w:rPr>
              <w:t xml:space="preserve"> EMPL et REGIO </w:t>
            </w:r>
          </w:p>
        </w:tc>
        <w:tc>
          <w:tcPr>
            <w:tcW w:w="3197" w:type="dxa"/>
            <w:gridSpan w:val="2"/>
            <w:vAlign w:val="center"/>
          </w:tcPr>
          <w:p>
            <w:pPr>
              <w:rPr>
                <w:noProof/>
                <w:sz w:val="18"/>
              </w:rPr>
            </w:pPr>
            <w:r>
              <w:rPr>
                <w:noProof/>
                <w:sz w:val="18"/>
              </w:rPr>
              <w:t>Engagements</w:t>
            </w:r>
          </w:p>
        </w:tc>
        <w:tc>
          <w:tcPr>
            <w:tcW w:w="347" w:type="dxa"/>
            <w:vAlign w:val="center"/>
          </w:tcPr>
          <w:p>
            <w:pPr>
              <w:jc w:val="center"/>
              <w:rPr>
                <w:noProof/>
                <w:sz w:val="14"/>
              </w:rPr>
            </w:pPr>
            <w:r>
              <w:rPr>
                <w:noProof/>
                <w:sz w:val="14"/>
              </w:rPr>
              <w:t>=1+1a +3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p>
        </w:tc>
        <w:tc>
          <w:tcPr>
            <w:tcW w:w="1276"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28,333</w:t>
            </w:r>
          </w:p>
        </w:tc>
        <w:tc>
          <w:tcPr>
            <w:tcW w:w="1518"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28,333</w:t>
            </w:r>
          </w:p>
        </w:tc>
      </w:tr>
      <w:tr>
        <w:tc>
          <w:tcPr>
            <w:tcW w:w="2203" w:type="dxa"/>
            <w:vMerge/>
          </w:tcPr>
          <w:p>
            <w:pPr>
              <w:rPr>
                <w:noProof/>
                <w:sz w:val="20"/>
              </w:rPr>
            </w:pPr>
          </w:p>
        </w:tc>
        <w:tc>
          <w:tcPr>
            <w:tcW w:w="3197" w:type="dxa"/>
            <w:gridSpan w:val="2"/>
            <w:vAlign w:val="center"/>
          </w:tcPr>
          <w:p>
            <w:pPr>
              <w:rPr>
                <w:noProof/>
                <w:sz w:val="18"/>
              </w:rPr>
            </w:pPr>
            <w:r>
              <w:rPr>
                <w:noProof/>
                <w:sz w:val="18"/>
              </w:rPr>
              <w:t>Paiements</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p>
        </w:tc>
        <w:tc>
          <w:tcPr>
            <w:tcW w:w="1276"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rPr>
            </w:pPr>
            <w:r>
              <w:rPr>
                <w:noProof/>
                <w:sz w:val="20"/>
                <w:szCs w:val="20"/>
              </w:rPr>
              <w:t>3,000</w:t>
            </w:r>
          </w:p>
        </w:tc>
        <w:tc>
          <w:tcPr>
            <w:tcW w:w="1518" w:type="dxa"/>
          </w:tcPr>
          <w:p>
            <w:pPr>
              <w:spacing w:before="20" w:after="20"/>
              <w:jc w:val="right"/>
              <w:rPr>
                <w:noProof/>
                <w:sz w:val="20"/>
                <w:szCs w:val="20"/>
              </w:rPr>
            </w:pPr>
          </w:p>
          <w:p>
            <w:pPr>
              <w:spacing w:before="20" w:after="20"/>
              <w:jc w:val="right"/>
              <w:rPr>
                <w:noProof/>
                <w:sz w:val="20"/>
                <w:szCs w:val="20"/>
              </w:rPr>
            </w:pPr>
          </w:p>
          <w:p>
            <w:pPr>
              <w:spacing w:before="20" w:after="20"/>
              <w:jc w:val="center"/>
              <w:rPr>
                <w:noProof/>
                <w:sz w:val="20"/>
              </w:rPr>
            </w:pPr>
            <w:r>
              <w:rPr>
                <w:noProof/>
                <w:sz w:val="20"/>
                <w:szCs w:val="20"/>
              </w:rPr>
              <w:t>3,000</w:t>
            </w:r>
          </w:p>
        </w:tc>
      </w:tr>
    </w:tbl>
    <w:p>
      <w:pPr>
        <w:rPr>
          <w:noProof/>
          <w:sz w:val="16"/>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347"/>
        <w:gridCol w:w="709"/>
        <w:gridCol w:w="708"/>
        <w:gridCol w:w="709"/>
        <w:gridCol w:w="1276"/>
        <w:gridCol w:w="1276"/>
        <w:gridCol w:w="1275"/>
        <w:gridCol w:w="1276"/>
        <w:gridCol w:w="144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ab/>
              <w:t>TOTAL des crédits opérationnels</w:t>
            </w:r>
            <w:r>
              <w:rPr>
                <w:noProof/>
                <w:sz w:val="21"/>
              </w:rPr>
              <w:t xml:space="preserve"> </w:t>
            </w:r>
          </w:p>
        </w:tc>
        <w:tc>
          <w:tcPr>
            <w:tcW w:w="1440" w:type="dxa"/>
            <w:vAlign w:val="center"/>
          </w:tcPr>
          <w:p>
            <w:pPr>
              <w:spacing w:beforeLines="20" w:before="48" w:afterLines="20" w:after="48"/>
              <w:rPr>
                <w:noProof/>
                <w:sz w:val="18"/>
              </w:rPr>
            </w:pPr>
            <w:r>
              <w:rPr>
                <w:noProof/>
                <w:sz w:val="18"/>
              </w:rPr>
              <w:t>Engagements</w:t>
            </w:r>
          </w:p>
        </w:tc>
        <w:tc>
          <w:tcPr>
            <w:tcW w:w="347" w:type="dxa"/>
            <w:vAlign w:val="center"/>
          </w:tcPr>
          <w:p>
            <w:pPr>
              <w:spacing w:beforeLines="20" w:before="48" w:afterLines="20" w:after="48"/>
              <w:jc w:val="center"/>
              <w:rPr>
                <w:noProof/>
                <w:sz w:val="14"/>
              </w:rPr>
            </w:pPr>
            <w:r>
              <w:rPr>
                <w:noProof/>
                <w:sz w:val="14"/>
              </w:rPr>
              <w:t>(4)</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28,333</w:t>
            </w:r>
          </w:p>
        </w:tc>
        <w:tc>
          <w:tcPr>
            <w:tcW w:w="1448" w:type="dxa"/>
            <w:vAlign w:val="center"/>
          </w:tcPr>
          <w:p>
            <w:pPr>
              <w:spacing w:before="20" w:after="20"/>
              <w:jc w:val="right"/>
              <w:rPr>
                <w:noProof/>
                <w:sz w:val="20"/>
              </w:rPr>
            </w:pPr>
            <w:r>
              <w:rPr>
                <w:noProof/>
                <w:sz w:val="20"/>
                <w:szCs w:val="20"/>
              </w:rPr>
              <w:t>28,333</w:t>
            </w:r>
          </w:p>
        </w:tc>
      </w:tr>
      <w:tr>
        <w:trPr>
          <w:trHeight w:val="414"/>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347" w:type="dxa"/>
            <w:vAlign w:val="center"/>
          </w:tcPr>
          <w:p>
            <w:pPr>
              <w:spacing w:beforeLines="20" w:before="48" w:afterLines="20" w:after="48"/>
              <w:jc w:val="center"/>
              <w:rPr>
                <w:noProof/>
                <w:sz w:val="14"/>
              </w:rPr>
            </w:pPr>
            <w:r>
              <w:rPr>
                <w:noProof/>
                <w:sz w:val="14"/>
              </w:rPr>
              <w:t>(5)</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rPr>
            </w:pPr>
          </w:p>
        </w:tc>
        <w:tc>
          <w:tcPr>
            <w:tcW w:w="1276" w:type="dxa"/>
          </w:tcPr>
          <w:p>
            <w:pPr>
              <w:spacing w:before="20" w:after="20"/>
              <w:jc w:val="right"/>
              <w:rPr>
                <w:noProof/>
                <w:sz w:val="20"/>
              </w:rPr>
            </w:pPr>
            <w:r>
              <w:rPr>
                <w:noProof/>
                <w:sz w:val="20"/>
                <w:szCs w:val="20"/>
              </w:rPr>
              <w:t>3,000</w:t>
            </w:r>
          </w:p>
        </w:tc>
        <w:tc>
          <w:tcPr>
            <w:tcW w:w="1448" w:type="dxa"/>
          </w:tcPr>
          <w:p>
            <w:pPr>
              <w:spacing w:before="20" w:after="20"/>
              <w:jc w:val="right"/>
              <w:rPr>
                <w:noProof/>
                <w:sz w:val="20"/>
              </w:rPr>
            </w:pPr>
            <w:r>
              <w:rPr>
                <w:noProof/>
                <w:sz w:val="20"/>
                <w:szCs w:val="20"/>
              </w:rPr>
              <w:t>3,000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ab/>
              <w:t>TOTAL des crédits de nature administrative financés par l'enveloppe de certains programmes spécifiques</w:t>
            </w:r>
            <w:r>
              <w:rPr>
                <w:noProof/>
                <w:sz w:val="21"/>
              </w:rPr>
              <w:t xml:space="preserve"> </w:t>
            </w:r>
          </w:p>
        </w:tc>
        <w:tc>
          <w:tcPr>
            <w:tcW w:w="347" w:type="dxa"/>
            <w:vAlign w:val="center"/>
          </w:tcPr>
          <w:p>
            <w:pPr>
              <w:spacing w:beforeLines="20" w:before="48" w:afterLines="20" w:after="48"/>
              <w:jc w:val="center"/>
              <w:rPr>
                <w:noProof/>
                <w:sz w:val="14"/>
              </w:rPr>
            </w:pPr>
            <w:r>
              <w:rPr>
                <w:noProof/>
                <w:sz w:val="14"/>
              </w:rPr>
              <w:t>(6)</w:t>
            </w:r>
          </w:p>
        </w:tc>
        <w:tc>
          <w:tcPr>
            <w:tcW w:w="709" w:type="dxa"/>
            <w:vAlign w:val="center"/>
          </w:tcPr>
          <w:p>
            <w:pPr>
              <w:spacing w:before="20" w:after="20"/>
              <w:jc w:val="right"/>
              <w:rPr>
                <w:b/>
                <w:noProof/>
                <w:sz w:val="20"/>
              </w:rPr>
            </w:pPr>
          </w:p>
        </w:tc>
        <w:tc>
          <w:tcPr>
            <w:tcW w:w="708" w:type="dxa"/>
            <w:vAlign w:val="center"/>
          </w:tcPr>
          <w:p>
            <w:pPr>
              <w:spacing w:before="20" w:after="20"/>
              <w:jc w:val="right"/>
              <w:rPr>
                <w:b/>
                <w:noProof/>
                <w:sz w:val="20"/>
              </w:rPr>
            </w:pPr>
          </w:p>
        </w:tc>
        <w:tc>
          <w:tcPr>
            <w:tcW w:w="709"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b/>
                <w:noProof/>
                <w:sz w:val="20"/>
              </w:rPr>
            </w:pPr>
          </w:p>
        </w:tc>
        <w:tc>
          <w:tcPr>
            <w:tcW w:w="1276" w:type="dxa"/>
            <w:vAlign w:val="center"/>
          </w:tcPr>
          <w:p>
            <w:pPr>
              <w:spacing w:before="20" w:after="20"/>
              <w:jc w:val="right"/>
              <w:rPr>
                <w:noProof/>
                <w:sz w:val="20"/>
              </w:rPr>
            </w:pPr>
            <w:r>
              <w:rPr>
                <w:noProof/>
                <w:sz w:val="20"/>
                <w:szCs w:val="20"/>
              </w:rPr>
              <w:t>0,000</w:t>
            </w:r>
          </w:p>
        </w:tc>
        <w:tc>
          <w:tcPr>
            <w:tcW w:w="1448" w:type="dxa"/>
            <w:vAlign w:val="center"/>
          </w:tcPr>
          <w:p>
            <w:pPr>
              <w:spacing w:before="20" w:after="20"/>
              <w:jc w:val="right"/>
              <w:rPr>
                <w:noProof/>
                <w:sz w:val="20"/>
              </w:rPr>
            </w:pPr>
            <w:r>
              <w:rPr>
                <w:noProof/>
                <w:sz w:val="20"/>
                <w:szCs w:val="20"/>
              </w:rPr>
              <w:t>0,000</w:t>
            </w:r>
          </w:p>
        </w:tc>
      </w:tr>
      <w:tr>
        <w:tc>
          <w:tcPr>
            <w:tcW w:w="3960" w:type="dxa"/>
            <w:vMerge w:val="restart"/>
            <w:shd w:val="thinDiagStripe" w:color="C0C0C0" w:fill="auto"/>
            <w:vAlign w:val="center"/>
          </w:tcPr>
          <w:p>
            <w:pPr>
              <w:jc w:val="center"/>
              <w:rPr>
                <w:b/>
                <w:noProof/>
              </w:rPr>
            </w:pPr>
            <w:r>
              <w:rPr>
                <w:b/>
                <w:noProof/>
                <w:sz w:val="22"/>
              </w:rPr>
              <w:t xml:space="preserve">TOTAL des crédits </w:t>
            </w:r>
            <w:r>
              <w:rPr>
                <w:noProof/>
              </w:rPr>
              <w:t xml:space="preserve"> </w:t>
            </w:r>
            <w:r>
              <w:rPr>
                <w:noProof/>
              </w:rPr>
              <w:br/>
            </w:r>
            <w:r>
              <w:rPr>
                <w:b/>
                <w:noProof/>
                <w:sz w:val="22"/>
              </w:rPr>
              <w:t>pour la RUBRIQUE 1b</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347" w:type="dxa"/>
            <w:vAlign w:val="center"/>
          </w:tcPr>
          <w:p>
            <w:pPr>
              <w:jc w:val="center"/>
              <w:rPr>
                <w:noProof/>
                <w:sz w:val="14"/>
              </w:rPr>
            </w:pPr>
            <w:r>
              <w:rPr>
                <w:noProof/>
                <w:sz w:val="14"/>
              </w:rPr>
              <w:t>=4+ 6</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28,333</w:t>
            </w:r>
          </w:p>
        </w:tc>
        <w:tc>
          <w:tcPr>
            <w:tcW w:w="1448" w:type="dxa"/>
            <w:vAlign w:val="center"/>
          </w:tcPr>
          <w:p>
            <w:pPr>
              <w:spacing w:before="20" w:after="20"/>
              <w:jc w:val="right"/>
              <w:rPr>
                <w:noProof/>
                <w:sz w:val="20"/>
              </w:rPr>
            </w:pPr>
            <w:r>
              <w:rPr>
                <w:noProof/>
                <w:sz w:val="20"/>
                <w:szCs w:val="20"/>
              </w:rPr>
              <w:t>28,333</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347" w:type="dxa"/>
            <w:vAlign w:val="center"/>
          </w:tcPr>
          <w:p>
            <w:pPr>
              <w:jc w:val="center"/>
              <w:rPr>
                <w:noProof/>
                <w:sz w:val="14"/>
              </w:rPr>
            </w:pPr>
            <w:r>
              <w:rPr>
                <w:noProof/>
                <w:sz w:val="14"/>
              </w:rPr>
              <w:t>=5+ 6</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5" w:type="dxa"/>
          </w:tcPr>
          <w:p>
            <w:pPr>
              <w:spacing w:before="20" w:after="20"/>
              <w:jc w:val="right"/>
              <w:rPr>
                <w:noProof/>
                <w:sz w:val="20"/>
                <w:szCs w:val="20"/>
              </w:rPr>
            </w:pPr>
          </w:p>
          <w:p>
            <w:pPr>
              <w:spacing w:before="20" w:after="20"/>
              <w:jc w:val="right"/>
              <w:rPr>
                <w:noProof/>
                <w:sz w:val="20"/>
              </w:rPr>
            </w:pPr>
          </w:p>
        </w:tc>
        <w:tc>
          <w:tcPr>
            <w:tcW w:w="1276" w:type="dxa"/>
            <w:vAlign w:val="center"/>
          </w:tcPr>
          <w:p>
            <w:pPr>
              <w:spacing w:before="20" w:after="20"/>
              <w:jc w:val="right"/>
              <w:rPr>
                <w:noProof/>
                <w:sz w:val="20"/>
              </w:rPr>
            </w:pPr>
            <w:r>
              <w:rPr>
                <w:noProof/>
                <w:sz w:val="20"/>
                <w:szCs w:val="20"/>
              </w:rPr>
              <w:t>3,000</w:t>
            </w:r>
          </w:p>
        </w:tc>
        <w:tc>
          <w:tcPr>
            <w:tcW w:w="1448" w:type="dxa"/>
            <w:vAlign w:val="center"/>
          </w:tcPr>
          <w:p>
            <w:pPr>
              <w:spacing w:before="20" w:after="20"/>
              <w:jc w:val="right"/>
              <w:rPr>
                <w:noProof/>
                <w:sz w:val="20"/>
              </w:rPr>
            </w:pPr>
            <w:r>
              <w:rPr>
                <w:noProof/>
                <w:sz w:val="20"/>
                <w:szCs w:val="20"/>
              </w:rPr>
              <w:t>3,000</w:t>
            </w:r>
          </w:p>
        </w:tc>
      </w:tr>
      <w:tr>
        <w:tc>
          <w:tcPr>
            <w:tcW w:w="3960" w:type="dxa"/>
            <w:shd w:val="thinDiagStripe" w:color="C0C0C0" w:fill="auto"/>
          </w:tcPr>
          <w:p>
            <w:pPr>
              <w:rPr>
                <w:noProof/>
                <w:sz w:val="20"/>
              </w:rPr>
            </w:pPr>
          </w:p>
        </w:tc>
        <w:tc>
          <w:tcPr>
            <w:tcW w:w="1440" w:type="dxa"/>
            <w:vAlign w:val="center"/>
          </w:tcPr>
          <w:p>
            <w:pPr>
              <w:rPr>
                <w:noProof/>
                <w:sz w:val="18"/>
              </w:rPr>
            </w:pPr>
          </w:p>
        </w:tc>
        <w:tc>
          <w:tcPr>
            <w:tcW w:w="347" w:type="dxa"/>
            <w:vAlign w:val="center"/>
          </w:tcPr>
          <w:p>
            <w:pPr>
              <w:jc w:val="center"/>
              <w:rPr>
                <w:noProof/>
                <w:sz w:val="14"/>
              </w:rPr>
            </w:pP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275" w:type="dxa"/>
            <w:vAlign w:val="center"/>
          </w:tcPr>
          <w:p>
            <w:pPr>
              <w:spacing w:before="20" w:after="20"/>
              <w:jc w:val="right"/>
              <w:rPr>
                <w:noProof/>
                <w:sz w:val="20"/>
              </w:rPr>
            </w:pPr>
          </w:p>
        </w:tc>
        <w:tc>
          <w:tcPr>
            <w:tcW w:w="1276" w:type="dxa"/>
            <w:vAlign w:val="center"/>
          </w:tcPr>
          <w:p>
            <w:pPr>
              <w:spacing w:before="20" w:after="20"/>
              <w:jc w:val="right"/>
              <w:rPr>
                <w:b/>
                <w:noProof/>
                <w:sz w:val="20"/>
              </w:rPr>
            </w:pPr>
          </w:p>
        </w:tc>
        <w:tc>
          <w:tcPr>
            <w:tcW w:w="1448" w:type="dxa"/>
            <w:vAlign w:val="center"/>
          </w:tcPr>
          <w:p>
            <w:pPr>
              <w:spacing w:before="20" w:after="20"/>
              <w:jc w:val="right"/>
              <w:rPr>
                <w:b/>
                <w:noProof/>
                <w:sz w:val="20"/>
              </w:rPr>
            </w:pPr>
          </w:p>
        </w:tc>
      </w:tr>
    </w:tbl>
    <w:p>
      <w:pPr>
        <w:rPr>
          <w:noProof/>
          <w:sz w:val="16"/>
        </w:rPr>
      </w:pPr>
    </w:p>
    <w:p>
      <w:pPr>
        <w:rPr>
          <w:noProof/>
        </w:rPr>
      </w:pPr>
    </w:p>
    <w:p>
      <w:pPr>
        <w:rPr>
          <w:b/>
          <w:noProof/>
          <w:sz w:val="22"/>
          <w:u w:val="single"/>
        </w:rPr>
      </w:pPr>
      <w:r>
        <w:rPr>
          <w:noProof/>
        </w:rPr>
        <w:t xml:space="preserve"> </w:t>
      </w:r>
      <w:r>
        <w:rPr>
          <w:noProof/>
        </w:rPr>
        <w:br/>
      </w:r>
    </w:p>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ab/>
              <w:t>TOTAL des crédits opérationnels</w:t>
            </w:r>
            <w:r>
              <w:rPr>
                <w:noProof/>
                <w:sz w:val="21"/>
              </w:rPr>
              <w:t xml:space="preserve"> </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ab/>
              <w:t>TOTAL des crédits de nature administrative financés par l'enveloppe de certains programmes spécifiques</w:t>
            </w:r>
            <w:r>
              <w:rPr>
                <w:noProof/>
                <w:sz w:val="21"/>
              </w:rPr>
              <w:t xml:space="preserve"> </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noProof/>
              </w:rPr>
              <w:t xml:space="preserve"> </w:t>
            </w:r>
            <w:r>
              <w:rPr>
                <w:noProof/>
              </w:rPr>
              <w:br/>
            </w:r>
            <w:r>
              <w:rPr>
                <w:b/>
                <w:noProof/>
                <w:sz w:val="22"/>
              </w:rPr>
              <w:t>pour les RUBRIQUES 1 à 4</w:t>
            </w:r>
            <w:r>
              <w:rPr>
                <w:noProof/>
              </w:rPr>
              <w:t xml:space="preserve"> </w:t>
            </w:r>
            <w:r>
              <w:rPr>
                <w:noProof/>
              </w:rPr>
              <w:br/>
            </w:r>
            <w:r>
              <w:rPr>
                <w:noProof/>
                <w:sz w:val="22"/>
              </w:rPr>
              <w:t>du cadre financier pluriannuel</w:t>
            </w:r>
            <w:r>
              <w:rPr>
                <w:noProof/>
              </w:rPr>
              <w:t xml:space="preserve"> </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Rubrique du cadre financier 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rPr>
              <w:tab/>
              <w:t>Ressources humaines</w:t>
            </w:r>
            <w:r>
              <w:rPr>
                <w:noProof/>
                <w:sz w:val="22"/>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rPr>
              <w:tab/>
              <w:t>Autres dépenses administratives</w:t>
            </w:r>
            <w:r>
              <w:rPr>
                <w:noProof/>
                <w:sz w:val="22"/>
              </w:rPr>
              <w:t xml:space="preserv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Engagements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rPr>
              <w:t xml:space="preserve"> </w:t>
            </w:r>
            <w:r>
              <w:rPr>
                <w:noProof/>
              </w:rPr>
              <w:br/>
            </w:r>
            <w:r>
              <w:rPr>
                <w:b/>
                <w:noProof/>
                <w:sz w:val="22"/>
              </w:rPr>
              <w:t>pour la RUBRIQUE 5</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w:t>
            </w:r>
            <w:r>
              <w:rPr>
                <w:rStyle w:val="FootnoteReference"/>
                <w:b/>
                <w:noProof/>
                <w:sz w:val="20"/>
              </w:rPr>
              <w:footnoteReference w:id="14"/>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rPr>
              <w:t xml:space="preserve"> </w:t>
            </w:r>
            <w:r>
              <w:rPr>
                <w:noProof/>
              </w:rPr>
              <w:br/>
            </w:r>
            <w:r>
              <w:rPr>
                <w:b/>
                <w:noProof/>
                <w:sz w:val="22"/>
              </w:rPr>
              <w:t>pour les RUBRIQUES 1 à 5</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rPr>
              <w:t xml:space="preserve"> </w:t>
            </w:r>
            <w:r>
              <w:rPr>
                <w:noProof/>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rPr>
              <w:t xml:space="preserve"> </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rPr>
              <w:t xml:space="preserve"> </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rPr>
              <w:t xml:space="preserve"> </w:t>
            </w:r>
            <w:r>
              <w:rPr>
                <w:noProof/>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5"/>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Nº</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6"/>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78"/>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en-US"/>
              </w:rPr>
            </w:pPr>
            <w:r>
              <w:rPr>
                <w:b/>
                <w:noProof/>
                <w:sz w:val="16"/>
                <w:lang w:val="en-US"/>
              </w:rPr>
              <w:t>Hors RUBRIQUE 5</w:t>
            </w:r>
            <w:r>
              <w:rPr>
                <w:rStyle w:val="FootnoteReference"/>
                <w:b/>
                <w:noProof/>
                <w:sz w:val="16"/>
              </w:rPr>
              <w:footnoteReference w:id="18"/>
            </w:r>
            <w:r>
              <w:rPr>
                <w:noProof/>
                <w:lang w:val="en-US"/>
              </w:rPr>
              <w:t xml:space="preserve"> </w:t>
            </w:r>
            <w:r>
              <w:rPr>
                <w:noProof/>
                <w:lang w:val="en-US"/>
              </w:rPr>
              <w:br/>
            </w:r>
            <w:r>
              <w:rPr>
                <w:b/>
                <w:noProof/>
                <w:sz w:val="16"/>
                <w:lang w:val="en-US"/>
              </w:rPr>
              <w:t xml:space="preserve">of the multiannual financial framework </w:t>
            </w:r>
          </w:p>
          <w:p>
            <w:pPr>
              <w:spacing w:before="0" w:after="0" w:line="200" w:lineRule="exact"/>
              <w:jc w:val="center"/>
              <w:rPr>
                <w:b/>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b/>
                <w:noProof/>
                <w:sz w:val="16"/>
                <w:szCs w:val="16"/>
                <w:lang w:val="en-US"/>
              </w:rPr>
            </w:pPr>
          </w:p>
        </w:tc>
        <w:tc>
          <w:tcPr>
            <w:tcW w:w="1080" w:type="dxa"/>
            <w:vAlign w:val="center"/>
          </w:tcPr>
          <w:p>
            <w:pPr>
              <w:spacing w:before="60" w:after="60" w:line="200" w:lineRule="exact"/>
              <w:jc w:val="right"/>
              <w:rPr>
                <w:b/>
                <w:noProof/>
                <w:sz w:val="16"/>
                <w:szCs w:val="16"/>
                <w:lang w:val="en-US"/>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t xml:space="preserve"> </w:t>
            </w:r>
            <w:r>
              <w:rPr>
                <w:noProof/>
              </w:rPr>
              <w:br/>
            </w:r>
            <w:r>
              <w:rPr>
                <w:b/>
                <w:noProof/>
                <w:sz w:val="16"/>
              </w:rPr>
              <w:t>hors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ab/>
      </w: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7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rPr>
              <w:t xml:space="preserve"> </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ab/>
            </w:r>
            <w:r>
              <w:rPr>
                <w:b/>
                <w:noProof/>
                <w:sz w:val="16"/>
              </w:rPr>
              <w:t>Emplois du tableau des effectifs (fonctionnaires et d'agents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ab/>
            </w:r>
            <w:r>
              <w:rPr>
                <w:b/>
                <w:noProof/>
                <w:sz w:val="16"/>
              </w:rPr>
              <w:t>Personnel externe (en équivalents temps plein: ETP)</w:t>
            </w:r>
            <w:r>
              <w:rPr>
                <w:rStyle w:val="FootnoteReference"/>
                <w:b/>
                <w:noProof/>
                <w:sz w:val="16"/>
              </w:rPr>
              <w:footnoteReference w:id="1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sym w:font="Wingdings" w:char="F07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Incidence estimée sur les recettes </w:t>
      </w:r>
    </w:p>
    <w:p>
      <w:pPr>
        <w:pStyle w:val="ListDash1"/>
        <w:rPr>
          <w:noProof/>
        </w:rPr>
      </w:pPr>
      <w:r>
        <w:rPr>
          <w:noProof/>
        </w:rPr>
        <w:sym w:font="Wingdings" w:char="F07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1"/>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Préciser la méthode de calcul de l'incidence sur les recettes.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variable"/>
    <w:sig w:usb0="800002EF" w:usb1="1000E0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 modifié en dernier lieu par le règlement (UE) 2019/711 du Parlement européen et du Conseil du 17 avril 2019 modifiant le règlement (UE) n° 1303/2013 en ce qui concerne les ressources affectées à la dotation spécifique allouée à l’initiative pour l’emploi des jeunes (JO L 123 du 10.5.2019, p. 1).</w:t>
      </w:r>
    </w:p>
  </w:footnote>
  <w:footnote w:id="2">
    <w:p>
      <w:pPr>
        <w:pStyle w:val="FootnoteText"/>
        <w:rPr>
          <w:lang w:val="fr-BE"/>
        </w:rPr>
      </w:pPr>
      <w:r>
        <w:rPr>
          <w:rStyle w:val="FootnoteReference"/>
        </w:rPr>
        <w:footnoteRef/>
      </w:r>
      <w:r>
        <w:rPr>
          <w:lang w:val="fr-BE"/>
        </w:rPr>
        <w:tab/>
        <w:t>JO C […] du […], p. […].</w:t>
      </w:r>
    </w:p>
  </w:footnote>
  <w:footnote w:id="3">
    <w:p>
      <w:pPr>
        <w:pStyle w:val="FootnoteText"/>
        <w:rPr>
          <w:lang w:val="fr-BE"/>
        </w:rPr>
      </w:pPr>
      <w:r>
        <w:rPr>
          <w:rStyle w:val="FootnoteReference"/>
        </w:rPr>
        <w:footnoteRef/>
      </w:r>
      <w:r>
        <w:rPr>
          <w:lang w:val="fr-BE"/>
        </w:rPr>
        <w:tab/>
        <w:t>JO C […] du […], p. […].</w:t>
      </w:r>
    </w:p>
  </w:footnote>
  <w:footnote w:id="4">
    <w:p>
      <w:pPr>
        <w:pStyle w:val="FootnoteText"/>
        <w:rPr>
          <w:lang w:val="fr-BE"/>
        </w:rPr>
      </w:pPr>
      <w:r>
        <w:rPr>
          <w:rStyle w:val="FootnoteReference"/>
        </w:rPr>
        <w:footnoteRef/>
      </w:r>
      <w:r>
        <w:rPr>
          <w:lang w:val="fr-BE"/>
        </w:rPr>
        <w:tab/>
        <w:t>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(JO L 347 du 20.12.2013, p. 320).</w:t>
      </w:r>
    </w:p>
  </w:footnote>
  <w:footnote w:id="5">
    <w:p>
      <w:pPr>
        <w:pStyle w:val="FootnoteText"/>
        <w:rPr>
          <w:lang w:val="fr-BE"/>
        </w:rPr>
      </w:pPr>
      <w:r>
        <w:rPr>
          <w:rStyle w:val="FootnoteReference"/>
        </w:rPr>
        <w:footnoteRef/>
      </w:r>
      <w:r>
        <w:rPr>
          <w:lang w:val="fr-BE"/>
        </w:rPr>
        <w:tab/>
        <w:t>JO C […] du […], p. […].</w:t>
      </w:r>
    </w:p>
  </w:footnote>
  <w:footnote w:id="6">
    <w:p>
      <w:pPr>
        <w:pStyle w:val="FootnoteText"/>
        <w:rPr>
          <w:szCs w:val="24"/>
          <w:lang w:val="fr-BE"/>
        </w:rPr>
      </w:pPr>
      <w:r>
        <w:rPr>
          <w:rStyle w:val="FootnoteReference"/>
        </w:rPr>
        <w:footnoteRef/>
      </w:r>
      <w:r>
        <w:rPr>
          <w:lang w:val="fr-BE"/>
        </w:rPr>
        <w:tab/>
        <w:t>ABM: gestion par activité; ABB: établissement du budget par activité.</w:t>
      </w:r>
    </w:p>
  </w:footnote>
  <w:footnote w:id="7">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8">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sz w:val="18"/>
            <w:lang w:val="fr-BE"/>
          </w:rPr>
          <w:t>http://www.cc.cec/budg/man/budgmanag/budgmanag_fr.html</w:t>
        </w:r>
      </w:hyperlink>
    </w:p>
  </w:footnote>
  <w:footnote w:id="9">
    <w:p>
      <w:pPr>
        <w:pStyle w:val="FootnoteText"/>
        <w:rPr>
          <w:szCs w:val="24"/>
          <w:lang w:val="fr-BE"/>
        </w:rPr>
      </w:pPr>
      <w:r>
        <w:rPr>
          <w:rStyle w:val="FootnoteReference"/>
        </w:rPr>
        <w:footnoteRef/>
      </w:r>
      <w:r>
        <w:rPr>
          <w:lang w:val="fr-BE"/>
        </w:rPr>
        <w:tab/>
        <w:t>CD = crédits dissociés / CND = crédits non dissociés. </w:t>
      </w:r>
    </w:p>
  </w:footnote>
  <w:footnote w:id="10">
    <w:p>
      <w:pPr>
        <w:pStyle w:val="FootnoteText"/>
        <w:rPr>
          <w:szCs w:val="24"/>
          <w:lang w:val="fr-BE"/>
        </w:rPr>
      </w:pPr>
      <w:r>
        <w:rPr>
          <w:rStyle w:val="FootnoteReference"/>
        </w:rPr>
        <w:footnoteRef/>
      </w:r>
      <w:r>
        <w:rPr>
          <w:lang w:val="fr-BE"/>
        </w:rPr>
        <w:tab/>
        <w:t xml:space="preserve">AELE: Association européenne de libre-échange. </w:t>
      </w:r>
    </w:p>
  </w:footnote>
  <w:footnote w:id="11">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2">
    <w:p>
      <w:pPr>
        <w:pStyle w:val="FootnoteText"/>
        <w:rPr>
          <w:lang w:val="fr-BE"/>
        </w:rPr>
      </w:pPr>
      <w:r>
        <w:rPr>
          <w:rStyle w:val="FootnoteReference"/>
        </w:rPr>
        <w:footnoteRef/>
      </w:r>
      <w:r>
        <w:rPr>
          <w:lang w:val="fr-BE"/>
        </w:rPr>
        <w:tab/>
        <w:t>Ces ressources supplémentaires sont financées par la marge globale pour les engagements dans les limites dans les limites du plafond du programme financier pluriannuel 2014-2020.</w:t>
      </w:r>
    </w:p>
  </w:footnote>
  <w:footnote w:id="13">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4">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5">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6">
    <w:p>
      <w:pPr>
        <w:pStyle w:val="FootnoteText"/>
        <w:rPr>
          <w:szCs w:val="24"/>
          <w:lang w:val="fr-BE"/>
        </w:rPr>
      </w:pPr>
      <w:r>
        <w:rPr>
          <w:rStyle w:val="FootnoteReference"/>
        </w:rPr>
        <w:footnoteRef/>
      </w:r>
      <w:r>
        <w:rPr>
          <w:lang w:val="fr-BE"/>
        </w:rPr>
        <w:tab/>
        <w:t xml:space="preserve">Tel que décrit dans la partie 1.4.2. «Objectif(s) spécifique(s)…». </w:t>
      </w:r>
    </w:p>
  </w:footnote>
  <w:footnote w:id="17">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9">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0">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1">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20"/>
  </w:num>
  <w:num w:numId="26">
    <w:abstractNumId w:val="21"/>
  </w:num>
  <w:num w:numId="27">
    <w:abstractNumId w:val="11"/>
  </w:num>
  <w:num w:numId="28">
    <w:abstractNumId w:val="19"/>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2 09:28: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E25E95F-C266-49E5-A294-E05D4BECA5FA"/>
    <w:docVar w:name="LW_COVERPAGE_TYPE" w:val="1"/>
    <w:docVar w:name="LW_CROSSREFERENCE" w:val="&lt;UNUSED&gt;"/>
    <w:docVar w:name="LW_DocType" w:val="COM"/>
    <w:docVar w:name="LW_EMISSION" w:val="25.5.2020"/>
    <w:docVar w:name="LW_EMISSION_ISODATE" w:val="2020-05-25"/>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86"/>
    <w:docVar w:name="LW_REF.II.NEW.CP_YEAR" w:val="2020"/>
    <w:docVar w:name="LW_REF.INST.NEW" w:val="COM"/>
    <w:docVar w:name="LW_REF.INST.NEW_ADOPTED" w:val="final"/>
    <w:docVar w:name="LW_REF.INST.NEW_TEXT" w:val="(2020)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 1303/2013 en ce qui concerne les ressources affectées à la dotation spécifique allouée à l'initiative pour l'emploi des jeun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953">
      <w:bodyDiv w:val="1"/>
      <w:marLeft w:val="0"/>
      <w:marRight w:val="0"/>
      <w:marTop w:val="0"/>
      <w:marBottom w:val="0"/>
      <w:divBdr>
        <w:top w:val="none" w:sz="0" w:space="0" w:color="auto"/>
        <w:left w:val="none" w:sz="0" w:space="0" w:color="auto"/>
        <w:bottom w:val="none" w:sz="0" w:space="0" w:color="auto"/>
        <w:right w:val="none" w:sz="0" w:space="0" w:color="auto"/>
      </w:divBdr>
    </w:div>
    <w:div w:id="293368241">
      <w:bodyDiv w:val="1"/>
      <w:marLeft w:val="0"/>
      <w:marRight w:val="0"/>
      <w:marTop w:val="0"/>
      <w:marBottom w:val="0"/>
      <w:divBdr>
        <w:top w:val="none" w:sz="0" w:space="0" w:color="auto"/>
        <w:left w:val="none" w:sz="0" w:space="0" w:color="auto"/>
        <w:bottom w:val="none" w:sz="0" w:space="0" w:color="auto"/>
        <w:right w:val="none" w:sz="0" w:space="0" w:color="auto"/>
      </w:divBdr>
    </w:div>
    <w:div w:id="348601436">
      <w:bodyDiv w:val="1"/>
      <w:marLeft w:val="0"/>
      <w:marRight w:val="0"/>
      <w:marTop w:val="0"/>
      <w:marBottom w:val="0"/>
      <w:divBdr>
        <w:top w:val="none" w:sz="0" w:space="0" w:color="auto"/>
        <w:left w:val="none" w:sz="0" w:space="0" w:color="auto"/>
        <w:bottom w:val="none" w:sz="0" w:space="0" w:color="auto"/>
        <w:right w:val="none" w:sz="0" w:space="0" w:color="auto"/>
      </w:divBdr>
    </w:div>
    <w:div w:id="1094934940">
      <w:bodyDiv w:val="1"/>
      <w:marLeft w:val="0"/>
      <w:marRight w:val="0"/>
      <w:marTop w:val="0"/>
      <w:marBottom w:val="0"/>
      <w:divBdr>
        <w:top w:val="none" w:sz="0" w:space="0" w:color="auto"/>
        <w:left w:val="none" w:sz="0" w:space="0" w:color="auto"/>
        <w:bottom w:val="none" w:sz="0" w:space="0" w:color="auto"/>
        <w:right w:val="none" w:sz="0" w:space="0" w:color="auto"/>
      </w:divBdr>
    </w:div>
    <w:div w:id="1120415626">
      <w:bodyDiv w:val="1"/>
      <w:marLeft w:val="0"/>
      <w:marRight w:val="0"/>
      <w:marTop w:val="0"/>
      <w:marBottom w:val="0"/>
      <w:divBdr>
        <w:top w:val="none" w:sz="0" w:space="0" w:color="auto"/>
        <w:left w:val="none" w:sz="0" w:space="0" w:color="auto"/>
        <w:bottom w:val="none" w:sz="0" w:space="0" w:color="auto"/>
        <w:right w:val="none" w:sz="0" w:space="0" w:color="auto"/>
      </w:divBdr>
    </w:div>
    <w:div w:id="1175340573">
      <w:bodyDiv w:val="1"/>
      <w:marLeft w:val="0"/>
      <w:marRight w:val="0"/>
      <w:marTop w:val="0"/>
      <w:marBottom w:val="0"/>
      <w:divBdr>
        <w:top w:val="none" w:sz="0" w:space="0" w:color="auto"/>
        <w:left w:val="none" w:sz="0" w:space="0" w:color="auto"/>
        <w:bottom w:val="none" w:sz="0" w:space="0" w:color="auto"/>
        <w:right w:val="none" w:sz="0" w:space="0" w:color="auto"/>
      </w:divBdr>
    </w:div>
    <w:div w:id="1185289113">
      <w:bodyDiv w:val="1"/>
      <w:marLeft w:val="0"/>
      <w:marRight w:val="0"/>
      <w:marTop w:val="0"/>
      <w:marBottom w:val="0"/>
      <w:divBdr>
        <w:top w:val="none" w:sz="0" w:space="0" w:color="auto"/>
        <w:left w:val="none" w:sz="0" w:space="0" w:color="auto"/>
        <w:bottom w:val="none" w:sz="0" w:space="0" w:color="auto"/>
        <w:right w:val="none" w:sz="0" w:space="0" w:color="auto"/>
      </w:divBdr>
    </w:div>
    <w:div w:id="1204438961">
      <w:bodyDiv w:val="1"/>
      <w:marLeft w:val="0"/>
      <w:marRight w:val="0"/>
      <w:marTop w:val="0"/>
      <w:marBottom w:val="0"/>
      <w:divBdr>
        <w:top w:val="none" w:sz="0" w:space="0" w:color="auto"/>
        <w:left w:val="none" w:sz="0" w:space="0" w:color="auto"/>
        <w:bottom w:val="none" w:sz="0" w:space="0" w:color="auto"/>
        <w:right w:val="none" w:sz="0" w:space="0" w:color="auto"/>
      </w:divBdr>
      <w:divsChild>
        <w:div w:id="912544142">
          <w:marLeft w:val="0"/>
          <w:marRight w:val="0"/>
          <w:marTop w:val="0"/>
          <w:marBottom w:val="0"/>
          <w:divBdr>
            <w:top w:val="none" w:sz="0" w:space="0" w:color="auto"/>
            <w:left w:val="none" w:sz="0" w:space="0" w:color="auto"/>
            <w:bottom w:val="none" w:sz="0" w:space="0" w:color="auto"/>
            <w:right w:val="none" w:sz="0" w:space="0" w:color="auto"/>
          </w:divBdr>
          <w:divsChild>
            <w:div w:id="1370688718">
              <w:marLeft w:val="0"/>
              <w:marRight w:val="0"/>
              <w:marTop w:val="0"/>
              <w:marBottom w:val="0"/>
              <w:divBdr>
                <w:top w:val="none" w:sz="0" w:space="0" w:color="auto"/>
                <w:left w:val="none" w:sz="0" w:space="0" w:color="auto"/>
                <w:bottom w:val="none" w:sz="0" w:space="0" w:color="auto"/>
                <w:right w:val="none" w:sz="0" w:space="0" w:color="auto"/>
              </w:divBdr>
              <w:divsChild>
                <w:div w:id="1549755144">
                  <w:marLeft w:val="0"/>
                  <w:marRight w:val="0"/>
                  <w:marTop w:val="0"/>
                  <w:marBottom w:val="0"/>
                  <w:divBdr>
                    <w:top w:val="none" w:sz="0" w:space="0" w:color="auto"/>
                    <w:left w:val="none" w:sz="0" w:space="0" w:color="auto"/>
                    <w:bottom w:val="none" w:sz="0" w:space="0" w:color="auto"/>
                    <w:right w:val="none" w:sz="0" w:space="0" w:color="auto"/>
                  </w:divBdr>
                  <w:divsChild>
                    <w:div w:id="1016152875">
                      <w:marLeft w:val="-150"/>
                      <w:marRight w:val="-150"/>
                      <w:marTop w:val="0"/>
                      <w:marBottom w:val="0"/>
                      <w:divBdr>
                        <w:top w:val="none" w:sz="0" w:space="0" w:color="auto"/>
                        <w:left w:val="none" w:sz="0" w:space="0" w:color="auto"/>
                        <w:bottom w:val="none" w:sz="0" w:space="0" w:color="auto"/>
                        <w:right w:val="none" w:sz="0" w:space="0" w:color="auto"/>
                      </w:divBdr>
                      <w:divsChild>
                        <w:div w:id="1481651345">
                          <w:marLeft w:val="0"/>
                          <w:marRight w:val="0"/>
                          <w:marTop w:val="0"/>
                          <w:marBottom w:val="0"/>
                          <w:divBdr>
                            <w:top w:val="none" w:sz="0" w:space="0" w:color="auto"/>
                            <w:left w:val="none" w:sz="0" w:space="0" w:color="auto"/>
                            <w:bottom w:val="none" w:sz="0" w:space="0" w:color="auto"/>
                            <w:right w:val="none" w:sz="0" w:space="0" w:color="auto"/>
                          </w:divBdr>
                          <w:divsChild>
                            <w:div w:id="887644923">
                              <w:marLeft w:val="0"/>
                              <w:marRight w:val="0"/>
                              <w:marTop w:val="0"/>
                              <w:marBottom w:val="0"/>
                              <w:divBdr>
                                <w:top w:val="none" w:sz="0" w:space="0" w:color="auto"/>
                                <w:left w:val="none" w:sz="0" w:space="0" w:color="auto"/>
                                <w:bottom w:val="none" w:sz="0" w:space="0" w:color="auto"/>
                                <w:right w:val="none" w:sz="0" w:space="0" w:color="auto"/>
                              </w:divBdr>
                              <w:divsChild>
                                <w:div w:id="668337294">
                                  <w:marLeft w:val="0"/>
                                  <w:marRight w:val="0"/>
                                  <w:marTop w:val="0"/>
                                  <w:marBottom w:val="300"/>
                                  <w:divBdr>
                                    <w:top w:val="none" w:sz="0" w:space="0" w:color="auto"/>
                                    <w:left w:val="none" w:sz="0" w:space="0" w:color="auto"/>
                                    <w:bottom w:val="none" w:sz="0" w:space="0" w:color="auto"/>
                                    <w:right w:val="none" w:sz="0" w:space="0" w:color="auto"/>
                                  </w:divBdr>
                                  <w:divsChild>
                                    <w:div w:id="2065831939">
                                      <w:marLeft w:val="0"/>
                                      <w:marRight w:val="0"/>
                                      <w:marTop w:val="0"/>
                                      <w:marBottom w:val="0"/>
                                      <w:divBdr>
                                        <w:top w:val="none" w:sz="0" w:space="0" w:color="auto"/>
                                        <w:left w:val="none" w:sz="0" w:space="0" w:color="auto"/>
                                        <w:bottom w:val="none" w:sz="0" w:space="0" w:color="auto"/>
                                        <w:right w:val="none" w:sz="0" w:space="0" w:color="auto"/>
                                      </w:divBdr>
                                      <w:divsChild>
                                        <w:div w:id="832111539">
                                          <w:marLeft w:val="0"/>
                                          <w:marRight w:val="0"/>
                                          <w:marTop w:val="0"/>
                                          <w:marBottom w:val="0"/>
                                          <w:divBdr>
                                            <w:top w:val="none" w:sz="0" w:space="0" w:color="auto"/>
                                            <w:left w:val="none" w:sz="0" w:space="0" w:color="auto"/>
                                            <w:bottom w:val="none" w:sz="0" w:space="0" w:color="auto"/>
                                            <w:right w:val="none" w:sz="0" w:space="0" w:color="auto"/>
                                          </w:divBdr>
                                          <w:divsChild>
                                            <w:div w:id="16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043658">
      <w:bodyDiv w:val="1"/>
      <w:marLeft w:val="0"/>
      <w:marRight w:val="0"/>
      <w:marTop w:val="0"/>
      <w:marBottom w:val="0"/>
      <w:divBdr>
        <w:top w:val="none" w:sz="0" w:space="0" w:color="auto"/>
        <w:left w:val="none" w:sz="0" w:space="0" w:color="auto"/>
        <w:bottom w:val="none" w:sz="0" w:space="0" w:color="auto"/>
        <w:right w:val="none" w:sz="0" w:space="0" w:color="auto"/>
      </w:divBdr>
    </w:div>
    <w:div w:id="1354115141">
      <w:bodyDiv w:val="1"/>
      <w:marLeft w:val="0"/>
      <w:marRight w:val="0"/>
      <w:marTop w:val="0"/>
      <w:marBottom w:val="0"/>
      <w:divBdr>
        <w:top w:val="none" w:sz="0" w:space="0" w:color="auto"/>
        <w:left w:val="none" w:sz="0" w:space="0" w:color="auto"/>
        <w:bottom w:val="none" w:sz="0" w:space="0" w:color="auto"/>
        <w:right w:val="none" w:sz="0" w:space="0" w:color="auto"/>
      </w:divBdr>
    </w:div>
    <w:div w:id="17631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368B-AFA5-4E0D-8165-07E3533E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21</Pages>
  <Words>3409</Words>
  <Characters>19706</Characters>
  <Application>Microsoft Office Word</Application>
  <DocSecurity>0</DocSecurity>
  <Lines>1407</Lines>
  <Paragraphs>502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2019-01-07T11:00:00Z</cp:lastPrinted>
  <dcterms:created xsi:type="dcterms:W3CDTF">2020-05-07T09:46:00Z</dcterms:created>
  <dcterms:modified xsi:type="dcterms:W3CDTF">2020-05-12T07:28:00Z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