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E519CF-07DA-4621-9CEC-AE4D83E28080"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b/>
          <w:noProof/>
        </w:rPr>
      </w:pPr>
      <w:r>
        <w:rPr>
          <w:noProof/>
        </w:rPr>
        <w:t>Предложението има за цел да бъдат адаптирани размерът на наличните средства за икономическо, социално и териториално сближаване, предвидени в член 91, параграф 1 от Регламент (ЕС) № 1303/2013</w:t>
      </w:r>
      <w:r>
        <w:rPr>
          <w:rStyle w:val="FootnoteReference"/>
          <w:noProof/>
        </w:rPr>
        <w:footnoteReference w:id="1"/>
      </w:r>
      <w:r>
        <w:rPr>
          <w:noProof/>
        </w:rPr>
        <w:t xml:space="preserve">, размерът на специално разпределените средства за инициативата за младежка заетост („ИМЗ“), предвидени в член 92, параграф 5 от посочения регламент, и годишното разпределение на бюджетните кредити за поети задължения, съдържащо се в приложение VI към същия регламент, за да се отрази увеличението на специално разпределените средства за ИМЗ. По-конкретно, в съответствие с приетия бюджет за 2020 г. бюджетните кредити за поети задължения за специално разпределените средства за инициативата за младежка заетост за 2020 г. следва да бъдат увеличени със сумата от 28 333 334 EUR по текущи цени, с което общата сума за 2020 г. ще достигне 145 млн. евро. </w:t>
      </w:r>
    </w:p>
    <w:p>
      <w:pPr>
        <w:rPr>
          <w:b/>
          <w:noProof/>
        </w:rPr>
      </w:pPr>
      <w:r>
        <w:rPr>
          <w:noProof/>
        </w:rPr>
        <w:t xml:space="preserve">В предложението освен това се пояснява, че съответните разпоредби, които бяха въведени за улесняване на програмирането на допълнителните средства за ИМЗ през 2019 г., ще се прилагат и по отношение на допълнителните средства за ИМЗ през 2020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Настоящото предложение се явява следствие от бюджета на Съюза за 2020 г.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Предложението е съгласувано с другите предложения и инициативи, приети от Европейската комисия.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 xml:space="preserve">Настоящото преразглеждане се налага поради увеличението на специално разпределените средства за ИМЗ в бюджета на Съюза за 2020 г.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Предложението е съобразено с принципа на субсидиарност.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rPr>
          <w:noProof/>
        </w:rPr>
      </w:pPr>
      <w:r>
        <w:rPr>
          <w:noProof/>
        </w:rPr>
        <w:t xml:space="preserve">Предложението е пропорционално. То съдържа техническите корекции, наложили се след приемането на бюджета за 2020 г., с който се увеличават специално разпределените средства за ИМЗ.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Предлаган инструмент: изменение на действащия регламент.</w:t>
      </w:r>
    </w:p>
    <w:p>
      <w:pPr>
        <w:pBdr>
          <w:top w:val="nil"/>
          <w:left w:val="nil"/>
          <w:bottom w:val="nil"/>
          <w:right w:val="nil"/>
          <w:between w:val="nil"/>
          <w:bar w:val="nil"/>
        </w:pBdr>
        <w:spacing w:before="0" w:after="240"/>
        <w:rPr>
          <w:rFonts w:eastAsia="Arial Unicode MS"/>
          <w:noProof/>
        </w:rPr>
      </w:pPr>
      <w:r>
        <w:rPr>
          <w:noProof/>
        </w:rPr>
        <w:t>Комисията проучи възможните варианти за действие, които предлага правната уредба, и счита за необходимо да бъдат предложени изменения на Регламент (ЕС) № 1303/2013.</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Предвид специфичните обстоятелства, наложили изготвянето на настоящото предложение, не бяха направени нито последваща оценка, нито проверки за пригодност на съществуващото законодателство.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Предвид специфичните обстоятелства, наложили изготвянето на настоящото предложение, не бяха проведени консултации с външни заинтересовани страни.</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Използването на външни експертни становища не беше необходимо.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rPr>
          <w:noProof/>
        </w:rPr>
      </w:pPr>
      <w:r>
        <w:rPr>
          <w:noProof/>
        </w:rPr>
        <w:t>Това не е инициатива по линия на Програмата за пригодност и резултатност на регулаторната рамка (REFIT).</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Бюджетните кредити за поети задължения за 2020 г. във връзка със специално разпределените средства за ИМЗ следва да се увеличат с 28 333 334 EUR, така че да достигнат 145 млн. евро по текущи цени. </w:t>
      </w:r>
    </w:p>
    <w:p>
      <w:pPr>
        <w:pBdr>
          <w:top w:val="nil"/>
          <w:left w:val="nil"/>
          <w:bottom w:val="nil"/>
          <w:right w:val="nil"/>
          <w:between w:val="nil"/>
          <w:bar w:val="nil"/>
        </w:pBdr>
        <w:spacing w:before="0" w:after="240"/>
        <w:rPr>
          <w:noProof/>
        </w:rPr>
      </w:pPr>
      <w:r>
        <w:rPr>
          <w:noProof/>
        </w:rPr>
        <w:t>Очаква се предложеното изменение да доведе до допълнителни плащания през 2020 г. в размер на 3 млн. евро.</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 xml:space="preserve">Предложението има за цел да бъдат адаптирани размерът на наличните средства за икономическо, социално и териториално сближаване и размерът на специално разпределените средства за ИМЗ, предвидени съответно в член 91, параграф 1 и в член 92, параграф 5 от Регламент (ЕС) № 1303/2013, както и годишното разпределение на бюджетните кредити за поети задължения, съдържащо се в приложение VI, така че да бъдат отразени допълнителните средства за специално разпределените средства за ИМЗ. Поради това, в съответствие с приетия бюджет за 2020 г. бюджетните кредити за поети задължения за специално разпределените средства за ИМЗ следва да се увеличат със сумата от 28 333 334 EUR по текущи цени, в резултат на което общата сума за 2020 г. ще възлезе на 145 млн. евро по текущи цени. </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2020/0086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по отношение на специално разпределените средства за инициативата за младежка заетост</w:t>
      </w:r>
    </w:p>
    <w:p>
      <w:pPr>
        <w:pStyle w:val="Institutionquiagit"/>
        <w:rPr>
          <w:noProof/>
          <w:szCs w:val="24"/>
        </w:rPr>
      </w:pPr>
      <w:r>
        <w:rPr>
          <w:noProof/>
        </w:rPr>
        <w:t>ЕВРОПЕЙСКИЯТ ПАРЛАМЕНТ И СЪВЕТЪТ НА ЕВРОПЕЙСКИЯ СЪЮЗ,</w:t>
      </w:r>
    </w:p>
    <w:p>
      <w:pPr>
        <w:rPr>
          <w:noProof/>
          <w:szCs w:val="24"/>
        </w:rPr>
      </w:pPr>
      <w:r>
        <w:rPr>
          <w:noProof/>
        </w:rPr>
        <w:t>като взеха предвид Договора за функционирането на Европейския съюз, и по-специално член 177 от него,</w:t>
      </w:r>
    </w:p>
    <w:p>
      <w:pPr>
        <w:rPr>
          <w:noProof/>
          <w:szCs w:val="24"/>
        </w:rPr>
      </w:pPr>
      <w:r>
        <w:rPr>
          <w:noProof/>
        </w:rPr>
        <w:t>като взеха предвид предложението на Европейската комисия,</w:t>
      </w:r>
    </w:p>
    <w:p>
      <w:pPr>
        <w:rPr>
          <w:noProof/>
          <w:szCs w:val="24"/>
        </w:rPr>
      </w:pPr>
      <w:r>
        <w:rPr>
          <w:noProof/>
        </w:rPr>
        <w:t>след предаване на проекта на законодателния акт на националните парламенти,</w:t>
      </w:r>
    </w:p>
    <w:p>
      <w:pPr>
        <w:rPr>
          <w:noProof/>
          <w:szCs w:val="24"/>
        </w:rPr>
      </w:pPr>
      <w:r>
        <w:rPr>
          <w:noProof/>
        </w:rPr>
        <w:t>като взеха предвид становището на Европейския икономически и социален комитет</w:t>
      </w:r>
      <w:r>
        <w:rPr>
          <w:rStyle w:val="FootnoteReference"/>
          <w:noProof/>
          <w:szCs w:val="24"/>
        </w:rPr>
        <w:footnoteReference w:id="2"/>
      </w:r>
      <w:r>
        <w:rPr>
          <w:noProof/>
        </w:rPr>
        <w:t>,</w:t>
      </w:r>
    </w:p>
    <w:p>
      <w:pPr>
        <w:rPr>
          <w:noProof/>
          <w:szCs w:val="24"/>
        </w:rPr>
      </w:pPr>
      <w:r>
        <w:rPr>
          <w:noProof/>
        </w:rPr>
        <w:t>като взеха предвид становището на Комитета на регионите</w:t>
      </w:r>
      <w:r>
        <w:rPr>
          <w:rStyle w:val="FootnoteReference"/>
          <w:noProof/>
          <w:szCs w:val="24"/>
        </w:rPr>
        <w:footnoteReference w:id="3"/>
      </w:r>
      <w:r>
        <w:rPr>
          <w:noProof/>
        </w:rPr>
        <w:t>,</w:t>
      </w:r>
    </w:p>
    <w:p>
      <w:pPr>
        <w:rPr>
          <w:noProof/>
          <w:szCs w:val="24"/>
        </w:rPr>
      </w:pPr>
      <w:r>
        <w:rPr>
          <w:noProof/>
        </w:rPr>
        <w:t>в съответствие с обикновената законодателна процедура,</w:t>
      </w:r>
    </w:p>
    <w:p>
      <w:pPr>
        <w:rPr>
          <w:noProof/>
          <w:szCs w:val="24"/>
        </w:rPr>
      </w:pPr>
      <w:r>
        <w:rPr>
          <w:noProof/>
        </w:rPr>
        <w:t>като имат предвид, че:</w:t>
      </w:r>
    </w:p>
    <w:p>
      <w:pPr>
        <w:pStyle w:val="ManualConsidrant"/>
        <w:rPr>
          <w:noProof/>
          <w:szCs w:val="24"/>
        </w:rPr>
      </w:pPr>
      <w:r>
        <w:t>(1)</w:t>
      </w:r>
      <w:r>
        <w:tab/>
      </w:r>
      <w:r>
        <w:rPr>
          <w:noProof/>
        </w:rPr>
        <w:t>С Регламент (ЕС) № 1303/2013 на Европейския парламент и на Съвета</w:t>
      </w:r>
      <w:r>
        <w:rPr>
          <w:rStyle w:val="FootnoteReference"/>
          <w:noProof/>
          <w:szCs w:val="24"/>
        </w:rPr>
        <w:footnoteReference w:id="4"/>
      </w:r>
      <w:r>
        <w:rPr>
          <w:noProof/>
        </w:rPr>
        <w:t xml:space="preserve"> се определят общоприложимите и общите правила, приложими за европейските структурни и инвестиционни фондове.</w:t>
      </w:r>
    </w:p>
    <w:p>
      <w:pPr>
        <w:pStyle w:val="ManualConsidrant"/>
        <w:rPr>
          <w:noProof/>
          <w:szCs w:val="24"/>
        </w:rPr>
      </w:pPr>
      <w:r>
        <w:t>(2)</w:t>
      </w:r>
      <w:r>
        <w:tab/>
      </w:r>
      <w:r>
        <w:rPr>
          <w:noProof/>
        </w:rPr>
        <w:t>С общия бюджет на Съюза за финансовата 2020 година</w:t>
      </w:r>
      <w:r>
        <w:rPr>
          <w:rStyle w:val="FootnoteReference"/>
          <w:noProof/>
        </w:rPr>
        <w:footnoteReference w:id="5"/>
      </w:r>
      <w:r>
        <w:rPr>
          <w:noProof/>
        </w:rPr>
        <w:t xml:space="preserve"> бе изменен общият размер на средствата за инициативата за младежка заетост („ИМЗ“), като бюджетните кредити за поети задължения за специално разпределените средства за ИМЗ през 2020 г. бяха увеличени със сумата от 28 333 334 EUR по текущи цени, в резултат на което бюджетните кредити за поети задължения за специално разпределените средства за ИМЗ за целия програмен период са в общ размер на 4 556 215 406 EUR по текущи цени. </w:t>
      </w:r>
    </w:p>
    <w:p>
      <w:pPr>
        <w:pStyle w:val="ManualConsidrant"/>
        <w:rPr>
          <w:noProof/>
          <w:szCs w:val="24"/>
        </w:rPr>
      </w:pPr>
      <w:r>
        <w:t>(3)</w:t>
      </w:r>
      <w:r>
        <w:tab/>
      </w:r>
      <w:r>
        <w:rPr>
          <w:noProof/>
        </w:rPr>
        <w:t>За 2020 г. допълнителните средства в размер на 23,7 млн. евро по цени от 2011 г. се финансират от общия марж за поетите задължения в рамките на маржа на многогодишната финансова рамка за периода 2014—2020 г.</w:t>
      </w:r>
    </w:p>
    <w:p>
      <w:pPr>
        <w:pStyle w:val="ManualConsidrant"/>
        <w:rPr>
          <w:noProof/>
          <w:szCs w:val="24"/>
        </w:rPr>
      </w:pPr>
      <w:r>
        <w:t>(4)</w:t>
      </w:r>
      <w:r>
        <w:tab/>
      </w:r>
      <w:r>
        <w:rPr>
          <w:noProof/>
        </w:rPr>
        <w:t xml:space="preserve">Предвид спешната необходимост от изменение на програмите в подкрепа на ИМЗ, така че да се включат допълнителните средства във връзка със специално разпределените средства за ИМЗ преди края на 2020 г., настоящият регламент </w:t>
      </w:r>
      <w:r>
        <w:rPr>
          <w:noProof/>
        </w:rPr>
        <w:lastRenderedPageBreak/>
        <w:t xml:space="preserve">следва да влезе в сила в деня след деня на публикуването му в </w:t>
      </w:r>
      <w:r>
        <w:rPr>
          <w:i/>
          <w:iCs/>
          <w:noProof/>
        </w:rPr>
        <w:t>Официален вестник на Европейския съюз</w:t>
      </w:r>
      <w:r>
        <w:rPr>
          <w:noProof/>
        </w:rPr>
        <w:t>.</w:t>
      </w:r>
    </w:p>
    <w:p>
      <w:pPr>
        <w:pStyle w:val="ManualConsidrant"/>
        <w:rPr>
          <w:noProof/>
          <w:szCs w:val="24"/>
        </w:rPr>
      </w:pPr>
      <w:r>
        <w:t>(5)</w:t>
      </w:r>
      <w:r>
        <w:tab/>
      </w:r>
      <w:r>
        <w:rPr>
          <w:noProof/>
        </w:rPr>
        <w:t>Поради това Регламент (ЕС) № 1303/2013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1303/2013 се изменя, както следва:</w:t>
      </w:r>
    </w:p>
    <w:p>
      <w:pPr>
        <w:pStyle w:val="Point0"/>
        <w:rPr>
          <w:noProof/>
        </w:rPr>
      </w:pPr>
      <w:r>
        <w:t>(1)</w:t>
      </w:r>
      <w:r>
        <w:tab/>
      </w:r>
      <w:r>
        <w:rPr>
          <w:noProof/>
        </w:rPr>
        <w:t>В член 91 параграф 1 се заменя със следното:</w:t>
      </w:r>
    </w:p>
    <w:p>
      <w:pPr>
        <w:pStyle w:val="Text1"/>
        <w:rPr>
          <w:noProof/>
        </w:rPr>
      </w:pPr>
      <w:r>
        <w:rPr>
          <w:noProof/>
        </w:rPr>
        <w:t>„1. Наличните средства за поемане на бюджетни задължения за икономическо, социално и териториално сближаване за периода 2014—2020 г. са в размер на 330 105 627 309 EUR по цени от 2011 г. в съответствие с годишното разпределение, посочено в приложение VI, от които 325 938 694 233 EUR представляват глобалните средства, разпределени за ЕФРР, ЕСФ и Кохезионния фонд, а 4 166 933 076 EUR представляват специално разпределени средства за инициативата за младежка заетост. За целите на програмирането и последващото включване в бюджета на Съюза размерът на средствата за икономическо, социално и териториално сближаване се индексира с 2 % годишно.“</w:t>
      </w:r>
    </w:p>
    <w:p>
      <w:pPr>
        <w:pStyle w:val="Point0"/>
        <w:rPr>
          <w:noProof/>
        </w:rPr>
      </w:pPr>
      <w:r>
        <w:t>(2)</w:t>
      </w:r>
      <w:r>
        <w:tab/>
      </w:r>
      <w:r>
        <w:rPr>
          <w:noProof/>
        </w:rPr>
        <w:t>В член 92 параграф 5 се заменя със следното:</w:t>
      </w:r>
    </w:p>
    <w:p>
      <w:pPr>
        <w:pStyle w:val="Text1"/>
        <w:rPr>
          <w:noProof/>
        </w:rPr>
      </w:pPr>
      <w:r>
        <w:rPr>
          <w:noProof/>
        </w:rPr>
        <w:t>„5. Средствата за инициативата за младежка заетост са в размер на 4 166 933 076 EUR, от които 23,7 млн. евро представляват допълнителните средства за 2020 г. Те се допълват от целеви инвестиции по линия на ЕСФ в съответствие с член 22 от Регламент (ЕС) № 1304/2013.</w:t>
      </w:r>
    </w:p>
    <w:p>
      <w:pPr>
        <w:pStyle w:val="Text1"/>
        <w:rPr>
          <w:noProof/>
        </w:rPr>
      </w:pPr>
      <w:r>
        <w:rPr>
          <w:noProof/>
        </w:rPr>
        <w:t>Държавите членки, които се ползват от допълнителните средства по линия на специално разпределените средства за инициативата за младежка заетост, могат да поискат прехвърлянето към ЕСФ на до 50 % от допълнителните средства по линия на специално разпределените за инициативата за младежка заетост средства, което да съставлява размера на съответните целеви инвестиции по линия на ЕСФ, изискуем по силата на член 22, параграф 1 от Регламент (ЕС) № 1304/2013. Такова прехвърляне се извършва в полза на различните категории региони, съответстващи на категоризацията на регионите, които отговарят на условията за целите на увеличението на специално разпределените средства за инициативата за младежка заетост. Държавите членки заявяват прехвърлянето в искането за изменение на програмата в съответствие с член 30, параграф 1 от настоящия регламент. Средствата, разпределени за предходни години, не могат да се прехвърлят.</w:t>
      </w:r>
    </w:p>
    <w:p>
      <w:pPr>
        <w:pStyle w:val="Text1"/>
        <w:rPr>
          <w:noProof/>
        </w:rPr>
      </w:pPr>
      <w:r>
        <w:rPr>
          <w:noProof/>
        </w:rPr>
        <w:t>Втората алинея се прилага за всички допълнителни средства по линия на специално разпределените средства за инициативата за младежка заетост, разпределени през 2019 и 2020 г.“</w:t>
      </w:r>
    </w:p>
    <w:p>
      <w:pPr>
        <w:pStyle w:val="Point0"/>
        <w:rPr>
          <w:noProof/>
        </w:rPr>
      </w:pPr>
      <w:r>
        <w:t>(3)</w:t>
      </w:r>
      <w:r>
        <w:tab/>
      </w:r>
      <w:r>
        <w:rPr>
          <w:noProof/>
        </w:rPr>
        <w:t>Приложение VI се заменя с текста в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изменение на Регламент (ЕС) № 1303/2013 по отношение на специално разпределените средства за инициативата за младежка заетост</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bCs/>
          <w:noProof/>
        </w:rPr>
        <w:footnoteReference w:id="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Трудова заетост, социални въпроси и приобщаване</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64 — Инициатива за младежка заетост (ИМЗ)</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bCs/>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bCs/>
          <w:noProof/>
        </w:rPr>
        <w:t>ново действие след пилотен проект/подготвително действие</w:t>
      </w:r>
      <w:r>
        <w:rPr>
          <w:rStyle w:val="FootnoteReference"/>
          <w:b/>
          <w:noProof/>
        </w:rPr>
        <w:footnoteReference w:id="7"/>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Предложението/инициативата е във връзка с </w:t>
      </w:r>
      <w:r>
        <w:rPr>
          <w:b/>
          <w:bCs/>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bCs/>
          <w:noProof/>
        </w:rPr>
        <w:t>действие, пренасочено към ново действие</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 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Изисквания, които трябва да бъдат изпълнени в краткосрочна или дългосрочна перспектива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1.5.2.</w:t>
      </w:r>
      <w:r>
        <w:rPr>
          <w:noProof/>
        </w:rPr>
        <w:tab/>
        <w:t>Добавена стойност от участието на ЕС</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1.5.4.</w:t>
      </w:r>
      <w:r>
        <w:rPr>
          <w:noProof/>
        </w:rPr>
        <w:tab/>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bCs/>
          <w:noProof/>
        </w:rPr>
        <w:t>ограничен срок на действие</w:t>
      </w:r>
      <w:r>
        <w:rPr>
          <w:b/>
          <w:noProof/>
        </w:rPr>
        <w:t xml:space="preserve"> </w:t>
      </w:r>
    </w:p>
    <w:p>
      <w:pPr>
        <w:pStyle w:val="ListDash2"/>
        <w:rPr>
          <w:noProof/>
        </w:rPr>
      </w:pPr>
      <w:r>
        <w:rPr>
          <w:noProof/>
        </w:rPr>
        <w:sym w:font="Wingdings" w:char="F078"/>
      </w:r>
      <w:r>
        <w:rPr>
          <w:noProof/>
        </w:rPr>
        <w:tab/>
        <w:t>Предложение/инициатива в сила от 1.1.2017 г. до 31.12.2023 г.</w:t>
      </w:r>
    </w:p>
    <w:p>
      <w:pPr>
        <w:pStyle w:val="ListDash2"/>
        <w:rPr>
          <w:noProof/>
        </w:rPr>
      </w:pPr>
      <w:r>
        <w:rPr>
          <w:noProof/>
        </w:rPr>
        <w:sym w:font="Wingdings" w:char="F078"/>
      </w:r>
      <w:r>
        <w:rPr>
          <w:noProof/>
        </w:rPr>
        <w:tab/>
        <w:t>Финансово отражение от 2017 г. до 2020 г.</w:t>
      </w:r>
    </w:p>
    <w:p>
      <w:pPr>
        <w:pStyle w:val="Text1"/>
        <w:rPr>
          <w:noProof/>
        </w:rPr>
      </w:pPr>
      <w:r>
        <w:rPr>
          <w:noProof/>
        </w:rPr>
        <w:sym w:font="Wingdings" w:char="F0A8"/>
      </w:r>
      <w:r>
        <w:rPr>
          <w:b/>
          <w:i/>
          <w:noProof/>
        </w:rPr>
        <w:t xml:space="preserve"> </w:t>
      </w:r>
      <w:r>
        <w:rPr>
          <w:noProof/>
        </w:rPr>
        <w:t xml:space="preserve">Предложение/инициатива с </w:t>
      </w:r>
      <w:r>
        <w:rPr>
          <w:b/>
          <w:bCs/>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bCs/>
          <w:noProof/>
        </w:rPr>
        <w:footnoteReference w:id="8"/>
      </w:r>
      <w:r>
        <w:rPr>
          <w:rStyle w:val="FootnoteReference"/>
          <w:noProof/>
        </w:rPr>
        <w:t xml:space="preserve">  </w:t>
      </w:r>
    </w:p>
    <w:p>
      <w:pPr>
        <w:pStyle w:val="Text1"/>
        <w:rPr>
          <w:noProof/>
        </w:rPr>
      </w:pPr>
      <w:r>
        <w:rPr>
          <w:noProof/>
        </w:rPr>
        <w:sym w:font="Wingdings" w:char="F0A8"/>
      </w:r>
      <w:r>
        <w:rPr>
          <w:i/>
          <w:noProof/>
        </w:rPr>
        <w:t xml:space="preserve"> </w:t>
      </w:r>
      <w:r>
        <w:rPr>
          <w:b/>
          <w:bCs/>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78"/>
      </w:r>
      <w:r>
        <w:rPr>
          <w:b/>
          <w:i/>
          <w:noProof/>
        </w:rPr>
        <w:t xml:space="preserve"> </w:t>
      </w:r>
      <w:r>
        <w:rPr>
          <w:b/>
          <w:bCs/>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bCs/>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noProof/>
        </w:rPr>
      </w:pPr>
      <w:r>
        <w:rPr>
          <w:noProof/>
        </w:rPr>
        <w:t>2.2.3.</w:t>
      </w:r>
      <w:r>
        <w:rPr>
          <w:noProof/>
        </w:rPr>
        <w:tab/>
        <w:t xml:space="preserve">Оценка на разходите и ползите от проверките и на очакваната степен на риска от грешки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rPr>
              <w:t xml:space="preserve"> </w:t>
            </w:r>
            <w:r>
              <w:rPr>
                <w:noProof/>
              </w:rPr>
              <w:br/>
            </w:r>
            <w:r>
              <w:rPr>
                <w:noProof/>
                <w:sz w:val="18"/>
                <w:szCs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t xml:space="preserve"> </w:t>
            </w:r>
            <w:r>
              <w:rPr>
                <w:noProof/>
              </w:rPr>
              <w:br/>
            </w:r>
            <w:r>
              <w:rPr>
                <w:noProof/>
                <w:sz w:val="20"/>
              </w:rPr>
              <w:t>[Функция………………………...……………]</w:t>
            </w:r>
          </w:p>
        </w:tc>
        <w:tc>
          <w:tcPr>
            <w:tcW w:w="1080" w:type="dxa"/>
            <w:vAlign w:val="center"/>
          </w:tcPr>
          <w:p>
            <w:pPr>
              <w:jc w:val="center"/>
              <w:rPr>
                <w:noProof/>
              </w:rPr>
            </w:pPr>
            <w:r>
              <w:rPr>
                <w:noProof/>
                <w:sz w:val="18"/>
              </w:rPr>
              <w:t>Многогод./едногод.</w:t>
            </w:r>
            <w:r>
              <w:rPr>
                <w:rStyle w:val="FootnoteReference"/>
                <w:noProof/>
                <w:sz w:val="18"/>
              </w:rPr>
              <w:footnoteReference w:id="9"/>
            </w:r>
            <w:r>
              <w:rPr>
                <w:noProof/>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11"/>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shd w:val="clear" w:color="auto" w:fill="auto"/>
            <w:vAlign w:val="center"/>
          </w:tcPr>
          <w:p>
            <w:pPr>
              <w:jc w:val="center"/>
              <w:rPr>
                <w:noProof/>
                <w:color w:val="0000FF"/>
              </w:rPr>
            </w:pPr>
            <w:r>
              <w:rPr>
                <w:noProof/>
              </w:rPr>
              <w:t>1 „Интелигентен и приобщаващ растеж“</w:t>
            </w:r>
          </w:p>
        </w:tc>
        <w:tc>
          <w:tcPr>
            <w:tcW w:w="3960" w:type="dxa"/>
            <w:vAlign w:val="center"/>
          </w:tcPr>
          <w:p>
            <w:pPr>
              <w:spacing w:after="60"/>
              <w:rPr>
                <w:noProof/>
              </w:rPr>
            </w:pPr>
            <w:r>
              <w:rPr>
                <w:noProof/>
              </w:rPr>
              <w:t>04 02 60 — Европейски социален фонд — По-слабо развити региони — Цел „Инвестиции за растеж и работни места“</w:t>
            </w:r>
          </w:p>
          <w:p>
            <w:pPr>
              <w:spacing w:after="60"/>
              <w:rPr>
                <w:noProof/>
              </w:rPr>
            </w:pPr>
          </w:p>
          <w:p>
            <w:pPr>
              <w:spacing w:after="60"/>
              <w:rPr>
                <w:noProof/>
              </w:rPr>
            </w:pPr>
            <w:r>
              <w:rPr>
                <w:noProof/>
              </w:rPr>
              <w:t xml:space="preserve">04 02 61 — Европейски социален фонд — Региони в преход — Цел „Инвестиции за растеж и работни места“ </w:t>
            </w:r>
          </w:p>
          <w:p>
            <w:pPr>
              <w:spacing w:after="60"/>
              <w:rPr>
                <w:noProof/>
              </w:rPr>
            </w:pPr>
          </w:p>
          <w:p>
            <w:pPr>
              <w:spacing w:after="60"/>
              <w:rPr>
                <w:noProof/>
              </w:rPr>
            </w:pPr>
            <w:r>
              <w:rPr>
                <w:noProof/>
              </w:rPr>
              <w:t>04 02 62 — Европейски социален фонд — По-силно развити региони — Цел „Инвестиции за растеж и работни места“</w:t>
            </w:r>
          </w:p>
          <w:p>
            <w:pPr>
              <w:spacing w:after="60"/>
              <w:rPr>
                <w:noProof/>
              </w:rPr>
            </w:pPr>
          </w:p>
          <w:p>
            <w:pPr>
              <w:spacing w:after="60"/>
              <w:rPr>
                <w:noProof/>
              </w:rPr>
            </w:pPr>
            <w:r>
              <w:rPr>
                <w:noProof/>
              </w:rPr>
              <w:t>04 02 64 — Инициатива за младежка заетост (ИМЗ)</w:t>
            </w:r>
          </w:p>
          <w:p>
            <w:pPr>
              <w:spacing w:after="60"/>
              <w:rPr>
                <w:noProof/>
              </w:rPr>
            </w:pPr>
          </w:p>
          <w:p>
            <w:pPr>
              <w:spacing w:after="60"/>
              <w:rPr>
                <w:noProof/>
              </w:rPr>
            </w:pPr>
          </w:p>
          <w:p>
            <w:pPr>
              <w:spacing w:after="60"/>
              <w:rPr>
                <w:noProof/>
              </w:rPr>
            </w:pPr>
          </w:p>
          <w:p>
            <w:pPr>
              <w:spacing w:after="60"/>
              <w:rPr>
                <w:noProof/>
              </w:rPr>
            </w:pPr>
          </w:p>
          <w:p>
            <w:pPr>
              <w:spacing w:after="60"/>
              <w:rPr>
                <w:noProof/>
              </w:rPr>
            </w:pPr>
          </w:p>
        </w:tc>
        <w:tc>
          <w:tcPr>
            <w:tcW w:w="1080" w:type="dxa"/>
            <w:vAlign w:val="center"/>
          </w:tcPr>
          <w:p>
            <w:pPr>
              <w:jc w:val="center"/>
              <w:rPr>
                <w:noProof/>
                <w:color w:val="0000FF"/>
              </w:rPr>
            </w:pPr>
            <w:r>
              <w:rPr>
                <w:noProof/>
              </w:rPr>
              <w:t>Многогод.</w:t>
            </w:r>
          </w:p>
        </w:tc>
        <w:tc>
          <w:tcPr>
            <w:tcW w:w="956" w:type="dxa"/>
            <w:vAlign w:val="center"/>
          </w:tcPr>
          <w:p>
            <w:pPr>
              <w:jc w:val="center"/>
              <w:rPr>
                <w:noProof/>
              </w:rPr>
            </w:pPr>
            <w:r>
              <w:rPr>
                <w:noProof/>
              </w:rPr>
              <w:t>НЕ</w:t>
            </w:r>
          </w:p>
        </w:tc>
        <w:tc>
          <w:tcPr>
            <w:tcW w:w="1080" w:type="dxa"/>
            <w:vAlign w:val="center"/>
          </w:tcPr>
          <w:p>
            <w:pPr>
              <w:jc w:val="center"/>
              <w:rPr>
                <w:noProof/>
              </w:rPr>
            </w:pPr>
            <w:r>
              <w:rPr>
                <w:noProof/>
              </w:rPr>
              <w:t>НЕ</w:t>
            </w:r>
          </w:p>
        </w:tc>
        <w:tc>
          <w:tcPr>
            <w:tcW w:w="956" w:type="dxa"/>
            <w:vAlign w:val="center"/>
          </w:tcPr>
          <w:p>
            <w:pPr>
              <w:jc w:val="center"/>
              <w:rPr>
                <w:noProof/>
              </w:rPr>
            </w:pPr>
            <w:r>
              <w:rPr>
                <w:noProof/>
              </w:rPr>
              <w:t>НЕ</w:t>
            </w:r>
          </w:p>
        </w:tc>
        <w:tc>
          <w:tcPr>
            <w:tcW w:w="1448" w:type="dxa"/>
            <w:vAlign w:val="center"/>
          </w:tcPr>
          <w:p>
            <w:pPr>
              <w:jc w:val="center"/>
              <w:rPr>
                <w:noProof/>
              </w:rPr>
            </w:pPr>
            <w:r>
              <w:rPr>
                <w:noProof/>
              </w:rPr>
              <w:t>НЕ</w:t>
            </w:r>
          </w:p>
        </w:tc>
      </w:tr>
    </w:tbl>
    <w:p>
      <w:pPr>
        <w:rPr>
          <w:noProof/>
        </w:rPr>
      </w:pPr>
    </w:p>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t xml:space="preserve"> </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t xml:space="preserve"> </w:t>
            </w:r>
            <w:r>
              <w:rPr>
                <w:noProof/>
              </w:rPr>
              <w:br/>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rPr>
              <w:t>ДА/НЕ</w:t>
            </w:r>
          </w:p>
        </w:tc>
        <w:tc>
          <w:tcPr>
            <w:tcW w:w="1080" w:type="dxa"/>
            <w:vAlign w:val="center"/>
          </w:tcPr>
          <w:p>
            <w:pPr>
              <w:jc w:val="center"/>
              <w:rPr>
                <w:noProof/>
                <w:color w:val="0000FF"/>
                <w:sz w:val="18"/>
              </w:rPr>
            </w:pPr>
            <w:r>
              <w:rPr>
                <w:noProof/>
              </w:rPr>
              <w:t>ДА/НЕ</w:t>
            </w:r>
          </w:p>
        </w:tc>
        <w:tc>
          <w:tcPr>
            <w:tcW w:w="956" w:type="dxa"/>
            <w:vAlign w:val="center"/>
          </w:tcPr>
          <w:p>
            <w:pPr>
              <w:jc w:val="center"/>
              <w:rPr>
                <w:noProof/>
                <w:color w:val="0000FF"/>
                <w:sz w:val="18"/>
              </w:rPr>
            </w:pPr>
            <w:r>
              <w:rPr>
                <w:noProof/>
              </w:rPr>
              <w:t>ДА/НЕ</w:t>
            </w:r>
          </w:p>
        </w:tc>
        <w:tc>
          <w:tcPr>
            <w:tcW w:w="1448" w:type="dxa"/>
            <w:vAlign w:val="center"/>
          </w:tcPr>
          <w:p>
            <w:pPr>
              <w:jc w:val="center"/>
              <w:rPr>
                <w:noProof/>
              </w:rPr>
            </w:pPr>
            <w:r>
              <w:rPr>
                <w:noProof/>
              </w:rPr>
              <w:t>ДА/НЕ</w:t>
            </w:r>
          </w:p>
        </w:tc>
      </w:tr>
    </w:tbl>
    <w:p>
      <w:pPr>
        <w:pStyle w:val="Institutionquisigne"/>
        <w:rPr>
          <w:noProof/>
        </w:rPr>
        <w:sectPr>
          <w:pgSz w:w="11907" w:h="16839"/>
          <w:pgMar w:top="1134" w:right="1417" w:bottom="1134" w:left="1417" w:header="709" w:footer="709" w:gutter="0"/>
          <w:cols w:space="708"/>
          <w:docGrid w:linePitch="360"/>
        </w:sectPr>
      </w:pPr>
    </w:p>
    <w:p>
      <w:pPr>
        <w:pStyle w:val="ManualHeading2"/>
        <w:rPr>
          <w:bCs/>
          <w:noProof/>
          <w:szCs w:val="24"/>
        </w:rPr>
      </w:pPr>
      <w:r>
        <w:rPr>
          <w:noProof/>
        </w:rPr>
        <w:t>3.2.</w:t>
      </w:r>
      <w:r>
        <w:rPr>
          <w:noProof/>
        </w:rPr>
        <w:tab/>
        <w:t xml:space="preserve">Очаквано отражение върху разходите </w:t>
      </w:r>
    </w:p>
    <w:p>
      <w:pPr>
        <w:pBdr>
          <w:top w:val="nil"/>
          <w:left w:val="nil"/>
          <w:bottom w:val="nil"/>
          <w:right w:val="nil"/>
          <w:between w:val="nil"/>
          <w:bar w:val="nil"/>
        </w:pBdr>
        <w:spacing w:before="0" w:after="240"/>
        <w:rPr>
          <w:noProof/>
        </w:rPr>
      </w:pPr>
      <w:r>
        <w:rPr>
          <w:noProof/>
        </w:rPr>
        <w:t>Бюджетните кредити за поети задължения за специално разпределените средства за ИМЗ за 2020 г. следва да се увеличат с 28 333 334 EUR</w:t>
      </w:r>
      <w:r>
        <w:rPr>
          <w:rStyle w:val="FootnoteReference"/>
          <w:noProof/>
        </w:rPr>
        <w:footnoteReference w:id="12"/>
      </w:r>
      <w:r>
        <w:rPr>
          <w:noProof/>
        </w:rPr>
        <w:t xml:space="preserve"> по текущи цени. Очаква се предложеното изменение да доведе до допълнителни плащания през 2020 г. в размер на 3 млн. евро.</w:t>
      </w:r>
    </w:p>
    <w:p>
      <w:pPr>
        <w:pStyle w:val="ManualHeading3"/>
        <w:rPr>
          <w:noProof/>
          <w:u w:val="single"/>
        </w:rPr>
      </w:pPr>
      <w:r>
        <w:rPr>
          <w:noProof/>
        </w:rPr>
        <w:t>3.2.1.</w:t>
      </w:r>
      <w:r>
        <w:rPr>
          <w:noProof/>
        </w:rPr>
        <w:tab/>
        <w:t xml:space="preserve">Обобщение на очакваното отражение върху разходите </w:t>
      </w:r>
    </w:p>
    <w:p>
      <w:pPr>
        <w:spacing w:before="0" w:after="200" w:line="276" w:lineRule="auto"/>
        <w:jc w:val="left"/>
        <w:rPr>
          <w:noProof/>
          <w:sz w:val="20"/>
        </w:rPr>
      </w:pPr>
      <w:r>
        <w:rPr>
          <w:noProof/>
        </w:rPr>
        <w:br w:type="page"/>
      </w:r>
    </w:p>
    <w:p>
      <w:pPr>
        <w:jc w:val="right"/>
        <w:rPr>
          <w:noProof/>
          <w:sz w:val="20"/>
        </w:rPr>
      </w:pPr>
      <w:r>
        <w:rPr>
          <w:noProof/>
          <w:sz w:val="20"/>
        </w:rPr>
        <w:t>млн. евро по текущи цени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trPr>
          <w:jc w:val="center"/>
        </w:trPr>
        <w:tc>
          <w:tcPr>
            <w:tcW w:w="5351" w:type="dxa"/>
            <w:shd w:val="thinDiagStripe" w:color="C0C0C0" w:fill="auto"/>
            <w:vAlign w:val="center"/>
          </w:tcPr>
          <w:p>
            <w:pPr>
              <w:spacing w:before="60" w:after="60"/>
              <w:jc w:val="center"/>
              <w:rPr>
                <w:b/>
                <w:noProof/>
              </w:rPr>
            </w:pPr>
            <w:r>
              <w:rPr>
                <w:b/>
                <w:noProof/>
              </w:rPr>
              <w:t xml:space="preserve">Функция от многогодишната финансова </w:t>
            </w:r>
            <w:r>
              <w:rPr>
                <w:noProof/>
              </w:rPr>
              <w:t xml:space="preserve"> </w:t>
            </w:r>
            <w:r>
              <w:rPr>
                <w:noProof/>
              </w:rPr>
              <w:br/>
            </w:r>
            <w:r>
              <w:rPr>
                <w:b/>
                <w:bCs/>
                <w:noProof/>
              </w:rPr>
              <w:t>рамка</w:t>
            </w:r>
            <w:r>
              <w:rPr>
                <w:b/>
                <w:noProof/>
              </w:rPr>
              <w:t xml:space="preserve"> </w:t>
            </w:r>
          </w:p>
        </w:tc>
        <w:tc>
          <w:tcPr>
            <w:tcW w:w="1080" w:type="dxa"/>
            <w:vAlign w:val="center"/>
          </w:tcPr>
          <w:p>
            <w:pPr>
              <w:spacing w:before="60" w:after="60"/>
              <w:jc w:val="center"/>
              <w:rPr>
                <w:noProof/>
              </w:rPr>
            </w:pPr>
            <w:r>
              <w:rPr>
                <w:noProof/>
                <w:sz w:val="22"/>
              </w:rPr>
              <w:t>Номер</w:t>
            </w:r>
          </w:p>
          <w:p>
            <w:pPr>
              <w:spacing w:before="60" w:after="60"/>
              <w:jc w:val="center"/>
              <w:rPr>
                <w:noProof/>
              </w:rPr>
            </w:pPr>
            <w:r>
              <w:rPr>
                <w:noProof/>
                <w:sz w:val="22"/>
              </w:rPr>
              <w:t>1б</w:t>
            </w:r>
          </w:p>
        </w:tc>
        <w:tc>
          <w:tcPr>
            <w:tcW w:w="7817" w:type="dxa"/>
            <w:vAlign w:val="center"/>
          </w:tcPr>
          <w:p>
            <w:pPr>
              <w:spacing w:before="60" w:after="60"/>
              <w:rPr>
                <w:noProof/>
              </w:rPr>
            </w:pPr>
            <w:r>
              <w:rPr>
                <w:noProof/>
              </w:rPr>
              <w:t>Интелигентен и приобщаващ растеж</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tc>
          <w:tcPr>
            <w:tcW w:w="2203" w:type="dxa"/>
            <w:vAlign w:val="center"/>
          </w:tcPr>
          <w:p>
            <w:pPr>
              <w:jc w:val="center"/>
              <w:rPr>
                <w:noProof/>
              </w:rPr>
            </w:pPr>
            <w:r>
              <w:rPr>
                <w:noProof/>
                <w:sz w:val="22"/>
              </w:rPr>
              <w:t xml:space="preserve">ГД: </w:t>
            </w:r>
            <w:r>
              <w:rPr>
                <w:noProof/>
              </w:rPr>
              <w:t xml:space="preserve">„Трудова заетост, социални въпроси и приобщаване“, „Регионална и селищна политика“ </w:t>
            </w:r>
          </w:p>
        </w:tc>
        <w:tc>
          <w:tcPr>
            <w:tcW w:w="3119" w:type="dxa"/>
          </w:tcPr>
          <w:p>
            <w:pPr>
              <w:rPr>
                <w:noProof/>
                <w:sz w:val="20"/>
              </w:rPr>
            </w:pPr>
          </w:p>
        </w:tc>
        <w:tc>
          <w:tcPr>
            <w:tcW w:w="425" w:type="dxa"/>
          </w:tcPr>
          <w:p>
            <w:pPr>
              <w:jc w:val="center"/>
              <w:rPr>
                <w:noProof/>
                <w:sz w:val="20"/>
              </w:rPr>
            </w:pPr>
          </w:p>
        </w:tc>
        <w:tc>
          <w:tcPr>
            <w:tcW w:w="709" w:type="dxa"/>
          </w:tcPr>
          <w:p>
            <w:pPr>
              <w:rPr>
                <w:noProof/>
              </w:rPr>
            </w:pPr>
            <w:r>
              <w:rPr>
                <w:noProof/>
              </w:rPr>
              <w:t>2014 г.</w:t>
            </w:r>
          </w:p>
        </w:tc>
        <w:tc>
          <w:tcPr>
            <w:tcW w:w="708" w:type="dxa"/>
          </w:tcPr>
          <w:p>
            <w:pPr>
              <w:rPr>
                <w:noProof/>
              </w:rPr>
            </w:pPr>
            <w:r>
              <w:rPr>
                <w:noProof/>
              </w:rPr>
              <w:t>2015 г.</w:t>
            </w:r>
          </w:p>
        </w:tc>
        <w:tc>
          <w:tcPr>
            <w:tcW w:w="709" w:type="dxa"/>
          </w:tcPr>
          <w:p>
            <w:pPr>
              <w:rPr>
                <w:noProof/>
              </w:rPr>
            </w:pPr>
            <w:r>
              <w:rPr>
                <w:noProof/>
              </w:rPr>
              <w:t>2016 г.</w:t>
            </w:r>
          </w:p>
        </w:tc>
        <w:tc>
          <w:tcPr>
            <w:tcW w:w="1276" w:type="dxa"/>
          </w:tcPr>
          <w:p>
            <w:pPr>
              <w:rPr>
                <w:noProof/>
              </w:rPr>
            </w:pPr>
            <w:r>
              <w:rPr>
                <w:noProof/>
              </w:rPr>
              <w:t>2017 г.</w:t>
            </w:r>
          </w:p>
        </w:tc>
        <w:tc>
          <w:tcPr>
            <w:tcW w:w="1276" w:type="dxa"/>
          </w:tcPr>
          <w:p>
            <w:pPr>
              <w:rPr>
                <w:noProof/>
              </w:rPr>
            </w:pPr>
            <w:r>
              <w:rPr>
                <w:noProof/>
              </w:rPr>
              <w:t>2018 г.</w:t>
            </w:r>
          </w:p>
        </w:tc>
        <w:tc>
          <w:tcPr>
            <w:tcW w:w="1275" w:type="dxa"/>
          </w:tcPr>
          <w:p>
            <w:pPr>
              <w:rPr>
                <w:noProof/>
              </w:rPr>
            </w:pPr>
            <w:r>
              <w:rPr>
                <w:noProof/>
              </w:rPr>
              <w:t>2019 г.</w:t>
            </w:r>
          </w:p>
        </w:tc>
        <w:tc>
          <w:tcPr>
            <w:tcW w:w="1276" w:type="dxa"/>
          </w:tcPr>
          <w:p>
            <w:pPr>
              <w:rPr>
                <w:noProof/>
              </w:rPr>
            </w:pPr>
            <w:r>
              <w:rPr>
                <w:noProof/>
              </w:rPr>
              <w:t>2020 г.</w:t>
            </w:r>
          </w:p>
        </w:tc>
        <w:tc>
          <w:tcPr>
            <w:tcW w:w="1518" w:type="dxa"/>
            <w:vAlign w:val="center"/>
          </w:tcPr>
          <w:p>
            <w:pPr>
              <w:jc w:val="center"/>
              <w:rPr>
                <w:b/>
                <w:noProof/>
                <w:sz w:val="20"/>
              </w:rPr>
            </w:pPr>
            <w:r>
              <w:rPr>
                <w:b/>
                <w:noProof/>
                <w:sz w:val="20"/>
              </w:rPr>
              <w:t>ОБЩО</w:t>
            </w:r>
          </w:p>
        </w:tc>
      </w:tr>
      <w:tr>
        <w:trPr>
          <w:trHeight w:val="213"/>
        </w:trPr>
        <w:tc>
          <w:tcPr>
            <w:tcW w:w="5747" w:type="dxa"/>
            <w:gridSpan w:val="3"/>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709" w:type="dxa"/>
            <w:vAlign w:val="center"/>
          </w:tcPr>
          <w:p>
            <w:pPr>
              <w:rPr>
                <w:noProof/>
                <w:sz w:val="20"/>
              </w:rPr>
            </w:pPr>
          </w:p>
        </w:tc>
        <w:tc>
          <w:tcPr>
            <w:tcW w:w="708" w:type="dxa"/>
            <w:vAlign w:val="center"/>
          </w:tcPr>
          <w:p>
            <w:pPr>
              <w:rPr>
                <w:noProof/>
                <w:sz w:val="20"/>
              </w:rPr>
            </w:pPr>
          </w:p>
        </w:tc>
        <w:tc>
          <w:tcPr>
            <w:tcW w:w="709" w:type="dxa"/>
            <w:vAlign w:val="center"/>
          </w:tcPr>
          <w:p>
            <w:pPr>
              <w:rPr>
                <w:noProof/>
                <w:sz w:val="20"/>
              </w:rPr>
            </w:pPr>
          </w:p>
        </w:tc>
        <w:tc>
          <w:tcPr>
            <w:tcW w:w="1276" w:type="dxa"/>
            <w:vAlign w:val="center"/>
          </w:tcPr>
          <w:p>
            <w:pPr>
              <w:rPr>
                <w:noProof/>
                <w:sz w:val="20"/>
              </w:rPr>
            </w:pPr>
          </w:p>
        </w:tc>
        <w:tc>
          <w:tcPr>
            <w:tcW w:w="1276" w:type="dxa"/>
            <w:vAlign w:val="center"/>
          </w:tcPr>
          <w:p>
            <w:pPr>
              <w:rPr>
                <w:noProof/>
                <w:sz w:val="20"/>
              </w:rPr>
            </w:pPr>
          </w:p>
        </w:tc>
        <w:tc>
          <w:tcPr>
            <w:tcW w:w="1275" w:type="dxa"/>
            <w:vAlign w:val="center"/>
          </w:tcPr>
          <w:p>
            <w:pPr>
              <w:rPr>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277"/>
        </w:trPr>
        <w:tc>
          <w:tcPr>
            <w:tcW w:w="2203" w:type="dxa"/>
            <w:vAlign w:val="center"/>
          </w:tcPr>
          <w:p>
            <w:pPr>
              <w:spacing w:before="60"/>
              <w:rPr>
                <w:noProof/>
                <w:sz w:val="21"/>
              </w:rPr>
            </w:pPr>
            <w:r>
              <w:rPr>
                <w:noProof/>
                <w:sz w:val="21"/>
              </w:rPr>
              <w:t>1б: Икономическо, социално и териториално сближаване</w:t>
            </w:r>
          </w:p>
          <w:p>
            <w:pPr>
              <w:spacing w:before="60"/>
              <w:rPr>
                <w:noProof/>
              </w:rPr>
            </w:pPr>
            <w:r>
              <w:rPr>
                <w:noProof/>
                <w:sz w:val="21"/>
              </w:rPr>
              <w:t>Европейски фонд за регионално развитие, Европейски социален фонд, Кохезионен фонд</w:t>
            </w:r>
          </w:p>
        </w:tc>
        <w:tc>
          <w:tcPr>
            <w:tcW w:w="3119" w:type="dxa"/>
            <w:vAlign w:val="center"/>
          </w:tcPr>
          <w:p>
            <w:pPr>
              <w:spacing w:before="20" w:after="20"/>
              <w:rPr>
                <w:noProof/>
                <w:sz w:val="18"/>
              </w:rPr>
            </w:pPr>
            <w:r>
              <w:rPr>
                <w:noProof/>
                <w:sz w:val="18"/>
              </w:rPr>
              <w:t xml:space="preserve">Поети задължения </w:t>
            </w:r>
          </w:p>
          <w:p>
            <w:pPr>
              <w:spacing w:before="20" w:after="20"/>
              <w:rPr>
                <w:noProof/>
                <w:sz w:val="18"/>
              </w:rPr>
            </w:pPr>
          </w:p>
          <w:p>
            <w:pPr>
              <w:spacing w:before="20" w:after="20"/>
              <w:rPr>
                <w:noProof/>
                <w:sz w:val="18"/>
              </w:rPr>
            </w:pPr>
          </w:p>
          <w:p>
            <w:pPr>
              <w:spacing w:after="60"/>
              <w:rPr>
                <w:noProof/>
              </w:rPr>
            </w:pPr>
            <w:r>
              <w:rPr>
                <w:noProof/>
              </w:rPr>
              <w:t>04 02 64 — Инициатива за младежка заетост (ИМЗ)</w:t>
            </w: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tc>
        <w:tc>
          <w:tcPr>
            <w:tcW w:w="425" w:type="dxa"/>
            <w:vAlign w:val="center"/>
          </w:tcPr>
          <w:p>
            <w:pPr>
              <w:spacing w:before="20" w:after="20"/>
              <w:jc w:val="center"/>
              <w:rPr>
                <w:noProof/>
                <w:sz w:val="14"/>
              </w:rPr>
            </w:pPr>
            <w:r>
              <w:rPr>
                <w:noProof/>
                <w:sz w:val="14"/>
              </w:rPr>
              <w:t>(1)</w:t>
            </w:r>
          </w:p>
        </w:tc>
        <w:tc>
          <w:tcPr>
            <w:tcW w:w="709" w:type="dxa"/>
            <w:vAlign w:val="center"/>
          </w:tcPr>
          <w:p>
            <w:pPr>
              <w:spacing w:before="20" w:after="20"/>
              <w:jc w:val="right"/>
              <w:rPr>
                <w:noProof/>
                <w:sz w:val="20"/>
              </w:rPr>
            </w:pPr>
          </w:p>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rPr>
                <w:noProof/>
                <w:sz w:val="20"/>
              </w:rPr>
            </w:pPr>
          </w:p>
        </w:tc>
        <w:tc>
          <w:tcPr>
            <w:tcW w:w="1276" w:type="dxa"/>
            <w:vAlign w:val="center"/>
          </w:tcPr>
          <w:p>
            <w:pPr>
              <w:spacing w:before="20" w:after="20"/>
              <w:jc w:val="right"/>
              <w:rPr>
                <w:noProof/>
                <w:sz w:val="20"/>
              </w:rPr>
            </w:pPr>
          </w:p>
        </w:tc>
        <w:tc>
          <w:tcPr>
            <w:tcW w:w="1275" w:type="dxa"/>
            <w:vAlign w:val="center"/>
          </w:tcPr>
          <w:p>
            <w:pPr>
              <w:spacing w:before="20" w:after="20"/>
              <w:rPr>
                <w:noProof/>
                <w:sz w:val="20"/>
              </w:rPr>
            </w:pPr>
          </w:p>
        </w:tc>
        <w:tc>
          <w:tcPr>
            <w:tcW w:w="1276" w:type="dxa"/>
            <w:vAlign w:val="center"/>
          </w:tcPr>
          <w:p>
            <w:pPr>
              <w:spacing w:before="20" w:after="20"/>
              <w:rPr>
                <w:noProof/>
                <w:sz w:val="20"/>
              </w:rPr>
            </w:pPr>
            <w:r>
              <w:rPr>
                <w:noProof/>
                <w:sz w:val="20"/>
                <w:szCs w:val="20"/>
              </w:rPr>
              <w:t>28,333</w:t>
            </w:r>
          </w:p>
        </w:tc>
        <w:tc>
          <w:tcPr>
            <w:tcW w:w="1518" w:type="dxa"/>
            <w:vAlign w:val="center"/>
          </w:tcPr>
          <w:p>
            <w:pPr>
              <w:spacing w:before="20" w:after="20"/>
              <w:rPr>
                <w:noProof/>
                <w:sz w:val="20"/>
              </w:rPr>
            </w:pPr>
            <w:r>
              <w:rPr>
                <w:noProof/>
                <w:sz w:val="20"/>
                <w:szCs w:val="20"/>
              </w:rPr>
              <w:t>28,333</w:t>
            </w:r>
          </w:p>
        </w:tc>
      </w:tr>
    </w:tbl>
    <w:p>
      <w:pPr>
        <w:rPr>
          <w:noProof/>
        </w:rPr>
      </w:pPr>
      <w:r>
        <w:rPr>
          <w:noProof/>
        </w:rPr>
        <w:br w:type="page"/>
      </w:r>
    </w:p>
    <w:p>
      <w:pPr>
        <w:rPr>
          <w:noProof/>
        </w:rPr>
      </w:pPr>
    </w:p>
    <w:p>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trPr>
          <w:trHeight w:val="85"/>
        </w:trPr>
        <w:tc>
          <w:tcPr>
            <w:tcW w:w="2203" w:type="dxa"/>
          </w:tcPr>
          <w:p>
            <w:pPr>
              <w:jc w:val="center"/>
              <w:rPr>
                <w:noProof/>
                <w:sz w:val="20"/>
              </w:rPr>
            </w:pPr>
            <w:r>
              <w:rPr>
                <w:noProof/>
              </w:rPr>
              <w:br w:type="page"/>
            </w:r>
          </w:p>
        </w:tc>
        <w:tc>
          <w:tcPr>
            <w:tcW w:w="3119" w:type="dxa"/>
            <w:vAlign w:val="center"/>
          </w:tcPr>
          <w:p>
            <w:pPr>
              <w:spacing w:before="20" w:after="20"/>
              <w:rPr>
                <w:noProof/>
                <w:sz w:val="18"/>
              </w:rPr>
            </w:pPr>
            <w:r>
              <w:rPr>
                <w:noProof/>
                <w:sz w:val="18"/>
              </w:rPr>
              <w:t xml:space="preserve">Плащания </w:t>
            </w:r>
          </w:p>
          <w:p>
            <w:pPr>
              <w:spacing w:after="60"/>
              <w:rPr>
                <w:noProof/>
              </w:rPr>
            </w:pPr>
          </w:p>
          <w:p>
            <w:pPr>
              <w:spacing w:after="60"/>
              <w:rPr>
                <w:noProof/>
              </w:rPr>
            </w:pPr>
          </w:p>
          <w:p>
            <w:pPr>
              <w:spacing w:after="60"/>
              <w:rPr>
                <w:noProof/>
              </w:rPr>
            </w:pPr>
            <w:r>
              <w:rPr>
                <w:noProof/>
              </w:rPr>
              <w:t>04 02 64 — Инициатива за младежка заетост (ИМЗ)</w:t>
            </w:r>
          </w:p>
          <w:p>
            <w:pPr>
              <w:spacing w:after="60"/>
              <w:rPr>
                <w:noProof/>
              </w:rPr>
            </w:pPr>
          </w:p>
          <w:p>
            <w:pPr>
              <w:spacing w:after="60"/>
              <w:rPr>
                <w:noProof/>
                <w:sz w:val="18"/>
              </w:rPr>
            </w:pPr>
            <w:r>
              <w:rPr>
                <w:noProof/>
              </w:rPr>
              <w:t xml:space="preserve"> </w:t>
            </w:r>
          </w:p>
        </w:tc>
        <w:tc>
          <w:tcPr>
            <w:tcW w:w="425" w:type="dxa"/>
            <w:gridSpan w:val="2"/>
            <w:vAlign w:val="center"/>
          </w:tcPr>
          <w:p>
            <w:pPr>
              <w:spacing w:before="20" w:after="20"/>
              <w:jc w:val="center"/>
              <w:rPr>
                <w:noProof/>
                <w:sz w:val="14"/>
              </w:rPr>
            </w:pPr>
            <w:r>
              <w:rPr>
                <w:noProof/>
                <w:sz w:val="14"/>
              </w:rPr>
              <w:t>(2)</w:t>
            </w:r>
          </w:p>
        </w:tc>
        <w:tc>
          <w:tcPr>
            <w:tcW w:w="709" w:type="dxa"/>
            <w:vAlign w:val="center"/>
          </w:tcPr>
          <w:p>
            <w:pPr>
              <w:spacing w:before="20" w:after="20"/>
              <w:rPr>
                <w:noProof/>
                <w:sz w:val="20"/>
              </w:rPr>
            </w:pPr>
          </w:p>
        </w:tc>
        <w:tc>
          <w:tcPr>
            <w:tcW w:w="708" w:type="dxa"/>
            <w:vAlign w:val="center"/>
          </w:tcPr>
          <w:p>
            <w:pPr>
              <w:spacing w:before="20" w:after="20"/>
              <w:rPr>
                <w:noProof/>
                <w:sz w:val="20"/>
              </w:rPr>
            </w:pPr>
          </w:p>
        </w:tc>
        <w:tc>
          <w:tcPr>
            <w:tcW w:w="709" w:type="dxa"/>
            <w:vAlign w:val="center"/>
          </w:tcPr>
          <w:p>
            <w:pPr>
              <w:spacing w:before="20" w:after="20"/>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rPr>
                <w:noProof/>
                <w:sz w:val="20"/>
              </w:rPr>
            </w:pPr>
          </w:p>
        </w:tc>
        <w:tc>
          <w:tcPr>
            <w:tcW w:w="1275" w:type="dxa"/>
            <w:vAlign w:val="center"/>
          </w:tcPr>
          <w:p>
            <w:pPr>
              <w:spacing w:before="20" w:after="20"/>
              <w:jc w:val="right"/>
              <w:rPr>
                <w:noProof/>
                <w:sz w:val="20"/>
              </w:rPr>
            </w:pPr>
          </w:p>
        </w:tc>
        <w:tc>
          <w:tcPr>
            <w:tcW w:w="1276" w:type="dxa"/>
            <w:vAlign w:val="center"/>
          </w:tcPr>
          <w:p>
            <w:pPr>
              <w:spacing w:before="20" w:after="20"/>
              <w:rPr>
                <w:noProof/>
                <w:sz w:val="20"/>
              </w:rPr>
            </w:pPr>
            <w:r>
              <w:rPr>
                <w:noProof/>
                <w:sz w:val="20"/>
                <w:szCs w:val="20"/>
              </w:rPr>
              <w:t>3,000</w:t>
            </w:r>
          </w:p>
        </w:tc>
        <w:tc>
          <w:tcPr>
            <w:tcW w:w="1518" w:type="dxa"/>
            <w:vAlign w:val="center"/>
          </w:tcPr>
          <w:p>
            <w:pPr>
              <w:spacing w:before="20" w:after="20"/>
              <w:rPr>
                <w:b/>
                <w:noProof/>
                <w:sz w:val="20"/>
              </w:rPr>
            </w:pPr>
            <w:r>
              <w:rPr>
                <w:noProof/>
                <w:sz w:val="20"/>
                <w:szCs w:val="20"/>
              </w:rPr>
              <w:t>3,000</w:t>
            </w:r>
          </w:p>
        </w:tc>
      </w:tr>
      <w:tr>
        <w:trPr>
          <w:trHeight w:val="231"/>
        </w:trPr>
        <w:tc>
          <w:tcPr>
            <w:tcW w:w="5747" w:type="dxa"/>
            <w:gridSpan w:val="4"/>
            <w:vAlign w:val="center"/>
          </w:tcPr>
          <w:p>
            <w:pPr>
              <w:spacing w:before="20" w:after="20"/>
              <w:rPr>
                <w:noProof/>
              </w:rPr>
            </w:pPr>
            <w:r>
              <w:rPr>
                <w:noProof/>
                <w:sz w:val="21"/>
              </w:rPr>
              <w:t>Бюджетни кредити за административни разходи, финансирани от пакета за специфични програми</w:t>
            </w:r>
            <w:r>
              <w:rPr>
                <w:rStyle w:val="FootnoteReference"/>
                <w:noProof/>
                <w:sz w:val="21"/>
              </w:rPr>
              <w:footnoteReference w:id="13"/>
            </w:r>
            <w:r>
              <w:rPr>
                <w:noProof/>
                <w:sz w:val="21"/>
              </w:rPr>
              <w:t xml:space="preserve"> </w:t>
            </w:r>
          </w:p>
          <w:p>
            <w:pPr>
              <w:spacing w:before="0" w:after="0"/>
              <w:rPr>
                <w:noProof/>
              </w:rPr>
            </w:pPr>
          </w:p>
        </w:tc>
        <w:tc>
          <w:tcPr>
            <w:tcW w:w="709" w:type="dxa"/>
            <w:vAlign w:val="center"/>
          </w:tcPr>
          <w:p>
            <w:pPr>
              <w:rPr>
                <w:b/>
                <w:noProof/>
                <w:sz w:val="20"/>
              </w:rPr>
            </w:pPr>
          </w:p>
        </w:tc>
        <w:tc>
          <w:tcPr>
            <w:tcW w:w="708" w:type="dxa"/>
            <w:vAlign w:val="center"/>
          </w:tcPr>
          <w:p>
            <w:pPr>
              <w:rPr>
                <w:b/>
                <w:noProof/>
                <w:sz w:val="20"/>
              </w:rPr>
            </w:pPr>
          </w:p>
        </w:tc>
        <w:tc>
          <w:tcPr>
            <w:tcW w:w="709" w:type="dxa"/>
            <w:vAlign w:val="center"/>
          </w:tcPr>
          <w:p>
            <w:pPr>
              <w:rPr>
                <w:b/>
                <w:noProof/>
                <w:sz w:val="20"/>
              </w:rPr>
            </w:pPr>
          </w:p>
        </w:tc>
        <w:tc>
          <w:tcPr>
            <w:tcW w:w="1276" w:type="dxa"/>
            <w:vAlign w:val="center"/>
          </w:tcPr>
          <w:p>
            <w:pPr>
              <w:rPr>
                <w:b/>
                <w:noProof/>
                <w:sz w:val="20"/>
              </w:rPr>
            </w:pPr>
          </w:p>
        </w:tc>
        <w:tc>
          <w:tcPr>
            <w:tcW w:w="1276" w:type="dxa"/>
            <w:vAlign w:val="center"/>
          </w:tcPr>
          <w:p>
            <w:pPr>
              <w:rPr>
                <w:b/>
                <w:noProof/>
                <w:sz w:val="20"/>
              </w:rPr>
            </w:pPr>
          </w:p>
        </w:tc>
        <w:tc>
          <w:tcPr>
            <w:tcW w:w="1275" w:type="dxa"/>
            <w:vAlign w:val="center"/>
          </w:tcPr>
          <w:p>
            <w:pPr>
              <w:rPr>
                <w:b/>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319"/>
        </w:trPr>
        <w:tc>
          <w:tcPr>
            <w:tcW w:w="2203" w:type="dxa"/>
            <w:vAlign w:val="center"/>
          </w:tcPr>
          <w:p>
            <w:pPr>
              <w:spacing w:before="60" w:after="60"/>
              <w:rPr>
                <w:noProof/>
              </w:rPr>
            </w:pPr>
            <w:r>
              <w:rPr>
                <w:noProof/>
                <w:sz w:val="20"/>
              </w:rPr>
              <w:t>Не е приложимо</w:t>
            </w:r>
          </w:p>
        </w:tc>
        <w:tc>
          <w:tcPr>
            <w:tcW w:w="3197" w:type="dxa"/>
            <w:gridSpan w:val="2"/>
            <w:vAlign w:val="center"/>
          </w:tcPr>
          <w:p>
            <w:pPr>
              <w:spacing w:before="40" w:after="40"/>
              <w:jc w:val="right"/>
              <w:rPr>
                <w:noProof/>
                <w:sz w:val="18"/>
              </w:rPr>
            </w:pPr>
          </w:p>
        </w:tc>
        <w:tc>
          <w:tcPr>
            <w:tcW w:w="347" w:type="dxa"/>
            <w:vAlign w:val="center"/>
          </w:tcPr>
          <w:p>
            <w:pPr>
              <w:spacing w:before="40" w:after="40"/>
              <w:jc w:val="center"/>
              <w:rPr>
                <w:noProof/>
                <w:sz w:val="14"/>
              </w:rPr>
            </w:pPr>
            <w:r>
              <w:rPr>
                <w:noProof/>
                <w:sz w:val="14"/>
              </w:rPr>
              <w:t>(3)</w:t>
            </w:r>
          </w:p>
        </w:tc>
        <w:tc>
          <w:tcPr>
            <w:tcW w:w="709" w:type="dxa"/>
            <w:vAlign w:val="center"/>
          </w:tcPr>
          <w:p>
            <w:pPr>
              <w:spacing w:before="40" w:after="40"/>
              <w:jc w:val="right"/>
              <w:rPr>
                <w:b/>
                <w:noProof/>
                <w:sz w:val="20"/>
              </w:rPr>
            </w:pPr>
          </w:p>
        </w:tc>
        <w:tc>
          <w:tcPr>
            <w:tcW w:w="708" w:type="dxa"/>
            <w:vAlign w:val="center"/>
          </w:tcPr>
          <w:p>
            <w:pPr>
              <w:spacing w:before="40" w:after="40"/>
              <w:jc w:val="right"/>
              <w:rPr>
                <w:b/>
                <w:noProof/>
                <w:sz w:val="20"/>
              </w:rPr>
            </w:pPr>
          </w:p>
        </w:tc>
        <w:tc>
          <w:tcPr>
            <w:tcW w:w="709"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518" w:type="dxa"/>
            <w:vAlign w:val="center"/>
          </w:tcPr>
          <w:p>
            <w:pPr>
              <w:spacing w:before="40" w:after="40"/>
              <w:jc w:val="right"/>
              <w:rPr>
                <w:b/>
                <w:noProof/>
                <w:sz w:val="20"/>
              </w:rPr>
            </w:pPr>
          </w:p>
        </w:tc>
      </w:tr>
      <w:tr>
        <w:tc>
          <w:tcPr>
            <w:tcW w:w="2203" w:type="dxa"/>
            <w:vMerge w:val="restart"/>
            <w:vAlign w:val="center"/>
          </w:tcPr>
          <w:p>
            <w:pPr>
              <w:jc w:val="center"/>
              <w:rPr>
                <w:b/>
                <w:noProof/>
              </w:rPr>
            </w:pPr>
            <w:r>
              <w:rPr>
                <w:b/>
                <w:noProof/>
                <w:sz w:val="22"/>
              </w:rPr>
              <w:t>ОБЩО бюджетни кредити</w:t>
            </w:r>
            <w:r>
              <w:rPr>
                <w:noProof/>
              </w:rPr>
              <w:t xml:space="preserve"> </w:t>
            </w:r>
            <w:r>
              <w:rPr>
                <w:noProof/>
              </w:rPr>
              <w:br/>
            </w:r>
            <w:r>
              <w:rPr>
                <w:b/>
                <w:bCs/>
                <w:noProof/>
              </w:rPr>
              <w:t>за ГД</w:t>
            </w:r>
            <w:r>
              <w:rPr>
                <w:noProof/>
              </w:rPr>
              <w:t xml:space="preserve"> „Трудова заетост, социални въпроси и приобщаване“, „Регионална и селищна политика“ </w:t>
            </w:r>
          </w:p>
        </w:tc>
        <w:tc>
          <w:tcPr>
            <w:tcW w:w="3197" w:type="dxa"/>
            <w:gridSpan w:val="2"/>
            <w:vAlign w:val="center"/>
          </w:tcPr>
          <w:p>
            <w:pPr>
              <w:rPr>
                <w:noProof/>
                <w:sz w:val="18"/>
              </w:rPr>
            </w:pPr>
            <w:r>
              <w:rPr>
                <w:noProof/>
                <w:sz w:val="18"/>
              </w:rPr>
              <w:t>Поети задължения</w:t>
            </w:r>
          </w:p>
        </w:tc>
        <w:tc>
          <w:tcPr>
            <w:tcW w:w="347" w:type="dxa"/>
            <w:vAlign w:val="center"/>
          </w:tcPr>
          <w:p>
            <w:pPr>
              <w:jc w:val="center"/>
              <w:rPr>
                <w:noProof/>
                <w:sz w:val="14"/>
              </w:rPr>
            </w:pPr>
            <w:r>
              <w:rPr>
                <w:noProof/>
                <w:sz w:val="14"/>
              </w:rPr>
              <w:t>=1+1a +3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p>
        </w:tc>
        <w:tc>
          <w:tcPr>
            <w:tcW w:w="1276"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r>
              <w:rPr>
                <w:noProof/>
                <w:sz w:val="20"/>
                <w:szCs w:val="20"/>
              </w:rPr>
              <w:t>28,333</w:t>
            </w:r>
          </w:p>
        </w:tc>
        <w:tc>
          <w:tcPr>
            <w:tcW w:w="1518"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r>
              <w:rPr>
                <w:noProof/>
                <w:sz w:val="20"/>
                <w:szCs w:val="20"/>
              </w:rPr>
              <w:t>28,333</w:t>
            </w:r>
          </w:p>
        </w:tc>
      </w:tr>
      <w:tr>
        <w:tc>
          <w:tcPr>
            <w:tcW w:w="2203" w:type="dxa"/>
            <w:vMerge/>
          </w:tcPr>
          <w:p>
            <w:pPr>
              <w:rPr>
                <w:noProof/>
                <w:sz w:val="20"/>
              </w:rPr>
            </w:pPr>
          </w:p>
        </w:tc>
        <w:tc>
          <w:tcPr>
            <w:tcW w:w="3197" w:type="dxa"/>
            <w:gridSpan w:val="2"/>
            <w:vAlign w:val="center"/>
          </w:tcPr>
          <w:p>
            <w:pPr>
              <w:rPr>
                <w:noProof/>
                <w:sz w:val="18"/>
              </w:rPr>
            </w:pPr>
            <w:r>
              <w:rPr>
                <w:noProof/>
                <w:sz w:val="18"/>
              </w:rPr>
              <w:t>Плащания</w:t>
            </w:r>
          </w:p>
        </w:tc>
        <w:tc>
          <w:tcPr>
            <w:tcW w:w="347" w:type="dxa"/>
            <w:vAlign w:val="center"/>
          </w:tcPr>
          <w:p>
            <w:pPr>
              <w:jc w:val="center"/>
              <w:rPr>
                <w:noProof/>
                <w:sz w:val="14"/>
              </w:rPr>
            </w:pPr>
            <w:r>
              <w:rPr>
                <w:noProof/>
                <w:sz w:val="14"/>
              </w:rPr>
              <w:t>=2+2a</w:t>
            </w:r>
          </w:p>
          <w:p>
            <w:pPr>
              <w:jc w:val="center"/>
              <w:rPr>
                <w:noProof/>
                <w:sz w:val="14"/>
              </w:rPr>
            </w:pPr>
            <w:r>
              <w:rPr>
                <w:noProof/>
                <w:sz w:val="14"/>
              </w:rPr>
              <w:t>+3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p>
        </w:tc>
        <w:tc>
          <w:tcPr>
            <w:tcW w:w="1276"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r>
              <w:rPr>
                <w:noProof/>
                <w:sz w:val="20"/>
                <w:szCs w:val="20"/>
              </w:rPr>
              <w:t>3,000</w:t>
            </w:r>
          </w:p>
        </w:tc>
        <w:tc>
          <w:tcPr>
            <w:tcW w:w="1518" w:type="dxa"/>
          </w:tcPr>
          <w:p>
            <w:pPr>
              <w:spacing w:before="20" w:after="20"/>
              <w:jc w:val="right"/>
              <w:rPr>
                <w:noProof/>
                <w:sz w:val="20"/>
                <w:szCs w:val="20"/>
              </w:rPr>
            </w:pPr>
          </w:p>
          <w:p>
            <w:pPr>
              <w:spacing w:before="20" w:after="20"/>
              <w:jc w:val="right"/>
              <w:rPr>
                <w:noProof/>
                <w:sz w:val="20"/>
                <w:szCs w:val="20"/>
              </w:rPr>
            </w:pPr>
          </w:p>
          <w:p>
            <w:pPr>
              <w:spacing w:before="20" w:after="20"/>
              <w:jc w:val="center"/>
              <w:rPr>
                <w:noProof/>
                <w:sz w:val="20"/>
              </w:rPr>
            </w:pPr>
            <w:r>
              <w:rPr>
                <w:noProof/>
                <w:sz w:val="20"/>
                <w:szCs w:val="20"/>
              </w:rPr>
              <w:t>3,000</w:t>
            </w:r>
          </w:p>
        </w:tc>
      </w:tr>
    </w:tbl>
    <w:p>
      <w:pPr>
        <w:rPr>
          <w:noProof/>
          <w:sz w:val="16"/>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347"/>
        <w:gridCol w:w="709"/>
        <w:gridCol w:w="708"/>
        <w:gridCol w:w="709"/>
        <w:gridCol w:w="1276"/>
        <w:gridCol w:w="1276"/>
        <w:gridCol w:w="1275"/>
        <w:gridCol w:w="1276"/>
        <w:gridCol w:w="144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347" w:type="dxa"/>
            <w:vAlign w:val="center"/>
          </w:tcPr>
          <w:p>
            <w:pPr>
              <w:spacing w:beforeLines="20" w:before="48" w:afterLines="20" w:after="48"/>
              <w:jc w:val="center"/>
              <w:rPr>
                <w:noProof/>
                <w:sz w:val="14"/>
              </w:rPr>
            </w:pPr>
            <w:r>
              <w:rPr>
                <w:noProof/>
                <w:sz w:val="14"/>
              </w:rPr>
              <w:t>(4)</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szCs w:val="20"/>
              </w:rPr>
              <w:t>28,333</w:t>
            </w:r>
          </w:p>
        </w:tc>
        <w:tc>
          <w:tcPr>
            <w:tcW w:w="1448" w:type="dxa"/>
            <w:vAlign w:val="center"/>
          </w:tcPr>
          <w:p>
            <w:pPr>
              <w:spacing w:before="20" w:after="20"/>
              <w:jc w:val="right"/>
              <w:rPr>
                <w:noProof/>
                <w:sz w:val="20"/>
              </w:rPr>
            </w:pPr>
            <w:r>
              <w:rPr>
                <w:noProof/>
                <w:sz w:val="20"/>
                <w:szCs w:val="20"/>
              </w:rPr>
              <w:t>28,333</w:t>
            </w:r>
          </w:p>
        </w:tc>
      </w:tr>
      <w:tr>
        <w:trPr>
          <w:trHeight w:val="414"/>
        </w:trP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347" w:type="dxa"/>
            <w:vAlign w:val="center"/>
          </w:tcPr>
          <w:p>
            <w:pPr>
              <w:spacing w:beforeLines="20" w:before="48" w:afterLines="20" w:after="48"/>
              <w:jc w:val="center"/>
              <w:rPr>
                <w:noProof/>
                <w:sz w:val="14"/>
              </w:rPr>
            </w:pPr>
            <w:r>
              <w:rPr>
                <w:noProof/>
                <w:sz w:val="14"/>
              </w:rPr>
              <w:t>(5)</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rPr>
            </w:pPr>
          </w:p>
        </w:tc>
        <w:tc>
          <w:tcPr>
            <w:tcW w:w="1276" w:type="dxa"/>
          </w:tcPr>
          <w:p>
            <w:pPr>
              <w:spacing w:before="20" w:after="20"/>
              <w:jc w:val="right"/>
              <w:rPr>
                <w:noProof/>
                <w:sz w:val="20"/>
              </w:rPr>
            </w:pPr>
            <w:r>
              <w:rPr>
                <w:noProof/>
                <w:sz w:val="20"/>
                <w:szCs w:val="20"/>
              </w:rPr>
              <w:t>3,000</w:t>
            </w:r>
          </w:p>
        </w:tc>
        <w:tc>
          <w:tcPr>
            <w:tcW w:w="1448" w:type="dxa"/>
          </w:tcPr>
          <w:p>
            <w:pPr>
              <w:spacing w:before="20" w:after="20"/>
              <w:jc w:val="right"/>
              <w:rPr>
                <w:noProof/>
                <w:sz w:val="20"/>
              </w:rPr>
            </w:pPr>
            <w:r>
              <w:rPr>
                <w:noProof/>
                <w:sz w:val="20"/>
                <w:szCs w:val="20"/>
              </w:rPr>
              <w:t>3,000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специфични програми </w:t>
            </w:r>
          </w:p>
        </w:tc>
        <w:tc>
          <w:tcPr>
            <w:tcW w:w="347" w:type="dxa"/>
            <w:vAlign w:val="center"/>
          </w:tcPr>
          <w:p>
            <w:pPr>
              <w:spacing w:beforeLines="20" w:before="48" w:afterLines="20" w:after="48"/>
              <w:jc w:val="center"/>
              <w:rPr>
                <w:noProof/>
                <w:sz w:val="14"/>
              </w:rPr>
            </w:pPr>
            <w:r>
              <w:rPr>
                <w:noProof/>
                <w:sz w:val="14"/>
              </w:rPr>
              <w:t>(6)</w:t>
            </w:r>
          </w:p>
        </w:tc>
        <w:tc>
          <w:tcPr>
            <w:tcW w:w="709" w:type="dxa"/>
            <w:vAlign w:val="center"/>
          </w:tcPr>
          <w:p>
            <w:pPr>
              <w:spacing w:before="20" w:after="20"/>
              <w:jc w:val="right"/>
              <w:rPr>
                <w:b/>
                <w:noProof/>
                <w:sz w:val="20"/>
              </w:rPr>
            </w:pPr>
          </w:p>
        </w:tc>
        <w:tc>
          <w:tcPr>
            <w:tcW w:w="708" w:type="dxa"/>
            <w:vAlign w:val="center"/>
          </w:tcPr>
          <w:p>
            <w:pPr>
              <w:spacing w:before="20" w:after="20"/>
              <w:jc w:val="right"/>
              <w:rPr>
                <w:b/>
                <w:noProof/>
                <w:sz w:val="20"/>
              </w:rPr>
            </w:pPr>
          </w:p>
        </w:tc>
        <w:tc>
          <w:tcPr>
            <w:tcW w:w="709"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b/>
                <w:noProof/>
                <w:sz w:val="20"/>
              </w:rPr>
            </w:pPr>
          </w:p>
        </w:tc>
        <w:tc>
          <w:tcPr>
            <w:tcW w:w="1276" w:type="dxa"/>
            <w:vAlign w:val="center"/>
          </w:tcPr>
          <w:p>
            <w:pPr>
              <w:spacing w:before="20" w:after="20"/>
              <w:jc w:val="right"/>
              <w:rPr>
                <w:noProof/>
                <w:sz w:val="20"/>
              </w:rPr>
            </w:pPr>
            <w:r>
              <w:rPr>
                <w:noProof/>
                <w:sz w:val="20"/>
                <w:szCs w:val="20"/>
              </w:rPr>
              <w:t>0,000</w:t>
            </w:r>
          </w:p>
        </w:tc>
        <w:tc>
          <w:tcPr>
            <w:tcW w:w="1448" w:type="dxa"/>
            <w:vAlign w:val="center"/>
          </w:tcPr>
          <w:p>
            <w:pPr>
              <w:spacing w:before="20" w:after="20"/>
              <w:jc w:val="right"/>
              <w:rPr>
                <w:noProof/>
                <w:sz w:val="20"/>
              </w:rPr>
            </w:pPr>
            <w:r>
              <w:rPr>
                <w:noProof/>
                <w:sz w:val="20"/>
                <w:szCs w:val="20"/>
              </w:rPr>
              <w:t>0,000</w:t>
            </w: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rPr>
              <w:t xml:space="preserve"> </w:t>
            </w:r>
            <w:r>
              <w:rPr>
                <w:noProof/>
              </w:rPr>
              <w:br/>
            </w:r>
            <w:r>
              <w:rPr>
                <w:b/>
                <w:noProof/>
                <w:sz w:val="22"/>
              </w:rPr>
              <w:t>по ФУНКЦИЯ 1б</w:t>
            </w:r>
            <w:r>
              <w:rPr>
                <w:noProof/>
              </w:rPr>
              <w:t xml:space="preserve"> </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347" w:type="dxa"/>
            <w:vAlign w:val="center"/>
          </w:tcPr>
          <w:p>
            <w:pPr>
              <w:jc w:val="center"/>
              <w:rPr>
                <w:noProof/>
                <w:sz w:val="14"/>
              </w:rPr>
            </w:pPr>
            <w:r>
              <w:rPr>
                <w:noProof/>
                <w:sz w:val="14"/>
              </w:rPr>
              <w:t>=4+ 6</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szCs w:val="20"/>
              </w:rPr>
              <w:t>28,333</w:t>
            </w:r>
          </w:p>
        </w:tc>
        <w:tc>
          <w:tcPr>
            <w:tcW w:w="1448" w:type="dxa"/>
            <w:vAlign w:val="center"/>
          </w:tcPr>
          <w:p>
            <w:pPr>
              <w:spacing w:before="20" w:after="20"/>
              <w:jc w:val="right"/>
              <w:rPr>
                <w:noProof/>
                <w:sz w:val="20"/>
              </w:rPr>
            </w:pPr>
            <w:r>
              <w:rPr>
                <w:noProof/>
                <w:sz w:val="20"/>
                <w:szCs w:val="20"/>
              </w:rPr>
              <w:t>28,333</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347" w:type="dxa"/>
            <w:vAlign w:val="center"/>
          </w:tcPr>
          <w:p>
            <w:pPr>
              <w:jc w:val="center"/>
              <w:rPr>
                <w:noProof/>
                <w:sz w:val="14"/>
              </w:rPr>
            </w:pPr>
            <w:r>
              <w:rPr>
                <w:noProof/>
                <w:sz w:val="14"/>
              </w:rPr>
              <w:t>=5+ 6</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szCs w:val="20"/>
              </w:rPr>
            </w:pPr>
          </w:p>
          <w:p>
            <w:pPr>
              <w:spacing w:before="20" w:after="20"/>
              <w:jc w:val="right"/>
              <w:rPr>
                <w:noProof/>
                <w:sz w:val="20"/>
              </w:rPr>
            </w:pPr>
          </w:p>
        </w:tc>
        <w:tc>
          <w:tcPr>
            <w:tcW w:w="1276" w:type="dxa"/>
            <w:vAlign w:val="center"/>
          </w:tcPr>
          <w:p>
            <w:pPr>
              <w:spacing w:before="20" w:after="20"/>
              <w:jc w:val="right"/>
              <w:rPr>
                <w:noProof/>
                <w:sz w:val="20"/>
              </w:rPr>
            </w:pPr>
            <w:r>
              <w:rPr>
                <w:noProof/>
                <w:sz w:val="20"/>
                <w:szCs w:val="20"/>
              </w:rPr>
              <w:t>3,000</w:t>
            </w:r>
          </w:p>
        </w:tc>
        <w:tc>
          <w:tcPr>
            <w:tcW w:w="1448" w:type="dxa"/>
            <w:vAlign w:val="center"/>
          </w:tcPr>
          <w:p>
            <w:pPr>
              <w:spacing w:before="20" w:after="20"/>
              <w:jc w:val="right"/>
              <w:rPr>
                <w:noProof/>
                <w:sz w:val="20"/>
              </w:rPr>
            </w:pPr>
            <w:r>
              <w:rPr>
                <w:noProof/>
                <w:sz w:val="20"/>
                <w:szCs w:val="20"/>
              </w:rPr>
              <w:t>3,000</w:t>
            </w:r>
          </w:p>
        </w:tc>
      </w:tr>
      <w:tr>
        <w:tc>
          <w:tcPr>
            <w:tcW w:w="3960" w:type="dxa"/>
            <w:shd w:val="thinDiagStripe" w:color="C0C0C0" w:fill="auto"/>
          </w:tcPr>
          <w:p>
            <w:pPr>
              <w:rPr>
                <w:noProof/>
                <w:sz w:val="20"/>
              </w:rPr>
            </w:pPr>
          </w:p>
        </w:tc>
        <w:tc>
          <w:tcPr>
            <w:tcW w:w="1440" w:type="dxa"/>
            <w:vAlign w:val="center"/>
          </w:tcPr>
          <w:p>
            <w:pPr>
              <w:rPr>
                <w:noProof/>
                <w:sz w:val="18"/>
              </w:rPr>
            </w:pPr>
          </w:p>
        </w:tc>
        <w:tc>
          <w:tcPr>
            <w:tcW w:w="347" w:type="dxa"/>
            <w:vAlign w:val="center"/>
          </w:tcPr>
          <w:p>
            <w:pPr>
              <w:jc w:val="center"/>
              <w:rPr>
                <w:noProof/>
                <w:sz w:val="14"/>
              </w:rPr>
            </w:pP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448" w:type="dxa"/>
            <w:vAlign w:val="center"/>
          </w:tcPr>
          <w:p>
            <w:pPr>
              <w:spacing w:before="20" w:after="20"/>
              <w:jc w:val="right"/>
              <w:rPr>
                <w:b/>
                <w:noProof/>
                <w:sz w:val="20"/>
              </w:rPr>
            </w:pPr>
          </w:p>
        </w:tc>
      </w:tr>
    </w:tbl>
    <w:p>
      <w:pPr>
        <w:rPr>
          <w:noProof/>
          <w:sz w:val="16"/>
        </w:rPr>
      </w:pPr>
    </w:p>
    <w:p>
      <w:pPr>
        <w:rPr>
          <w:noProof/>
        </w:rPr>
      </w:pPr>
    </w:p>
    <w:p>
      <w:pPr>
        <w:rPr>
          <w:b/>
          <w:noProof/>
          <w:sz w:val="22"/>
          <w:u w:val="single"/>
        </w:rPr>
      </w:pPr>
      <w:r>
        <w:rPr>
          <w:noProof/>
        </w:rPr>
        <w:t xml:space="preserve"> </w:t>
      </w:r>
      <w:r>
        <w:rPr>
          <w:noProof/>
        </w:rPr>
        <w:br/>
      </w:r>
    </w:p>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специфични програми </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ОБЩО бюджетни кредити </w:t>
            </w:r>
            <w:r>
              <w:rPr>
                <w:noProof/>
              </w:rPr>
              <w:t xml:space="preserve"> </w:t>
            </w:r>
            <w:r>
              <w:rPr>
                <w:noProof/>
              </w:rPr>
              <w:br/>
            </w:r>
            <w:r>
              <w:rPr>
                <w:b/>
                <w:noProof/>
                <w:sz w:val="22"/>
              </w:rPr>
              <w:t>по ФУНКЦИИ 1—4</w:t>
            </w:r>
            <w:r>
              <w:rPr>
                <w:noProof/>
              </w:rPr>
              <w:t xml:space="preserve"> </w:t>
            </w:r>
            <w:r>
              <w:rPr>
                <w:noProof/>
              </w:rPr>
              <w:br/>
            </w:r>
            <w:r>
              <w:rPr>
                <w:noProof/>
                <w:sz w:val="22"/>
              </w:rPr>
              <w:t>от многогодишната финансова рамка</w:t>
            </w:r>
            <w:r>
              <w:rPr>
                <w:noProof/>
              </w:rPr>
              <w:t xml:space="preserve"> </w:t>
            </w:r>
            <w:r>
              <w:rPr>
                <w:noProof/>
              </w:rPr>
              <w:br/>
            </w:r>
            <w:r>
              <w:rPr>
                <w:noProof/>
                <w:sz w:val="20"/>
              </w:rPr>
              <w:t>(референтна сума)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b/>
                <w:noProof/>
                <w:sz w:val="20"/>
              </w:rPr>
            </w:pPr>
          </w:p>
        </w:tc>
        <w:tc>
          <w:tcPr>
            <w:tcW w:w="1427" w:type="dxa"/>
            <w:tcBorders>
              <w:bottom w:val="single" w:sz="4" w:space="0" w:color="auto"/>
              <w:right w:val="single" w:sz="4" w:space="0" w:color="auto"/>
            </w:tcBorders>
            <w:vAlign w:val="center"/>
          </w:tcPr>
          <w:p>
            <w:pPr>
              <w:spacing w:before="20" w:after="20"/>
              <w:jc w:val="right"/>
              <w:rPr>
                <w:b/>
                <w:noProof/>
                <w:sz w:val="20"/>
              </w:rPr>
            </w:pPr>
            <w:r>
              <w:rPr>
                <w:b/>
                <w:noProof/>
                <w:sz w:val="20"/>
              </w:rPr>
              <w:t>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Функция от многогодишната финансова </w:t>
            </w:r>
            <w:r>
              <w:rPr>
                <w:noProof/>
              </w:rPr>
              <w:t xml:space="preserve"> </w:t>
            </w:r>
            <w:r>
              <w:rPr>
                <w:noProof/>
              </w:rPr>
              <w:br/>
            </w:r>
            <w:r>
              <w:rPr>
                <w:b/>
                <w:bCs/>
                <w:noProof/>
              </w:rPr>
              <w:t>рамка</w:t>
            </w:r>
            <w:r>
              <w:rPr>
                <w:b/>
                <w:noProof/>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604" w:type="dxa"/>
            <w:gridSpan w:val="3"/>
            <w:vAlign w:val="center"/>
          </w:tcPr>
          <w:p>
            <w:pPr>
              <w:jc w:val="center"/>
              <w:rPr>
                <w:b/>
                <w:noProof/>
                <w:sz w:val="18"/>
              </w:rPr>
            </w:pPr>
            <w:r>
              <w:rPr>
                <w:noProof/>
                <w:sz w:val="18"/>
              </w:rPr>
              <w:t xml:space="preserve">Добавят се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Човешки ресурси</w:t>
            </w:r>
            <w:r>
              <w:rPr>
                <w:noProof/>
                <w:sz w:val="22"/>
              </w:rPr>
              <w:t xml:space="preserv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Други административни разходи</w:t>
            </w:r>
            <w:r>
              <w:rPr>
                <w:noProof/>
                <w:sz w:val="22"/>
              </w:rPr>
              <w:t xml:space="preserv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rPr>
              <w:t xml:space="preserve"> </w:t>
            </w:r>
            <w:r>
              <w:rPr>
                <w:noProof/>
              </w:rPr>
              <w:br/>
            </w:r>
            <w:r>
              <w:rPr>
                <w:b/>
                <w:noProof/>
                <w:sz w:val="22"/>
              </w:rPr>
              <w:t>по ФУНКЦИЯ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w:t>
            </w:r>
            <w:r>
              <w:rPr>
                <w:rStyle w:val="FootnoteReference"/>
                <w:b/>
                <w:noProof/>
                <w:sz w:val="20"/>
              </w:rPr>
              <w:footnoteReference w:id="14"/>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604"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rPr>
              <w:t xml:space="preserve"> </w:t>
            </w:r>
            <w:r>
              <w:rPr>
                <w:noProof/>
              </w:rPr>
              <w:br/>
            </w:r>
            <w:r>
              <w:rPr>
                <w:b/>
                <w:noProof/>
                <w:sz w:val="22"/>
              </w:rPr>
              <w:t>по ФУНКЦИИ 1—5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N+3</w:t>
            </w:r>
          </w:p>
        </w:tc>
        <w:tc>
          <w:tcPr>
            <w:tcW w:w="3600" w:type="dxa"/>
            <w:gridSpan w:val="6"/>
            <w:vAlign w:val="center"/>
          </w:tcPr>
          <w:p>
            <w:pPr>
              <w:jc w:val="center"/>
              <w:rPr>
                <w:noProof/>
                <w:sz w:val="18"/>
                <w:szCs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5"/>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Общо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6"/>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7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 xml:space="preserve">N </w:t>
            </w:r>
            <w:r>
              <w:rPr>
                <w:rStyle w:val="FootnoteReference"/>
                <w:b/>
                <w:noProof/>
                <w:sz w:val="16"/>
              </w:rPr>
              <w:footnoteReference w:id="17"/>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bCs/>
                <w:noProof/>
                <w:sz w:val="16"/>
                <w:szCs w:val="16"/>
              </w:rPr>
              <w:t>Извън ФУНКЦИЯ 5</w:t>
            </w:r>
            <w:r>
              <w:rPr>
                <w:rStyle w:val="FootnoteReference"/>
                <w:b/>
                <w:noProof/>
                <w:sz w:val="16"/>
              </w:rPr>
              <w:footnoteReference w:id="18"/>
            </w:r>
            <w:r>
              <w:rPr>
                <w:noProof/>
              </w:rPr>
              <w:t xml:space="preserve"> </w:t>
            </w:r>
            <w:r>
              <w:rPr>
                <w:noProof/>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rPr>
              <w:t xml:space="preserve"> </w:t>
            </w:r>
            <w:r>
              <w:rPr>
                <w:noProof/>
              </w:rPr>
              <w:br/>
            </w:r>
            <w:r>
              <w:rPr>
                <w:noProof/>
                <w:sz w:val="16"/>
                <w:szCs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rPr>
              <w:t xml:space="preserve"> </w:t>
            </w:r>
            <w:r>
              <w:rPr>
                <w:noProof/>
              </w:rPr>
              <w:br/>
            </w:r>
            <w:r>
              <w:rPr>
                <w:b/>
                <w:noProof/>
                <w:sz w:val="16"/>
              </w:rPr>
              <w:t>извън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ab/>
      </w: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7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19"/>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0"/>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sym w:font="Wingdings" w:char="F07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rPr>
          <w:noProof/>
        </w:rPr>
        <w:t>3.2.5.</w:t>
      </w:r>
      <w:r>
        <w:rPr>
          <w:noProof/>
        </w:rPr>
        <w:tab/>
        <w:t xml:space="preserve">Финансов принос от трети страни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t>3.3.</w:t>
      </w:r>
      <w:r>
        <w:rPr>
          <w:noProof/>
        </w:rPr>
        <w:tab/>
        <w:t xml:space="preserve">Очаквано отражение върху приходите </w:t>
      </w:r>
    </w:p>
    <w:p>
      <w:pPr>
        <w:pStyle w:val="ListDash1"/>
        <w:rPr>
          <w:noProof/>
        </w:rPr>
      </w:pPr>
      <w:r>
        <w:rPr>
          <w:noProof/>
        </w:rPr>
        <w:sym w:font="Wingdings" w:char="F07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A8"/>
      </w:r>
      <w:r>
        <w:rPr>
          <w:noProof/>
        </w:rPr>
        <w:tab/>
        <w:t xml:space="preserve">върху разните приходи </w:t>
      </w:r>
    </w:p>
    <w:p>
      <w:pPr>
        <w:jc w:val="right"/>
        <w:rPr>
          <w:i/>
          <w:noProof/>
          <w:sz w:val="20"/>
        </w:rPr>
      </w:pPr>
      <w:r>
        <w:rPr>
          <w:noProof/>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1"/>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Да се посочи методът за изчисляване на отражението върху приходите.</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variable"/>
    <w:sig w:usb0="800002EF" w:usb1="1000E0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 последно изменен с Регламент (ЕС) 2019/711 на Европейския парламент и на Съвета от 17 април 2019 г. за изменение на Регламент (ЕС) № 1303/2013 по отношение на средствата по линия на специално разпределените средства за инициативата за младежка заетост (OВ L 123, 10.5.2019 г., стр. 1).</w:t>
      </w:r>
    </w:p>
  </w:footnote>
  <w:footnote w:id="2">
    <w:p>
      <w:pPr>
        <w:pStyle w:val="FootnoteText"/>
      </w:pPr>
      <w:r>
        <w:rPr>
          <w:rStyle w:val="FootnoteReference"/>
        </w:rPr>
        <w:footnoteRef/>
      </w:r>
      <w:r>
        <w:tab/>
        <w:t>ОВ C […], […] г., стр. […].</w:t>
      </w:r>
    </w:p>
  </w:footnote>
  <w:footnote w:id="3">
    <w:p>
      <w:pPr>
        <w:pStyle w:val="FootnoteText"/>
      </w:pPr>
      <w:r>
        <w:rPr>
          <w:rStyle w:val="FootnoteReference"/>
        </w:rPr>
        <w:footnoteRef/>
      </w:r>
      <w:r>
        <w:tab/>
        <w:t>ОВ C […], […] г., стр. […].</w:t>
      </w:r>
    </w:p>
  </w:footnote>
  <w:footnote w:id="4">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5">
    <w:p>
      <w:pPr>
        <w:pStyle w:val="FootnoteText"/>
      </w:pPr>
      <w:r>
        <w:rPr>
          <w:rStyle w:val="FootnoteReference"/>
        </w:rPr>
        <w:footnoteRef/>
      </w:r>
      <w:r>
        <w:tab/>
        <w:t>ОВ C […], […] г., стр. […].</w:t>
      </w:r>
    </w:p>
  </w:footnote>
  <w:footnote w:id="6">
    <w:p>
      <w:pPr>
        <w:pStyle w:val="FootnoteText"/>
        <w:rPr>
          <w:szCs w:val="24"/>
        </w:rPr>
      </w:pPr>
      <w:r>
        <w:rPr>
          <w:rStyle w:val="FootnoteReference"/>
        </w:rPr>
        <w:footnoteRef/>
      </w:r>
      <w:r>
        <w:tab/>
        <w:t>УД: управление по дейности; БД: бюджетиране по дейности.</w:t>
      </w:r>
    </w:p>
  </w:footnote>
  <w:footnote w:id="7">
    <w:p>
      <w:pPr>
        <w:pStyle w:val="FootnoteText"/>
        <w:rPr>
          <w:szCs w:val="24"/>
        </w:rPr>
      </w:pPr>
      <w:r>
        <w:rPr>
          <w:rStyle w:val="FootnoteReference"/>
        </w:rPr>
        <w:footnoteRef/>
      </w:r>
      <w:r>
        <w:tab/>
        <w:t>Съгласно член 54, параграф 2, буква а) или б) от Финансовия регламент.</w:t>
      </w:r>
    </w:p>
  </w:footnote>
  <w:footnote w:id="8">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sz w:val="18"/>
          </w:rPr>
          <w:t>http://www.cc.cec/budg/man/budgmanag/budgmanag_en.html</w:t>
        </w:r>
      </w:hyperlink>
    </w:p>
  </w:footnote>
  <w:footnote w:id="9">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0">
    <w:p>
      <w:pPr>
        <w:pStyle w:val="FootnoteText"/>
        <w:rPr>
          <w:szCs w:val="24"/>
        </w:rPr>
      </w:pPr>
      <w:r>
        <w:rPr>
          <w:rStyle w:val="FootnoteReference"/>
        </w:rPr>
        <w:footnoteRef/>
      </w:r>
      <w:r>
        <w:tab/>
        <w:t xml:space="preserve">ЕАСТ: Европейска асоциация за свободна търговия. </w:t>
      </w:r>
    </w:p>
  </w:footnote>
  <w:footnote w:id="11">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12">
    <w:p>
      <w:pPr>
        <w:pStyle w:val="FootnoteText"/>
      </w:pPr>
      <w:r>
        <w:rPr>
          <w:rStyle w:val="FootnoteReference"/>
        </w:rPr>
        <w:footnoteRef/>
      </w:r>
      <w:r>
        <w:tab/>
        <w:t>Тези допълнителни средства се финансират от общия марж за поетите задължения (ОМПЗ) в рамките на маржа на тавана на МФР за периода 2014—2020 г.</w:t>
      </w:r>
    </w:p>
  </w:footnote>
  <w:footnote w:id="1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4">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15">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6">
    <w:p>
      <w:pPr>
        <w:pStyle w:val="FootnoteText"/>
        <w:rPr>
          <w:szCs w:val="24"/>
        </w:rPr>
      </w:pPr>
      <w:r>
        <w:rPr>
          <w:rStyle w:val="FootnoteReference"/>
        </w:rPr>
        <w:footnoteRef/>
      </w:r>
      <w:r>
        <w:tab/>
        <w:t xml:space="preserve">Съгласно описанието в точка 1.4.2. „Конкретни цели...“ </w:t>
      </w:r>
    </w:p>
  </w:footnote>
  <w:footnote w:id="17">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1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9">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0">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1">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B608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A4FD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828F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86F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A2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5EE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00D6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F6C06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8"/>
  </w:num>
  <w:num w:numId="11">
    <w:abstractNumId w:val="17"/>
  </w:num>
  <w:num w:numId="12">
    <w:abstractNumId w:val="13"/>
  </w:num>
  <w:num w:numId="13">
    <w:abstractNumId w:val="25"/>
    <w:lvlOverride w:ilvl="0">
      <w:startOverride w:val="1"/>
    </w:lvlOverride>
  </w:num>
  <w:num w:numId="14">
    <w:abstractNumId w:val="9"/>
  </w:num>
  <w:num w:numId="15">
    <w:abstractNumId w:val="22"/>
  </w:num>
  <w:num w:numId="16">
    <w:abstractNumId w:val="14"/>
  </w:num>
  <w:num w:numId="17">
    <w:abstractNumId w:val="24"/>
  </w:num>
  <w:num w:numId="18">
    <w:abstractNumId w:val="12"/>
  </w:num>
  <w:num w:numId="19">
    <w:abstractNumId w:val="15"/>
  </w:num>
  <w:num w:numId="20">
    <w:abstractNumId w:val="10"/>
  </w:num>
  <w:num w:numId="21">
    <w:abstractNumId w:val="23"/>
  </w:num>
  <w:num w:numId="22">
    <w:abstractNumId w:val="9"/>
  </w:num>
  <w:num w:numId="23">
    <w:abstractNumId w:val="16"/>
  </w:num>
  <w:num w:numId="24">
    <w:abstractNumId w:val="20"/>
  </w:num>
  <w:num w:numId="25">
    <w:abstractNumId w:val="21"/>
  </w:num>
  <w:num w:numId="26">
    <w:abstractNumId w:val="11"/>
  </w:num>
  <w:num w:numId="27">
    <w:abstractNumId w:val="19"/>
  </w:num>
  <w:num w:numId="28">
    <w:abstractNumId w:val="2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 w:numId="32">
    <w:abstractNumId w:val="24"/>
  </w:num>
  <w:num w:numId="33">
    <w:abstractNumId w:val="12"/>
  </w:num>
  <w:num w:numId="34">
    <w:abstractNumId w:val="15"/>
  </w:num>
  <w:num w:numId="35">
    <w:abstractNumId w:val="10"/>
  </w:num>
  <w:num w:numId="36">
    <w:abstractNumId w:val="23"/>
  </w:num>
  <w:num w:numId="37">
    <w:abstractNumId w:val="9"/>
  </w:num>
  <w:num w:numId="38">
    <w:abstractNumId w:val="16"/>
  </w:num>
  <w:num w:numId="39">
    <w:abstractNumId w:val="20"/>
  </w:num>
  <w:num w:numId="40">
    <w:abstractNumId w:val="21"/>
  </w:num>
  <w:num w:numId="41">
    <w:abstractNumId w:val="11"/>
  </w:num>
  <w:num w:numId="42">
    <w:abstractNumId w:val="19"/>
  </w:num>
  <w:num w:numId="4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2 09:28: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7E519CF-07DA-4621-9CEC-AE4D83E28080"/>
    <w:docVar w:name="LW_COVERPAGE_TYPE" w:val="1"/>
    <w:docVar w:name="LW_CROSSREFERENCE" w:val="&lt;UNUSED&gt;"/>
    <w:docVar w:name="LW_DocType" w:val="COM"/>
    <w:docVar w:name="LW_EMISSION" w:val="25.5.2020"/>
    <w:docVar w:name="LW_EMISSION_ISODATE" w:val="2020-05-25"/>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6"/>
    <w:docVar w:name="LW_REF.II.NEW.CP_YEAR" w:val="2020"/>
    <w:docVar w:name="LW_REF.INST.NEW" w:val="COM"/>
    <w:docVar w:name="LW_REF.INST.NEW_ADOPTED" w:val="final"/>
    <w:docVar w:name="LW_REF.INST.NEW_TEXT" w:val="(2020)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87?\u1086? \u1086?\u1090?\u1085?\u1086?\u1096?\u1077?\u1085?\u1080?\u1077? \u1085?\u1072? \u1089?\u1087?\u1077?\u1094?\u1080?\u1072?\u1083?\u1085?\u1086? \u1088?\u1072?\u1079?\u1087?\u1088?\u1077?\u1076?\u1077?\u1083?\u1077?\u1085?\u1080?\u1090?\u1077? \u1089?\u1088?\u1077?\u1076?\u1089?\u1090?\u1074?\u1072? \u1079?\u1072? \u1080?\u1085?\u1080?\u1094?\u1080?\u1072?\u1090?\u1080?\u1074?\u1072?\u1090?\u1072? \u1079?\u1072? \u1084?\u1083?\u1072?\u1076?\u1077?\u1078?\u1082?\u1072? \u1079?\u1072?\u1077?\u1090?\u1086?\u1089?\u109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953">
      <w:bodyDiv w:val="1"/>
      <w:marLeft w:val="0"/>
      <w:marRight w:val="0"/>
      <w:marTop w:val="0"/>
      <w:marBottom w:val="0"/>
      <w:divBdr>
        <w:top w:val="none" w:sz="0" w:space="0" w:color="auto"/>
        <w:left w:val="none" w:sz="0" w:space="0" w:color="auto"/>
        <w:bottom w:val="none" w:sz="0" w:space="0" w:color="auto"/>
        <w:right w:val="none" w:sz="0" w:space="0" w:color="auto"/>
      </w:divBdr>
    </w:div>
    <w:div w:id="293368241">
      <w:bodyDiv w:val="1"/>
      <w:marLeft w:val="0"/>
      <w:marRight w:val="0"/>
      <w:marTop w:val="0"/>
      <w:marBottom w:val="0"/>
      <w:divBdr>
        <w:top w:val="none" w:sz="0" w:space="0" w:color="auto"/>
        <w:left w:val="none" w:sz="0" w:space="0" w:color="auto"/>
        <w:bottom w:val="none" w:sz="0" w:space="0" w:color="auto"/>
        <w:right w:val="none" w:sz="0" w:space="0" w:color="auto"/>
      </w:divBdr>
    </w:div>
    <w:div w:id="348601436">
      <w:bodyDiv w:val="1"/>
      <w:marLeft w:val="0"/>
      <w:marRight w:val="0"/>
      <w:marTop w:val="0"/>
      <w:marBottom w:val="0"/>
      <w:divBdr>
        <w:top w:val="none" w:sz="0" w:space="0" w:color="auto"/>
        <w:left w:val="none" w:sz="0" w:space="0" w:color="auto"/>
        <w:bottom w:val="none" w:sz="0" w:space="0" w:color="auto"/>
        <w:right w:val="none" w:sz="0" w:space="0" w:color="auto"/>
      </w:divBdr>
    </w:div>
    <w:div w:id="1094934940">
      <w:bodyDiv w:val="1"/>
      <w:marLeft w:val="0"/>
      <w:marRight w:val="0"/>
      <w:marTop w:val="0"/>
      <w:marBottom w:val="0"/>
      <w:divBdr>
        <w:top w:val="none" w:sz="0" w:space="0" w:color="auto"/>
        <w:left w:val="none" w:sz="0" w:space="0" w:color="auto"/>
        <w:bottom w:val="none" w:sz="0" w:space="0" w:color="auto"/>
        <w:right w:val="none" w:sz="0" w:space="0" w:color="auto"/>
      </w:divBdr>
    </w:div>
    <w:div w:id="1120415626">
      <w:bodyDiv w:val="1"/>
      <w:marLeft w:val="0"/>
      <w:marRight w:val="0"/>
      <w:marTop w:val="0"/>
      <w:marBottom w:val="0"/>
      <w:divBdr>
        <w:top w:val="none" w:sz="0" w:space="0" w:color="auto"/>
        <w:left w:val="none" w:sz="0" w:space="0" w:color="auto"/>
        <w:bottom w:val="none" w:sz="0" w:space="0" w:color="auto"/>
        <w:right w:val="none" w:sz="0" w:space="0" w:color="auto"/>
      </w:divBdr>
    </w:div>
    <w:div w:id="1175340573">
      <w:bodyDiv w:val="1"/>
      <w:marLeft w:val="0"/>
      <w:marRight w:val="0"/>
      <w:marTop w:val="0"/>
      <w:marBottom w:val="0"/>
      <w:divBdr>
        <w:top w:val="none" w:sz="0" w:space="0" w:color="auto"/>
        <w:left w:val="none" w:sz="0" w:space="0" w:color="auto"/>
        <w:bottom w:val="none" w:sz="0" w:space="0" w:color="auto"/>
        <w:right w:val="none" w:sz="0" w:space="0" w:color="auto"/>
      </w:divBdr>
    </w:div>
    <w:div w:id="1185289113">
      <w:bodyDiv w:val="1"/>
      <w:marLeft w:val="0"/>
      <w:marRight w:val="0"/>
      <w:marTop w:val="0"/>
      <w:marBottom w:val="0"/>
      <w:divBdr>
        <w:top w:val="none" w:sz="0" w:space="0" w:color="auto"/>
        <w:left w:val="none" w:sz="0" w:space="0" w:color="auto"/>
        <w:bottom w:val="none" w:sz="0" w:space="0" w:color="auto"/>
        <w:right w:val="none" w:sz="0" w:space="0" w:color="auto"/>
      </w:divBdr>
    </w:div>
    <w:div w:id="1204438961">
      <w:bodyDiv w:val="1"/>
      <w:marLeft w:val="0"/>
      <w:marRight w:val="0"/>
      <w:marTop w:val="0"/>
      <w:marBottom w:val="0"/>
      <w:divBdr>
        <w:top w:val="none" w:sz="0" w:space="0" w:color="auto"/>
        <w:left w:val="none" w:sz="0" w:space="0" w:color="auto"/>
        <w:bottom w:val="none" w:sz="0" w:space="0" w:color="auto"/>
        <w:right w:val="none" w:sz="0" w:space="0" w:color="auto"/>
      </w:divBdr>
      <w:divsChild>
        <w:div w:id="912544142">
          <w:marLeft w:val="0"/>
          <w:marRight w:val="0"/>
          <w:marTop w:val="0"/>
          <w:marBottom w:val="0"/>
          <w:divBdr>
            <w:top w:val="none" w:sz="0" w:space="0" w:color="auto"/>
            <w:left w:val="none" w:sz="0" w:space="0" w:color="auto"/>
            <w:bottom w:val="none" w:sz="0" w:space="0" w:color="auto"/>
            <w:right w:val="none" w:sz="0" w:space="0" w:color="auto"/>
          </w:divBdr>
          <w:divsChild>
            <w:div w:id="1370688718">
              <w:marLeft w:val="0"/>
              <w:marRight w:val="0"/>
              <w:marTop w:val="0"/>
              <w:marBottom w:val="0"/>
              <w:divBdr>
                <w:top w:val="none" w:sz="0" w:space="0" w:color="auto"/>
                <w:left w:val="none" w:sz="0" w:space="0" w:color="auto"/>
                <w:bottom w:val="none" w:sz="0" w:space="0" w:color="auto"/>
                <w:right w:val="none" w:sz="0" w:space="0" w:color="auto"/>
              </w:divBdr>
              <w:divsChild>
                <w:div w:id="1549755144">
                  <w:marLeft w:val="0"/>
                  <w:marRight w:val="0"/>
                  <w:marTop w:val="0"/>
                  <w:marBottom w:val="0"/>
                  <w:divBdr>
                    <w:top w:val="none" w:sz="0" w:space="0" w:color="auto"/>
                    <w:left w:val="none" w:sz="0" w:space="0" w:color="auto"/>
                    <w:bottom w:val="none" w:sz="0" w:space="0" w:color="auto"/>
                    <w:right w:val="none" w:sz="0" w:space="0" w:color="auto"/>
                  </w:divBdr>
                  <w:divsChild>
                    <w:div w:id="1016152875">
                      <w:marLeft w:val="-150"/>
                      <w:marRight w:val="-150"/>
                      <w:marTop w:val="0"/>
                      <w:marBottom w:val="0"/>
                      <w:divBdr>
                        <w:top w:val="none" w:sz="0" w:space="0" w:color="auto"/>
                        <w:left w:val="none" w:sz="0" w:space="0" w:color="auto"/>
                        <w:bottom w:val="none" w:sz="0" w:space="0" w:color="auto"/>
                        <w:right w:val="none" w:sz="0" w:space="0" w:color="auto"/>
                      </w:divBdr>
                      <w:divsChild>
                        <w:div w:id="1481651345">
                          <w:marLeft w:val="0"/>
                          <w:marRight w:val="0"/>
                          <w:marTop w:val="0"/>
                          <w:marBottom w:val="0"/>
                          <w:divBdr>
                            <w:top w:val="none" w:sz="0" w:space="0" w:color="auto"/>
                            <w:left w:val="none" w:sz="0" w:space="0" w:color="auto"/>
                            <w:bottom w:val="none" w:sz="0" w:space="0" w:color="auto"/>
                            <w:right w:val="none" w:sz="0" w:space="0" w:color="auto"/>
                          </w:divBdr>
                          <w:divsChild>
                            <w:div w:id="887644923">
                              <w:marLeft w:val="0"/>
                              <w:marRight w:val="0"/>
                              <w:marTop w:val="0"/>
                              <w:marBottom w:val="0"/>
                              <w:divBdr>
                                <w:top w:val="none" w:sz="0" w:space="0" w:color="auto"/>
                                <w:left w:val="none" w:sz="0" w:space="0" w:color="auto"/>
                                <w:bottom w:val="none" w:sz="0" w:space="0" w:color="auto"/>
                                <w:right w:val="none" w:sz="0" w:space="0" w:color="auto"/>
                              </w:divBdr>
                              <w:divsChild>
                                <w:div w:id="668337294">
                                  <w:marLeft w:val="0"/>
                                  <w:marRight w:val="0"/>
                                  <w:marTop w:val="0"/>
                                  <w:marBottom w:val="300"/>
                                  <w:divBdr>
                                    <w:top w:val="none" w:sz="0" w:space="0" w:color="auto"/>
                                    <w:left w:val="none" w:sz="0" w:space="0" w:color="auto"/>
                                    <w:bottom w:val="none" w:sz="0" w:space="0" w:color="auto"/>
                                    <w:right w:val="none" w:sz="0" w:space="0" w:color="auto"/>
                                  </w:divBdr>
                                  <w:divsChild>
                                    <w:div w:id="2065831939">
                                      <w:marLeft w:val="0"/>
                                      <w:marRight w:val="0"/>
                                      <w:marTop w:val="0"/>
                                      <w:marBottom w:val="0"/>
                                      <w:divBdr>
                                        <w:top w:val="none" w:sz="0" w:space="0" w:color="auto"/>
                                        <w:left w:val="none" w:sz="0" w:space="0" w:color="auto"/>
                                        <w:bottom w:val="none" w:sz="0" w:space="0" w:color="auto"/>
                                        <w:right w:val="none" w:sz="0" w:space="0" w:color="auto"/>
                                      </w:divBdr>
                                      <w:divsChild>
                                        <w:div w:id="832111539">
                                          <w:marLeft w:val="0"/>
                                          <w:marRight w:val="0"/>
                                          <w:marTop w:val="0"/>
                                          <w:marBottom w:val="0"/>
                                          <w:divBdr>
                                            <w:top w:val="none" w:sz="0" w:space="0" w:color="auto"/>
                                            <w:left w:val="none" w:sz="0" w:space="0" w:color="auto"/>
                                            <w:bottom w:val="none" w:sz="0" w:space="0" w:color="auto"/>
                                            <w:right w:val="none" w:sz="0" w:space="0" w:color="auto"/>
                                          </w:divBdr>
                                          <w:divsChild>
                                            <w:div w:id="16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043658">
      <w:bodyDiv w:val="1"/>
      <w:marLeft w:val="0"/>
      <w:marRight w:val="0"/>
      <w:marTop w:val="0"/>
      <w:marBottom w:val="0"/>
      <w:divBdr>
        <w:top w:val="none" w:sz="0" w:space="0" w:color="auto"/>
        <w:left w:val="none" w:sz="0" w:space="0" w:color="auto"/>
        <w:bottom w:val="none" w:sz="0" w:space="0" w:color="auto"/>
        <w:right w:val="none" w:sz="0" w:space="0" w:color="auto"/>
      </w:divBdr>
    </w:div>
    <w:div w:id="1354115141">
      <w:bodyDiv w:val="1"/>
      <w:marLeft w:val="0"/>
      <w:marRight w:val="0"/>
      <w:marTop w:val="0"/>
      <w:marBottom w:val="0"/>
      <w:divBdr>
        <w:top w:val="none" w:sz="0" w:space="0" w:color="auto"/>
        <w:left w:val="none" w:sz="0" w:space="0" w:color="auto"/>
        <w:bottom w:val="none" w:sz="0" w:space="0" w:color="auto"/>
        <w:right w:val="none" w:sz="0" w:space="0" w:color="auto"/>
      </w:divBdr>
    </w:div>
    <w:div w:id="17631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07B7-4783-4D91-8D0F-7F748D7F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25</Pages>
  <Words>3393</Words>
  <Characters>20022</Characters>
  <Application>Microsoft Office Word</Application>
  <DocSecurity>0</DocSecurity>
  <Lines>1540</Lines>
  <Paragraphs>509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2019-01-07T11:00:00Z</cp:lastPrinted>
  <dcterms:created xsi:type="dcterms:W3CDTF">2020-05-07T07:14:00Z</dcterms:created>
  <dcterms:modified xsi:type="dcterms:W3CDTF">2020-05-12T07:28:00Z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