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9F32BBA-EC6C-468B-9B1C-314E8CE2098B"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Poland</w:t>
      </w:r>
      <w:r>
        <w:rPr>
          <w:noProof/>
        </w:rPr>
        <w:br/>
      </w:r>
      <w:r>
        <w:rPr>
          <w:noProof/>
        </w:rPr>
        <w:br/>
        <w:t>Report prepared in accordance with Article 126(3) of the Treaty on the Functioning of the European Union</w:t>
      </w:r>
    </w:p>
    <w:p>
      <w:pPr>
        <w:jc w:val="cente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Polish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Poland reached 0.7% of GDP in 2019, while general government gross debt stood at 46.0% of GDP. According to the 2020 Convergence Programme, Poland plans a deficit of 8.4% of GDP in 2020, while debt is planned at 55.2%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Poland’s compliance with the deficit criterion of the Treaty. The debt criterion can be considered to be met as the debt ratio is below the Treaty reference value of 60% of GDP.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-2.4</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-1.5</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-0.2</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4"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-9.5</w:t>
            </w:r>
          </w:p>
        </w:tc>
        <w:tc>
          <w:tcPr>
            <w:tcW w:w="1154"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-3.8</w:t>
            </w:r>
          </w:p>
        </w:tc>
      </w:tr>
      <w:tr>
        <w:tc>
          <w:tcPr>
            <w:tcW w:w="1154"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54.3</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50.6</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48.8</w:t>
            </w:r>
          </w:p>
        </w:tc>
        <w:tc>
          <w:tcPr>
            <w:tcW w:w="1152"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46.0</w:t>
            </w:r>
          </w:p>
        </w:tc>
        <w:tc>
          <w:tcPr>
            <w:tcW w:w="1154"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58.5</w:t>
            </w:r>
          </w:p>
        </w:tc>
        <w:tc>
          <w:tcPr>
            <w:tcW w:w="1154" w:type="dxa"/>
            <w:tcBorders>
              <w:bottom w:val="single" w:sz="4" w:space="0" w:color="auto"/>
            </w:tcBorders>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58.3</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Convergence Programme, Poland’s general government deficit in 2020 is planned to reach 8.4%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on Poland’s economy, the Commission spring forecast projects a contraction of real GDP in 2020 by 4.3%.</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is not temporary based on the Commission 2020 spring forecast, which projects the deficit to remain above 3% of GDP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to be exceptional but not temporary as defined by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Relevant factors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current situation, a key additional factor to take into consideration regarding 2020 is </w:t>
      </w:r>
      <w:r>
        <w:rPr>
          <w:rFonts w:ascii="Times New Roman" w:hAnsi="Times New Roman" w:cs="Times New Roman"/>
          <w:noProof/>
          <w:sz w:val="24"/>
          <w:szCs w:val="24"/>
          <w:lang w:eastAsia="en-GB"/>
        </w:rPr>
        <w:t xml:space="preserve">the economic impact </w:t>
      </w:r>
      <w:r>
        <w:rPr>
          <w:rFonts w:ascii="Times New Roman" w:eastAsia="Times New Roman" w:hAnsi="Times New Roman" w:cs="Times New Roman"/>
          <w:noProof/>
          <w:sz w:val="24"/>
          <w:lang w:eastAsia="en-GB"/>
        </w:rPr>
        <w:t>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impacted.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these measures will contribute to substantially higher government deficit and debt positions.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Economic growth exceeded 4% in 2019, mainly due to robust domestic demand. However, due to the COVID-19 pandemic, the </w:t>
      </w:r>
      <w:r>
        <w:rPr>
          <w:rFonts w:ascii="Times New Roman" w:eastAsia="Times New Roman" w:hAnsi="Times New Roman" w:cs="Calibri"/>
          <w:bCs/>
          <w:noProof/>
          <w:sz w:val="24"/>
          <w:lang w:eastAsia="en-GB"/>
        </w:rPr>
        <w:t>Commission 2020 spring forecast</w:t>
      </w:r>
      <w:r>
        <w:rPr>
          <w:rFonts w:ascii="Times New Roman" w:hAnsi="Times New Roman" w:cs="Times New Roman"/>
          <w:noProof/>
          <w:sz w:val="24"/>
          <w:szCs w:val="24"/>
        </w:rPr>
        <w:t xml:space="preserve"> projects GDP to decline by 4.3% in 2020, reflecting the disruption in economic activity caused by the lockdown measures and an unprecedented fall in external demand. Private consumption is projected to be hard-hit due to an increase in unemployment, a sharp drop in wage growth and weak consumer confidence. Investment is also set to fall strongly in 2020. Output is set to drop strongly in the first half of the year and recover gradually from the third quarter onwards. This outlook is marked by an exceptional degree of uncertainty on the duration of the pandemic and its economic impact. This a mitigating factor in the assessment of Poland’s compliance with the deficit criterion in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13 July 2018, Poland was recommended to ensure that the nominal growth rate of net primary government expenditure does not exceed 4.2% in 2019 (‘the expenditure benchmark’), corresponding to a structural adjustment of 0.6% of GDP.</w:t>
      </w:r>
      <w:r>
        <w:rPr>
          <w:rStyle w:val="FootnoteReference"/>
          <w:rFonts w:eastAsiaTheme="minorHAnsi"/>
          <w:noProof/>
        </w:rPr>
        <w:footnoteReference w:id="3"/>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lang w:eastAsia="en-GB"/>
        </w:rPr>
        <w:t>The overall assessment points to a significant deviation from the recommended adjustment path towards the MTO in 2019 and over 2018-2019 taken together.</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Convergence Programme provides information on substantial new spending (fiscal impact of 3.2% of GDP in 2020) to contain the pandemic and to support the economy. The highest expenditure is planned for allowances for self-employed and employed on non-standard labour contracts, exempting companies from social contributions, and subsidies to wages for certain companies</w:t>
      </w:r>
      <w:r>
        <w:rPr>
          <w:rStyle w:val="FootnoteReference"/>
          <w:rFonts w:eastAsiaTheme="minorHAnsi"/>
          <w:noProof/>
        </w:rPr>
        <w:footnoteReference w:id="4"/>
      </w:r>
      <w:r>
        <w:rPr>
          <w:rFonts w:ascii="Times New Roman" w:eastAsia="Times New Roman" w:hAnsi="Times New Roman" w:cs="Times New Roman"/>
          <w:noProof/>
          <w:sz w:val="24"/>
          <w:lang w:eastAsia="en-GB"/>
        </w:rPr>
        <w:t>. The Convergence Programme also takes into account a strong decrease in public revenue triggered by the crisis and cyclical effects. In 2021, according to the Convergence Programme, revenue is set to rise driven by a rebounding of the economy and cyclical factors. The Convergence Programme does not mention new high expenditure to support the economy. The Convergence Programme underlines the high uncertainty surrounding that projection, driven by the evolution of the pandemic, the length and stringency of the sanitary measures, the strength of the economic recovery, the policy of the central bank and the external situation.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Other factors put forward by Poland</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On 11 May 2020, the Polish authorities transmitted a letter with relevant factors in accordance with Article 2(3) of Regulation (EC) No 1467/97. The analysis presented in the previous sections already broadly covers the key factors put forward by the authorities. Additional factor not yet mentioned above is the determination of the government to reduce the excessive deficit as soon as possbile. Thanks to the stabilising expenditure rule, the authorities plan to bring the deficit to close to 3% of GDP in 2021, in the case the economic situation does not require any additional fiscal impulse.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plans in the Convergence Programme Poland’s headline general government deficit in 2020 is planned to reach 8.4% of GDP,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In line with the Treaty and the Stability and Growth Pact, this report also examined relevant factors. Overall, since the planned deficit is well above 3% of GDP and the excess not temporary, and taking into account all relevant factors, the analysis suggests</w:t>
      </w:r>
      <w:r>
        <w:rPr>
          <w:rFonts w:ascii="Times New Roman" w:eastAsia="Times New Roman" w:hAnsi="Times New Roman" w:cs="Times New Roman"/>
          <w:noProof/>
          <w:sz w:val="24"/>
          <w:lang w:eastAsia="en-GB"/>
        </w:rPr>
        <w:t xml:space="preserve"> that the deficit criterion as defined in the Treaty and in Regulation (EC) No 1467/1997 is not fulfilled.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Council Recommendation of 13 July 2018 “on the 2018 National Reform Programme of Poland and delivering a Council opinion on the 2018 Stability Programme of Poland”, OJ C 320, 10.9.2018, p. 88</w:t>
      </w:r>
    </w:p>
  </w:footnote>
  <w:footnote w:id="4">
    <w:p>
      <w:pPr>
        <w:pStyle w:val="FootnoteText"/>
        <w:rPr>
          <w:lang w:val="en-IE"/>
        </w:rPr>
      </w:pPr>
      <w:r>
        <w:rPr>
          <w:rStyle w:val="FootnoteReference"/>
        </w:rPr>
        <w:footnoteRef/>
      </w:r>
      <w:r>
        <w:t xml:space="preserve"> </w:t>
      </w:r>
      <w:r>
        <w:rPr>
          <w:lang w:val="en-IE"/>
        </w:rPr>
        <w:t xml:space="preserve">The Convergence Programme mentions also loans to be paid by the Polish Development Fund of a total value of PLN 100 billion, of which around PLN 60 billion are planned to be converted into grants, without recording them as expenditure in 2020. The 2020 Spring Commission forecast assumes that the expected unpaid amount is recorded as capital transfers when loans are paid to companies (i.e. in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9F32BBA-EC6C-468B-9B1C-314E8CE2098B"/>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Poland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015116248">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20271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D2EC-B808-41C8-B2FE-09F5D809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8062</Characters>
  <Application>Microsoft Office Word</Application>
  <DocSecurity>0</DocSecurity>
  <Lines>164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2020-05-18T14:59:00Z</dcterms:created>
  <dcterms:modified xsi:type="dcterms:W3CDTF">2020-05-19T15:51:00Z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