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932957F-CE8E-47C0-AE72-325887BE8DDD"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Austria</w:t>
      </w:r>
      <w:r>
        <w:rPr>
          <w:noProof/>
        </w:rPr>
        <w:br/>
      </w:r>
      <w:r>
        <w:rPr>
          <w:noProof/>
        </w:rPr>
        <w:br/>
        <w:t>Report prepared in accordance with Article 126(3) of the Treaty on the Functioning of the European Union</w:t>
      </w:r>
    </w:p>
    <w:p>
      <w:pPr>
        <w:pStyle w:val="Sous-titreobjet"/>
        <w:jc w:val="left"/>
        <w:rPr>
          <w:noProof/>
          <w:highlight w:val="yellow"/>
        </w:rPr>
      </w:pPr>
    </w:p>
    <w:p>
      <w:pPr>
        <w:pStyle w:val="Sous-titreobjet"/>
        <w:jc w:val="left"/>
        <w:rPr>
          <w:noProof/>
          <w:highlight w:val="yellow"/>
        </w:rPr>
      </w:pPr>
    </w:p>
    <w:p>
      <w:pPr>
        <w:pStyle w:val="Sous-titreobjet"/>
        <w:jc w:val="left"/>
        <w:rPr>
          <w:noProof/>
          <w:highlight w:val="yellow"/>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the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Austrian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balance in Austria reached 0.7% of GDP in 2019, while general government gross debt stood at 70.4% of GDP. According to the Stability Programme, Austria plans a deficit of 8.0% of GDP in 2020, while debt is planned at 81.4% of GDP.</w:t>
      </w:r>
      <w:r>
        <w:rPr>
          <w:rStyle w:val="FootnoteReference"/>
          <w:rFonts w:eastAsiaTheme="minorHAnsi"/>
          <w:noProof/>
          <w:sz w:val="24"/>
          <w:szCs w:val="24"/>
        </w:rPr>
        <w:footnoteReference w:id="3"/>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 xml:space="preserve">Against this background, the Commission has therefore prepared this report, which analyses Austria’s compliance with the deficit and debt criteria of the Treaty. It takes into account all relevant factors and gives due consideration to the </w:t>
      </w:r>
      <w:r>
        <w:rPr>
          <w:rFonts w:ascii="Times New Roman" w:eastAsia="Times New Roman" w:hAnsi="Times New Roman" w:cs="Calibri"/>
          <w:noProof/>
          <w:sz w:val="24"/>
          <w:szCs w:val="24"/>
          <w:lang w:eastAsia="en-GB"/>
        </w:rPr>
        <w:t xml:space="preserve">major economic shock linked to </w:t>
      </w:r>
      <w:r>
        <w:rPr>
          <w:rFonts w:ascii="Times New Roman" w:eastAsia="Times New Roman" w:hAnsi="Times New Roman" w:cs="Times New Roman"/>
          <w:noProof/>
          <w:sz w:val="24"/>
          <w:szCs w:val="24"/>
          <w:lang w:eastAsia="en-GB"/>
        </w:rPr>
        <w:t xml:space="preserve">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jc w:val="center"/>
        <w:tblLook w:val="04A0" w:firstRow="1" w:lastRow="0" w:firstColumn="1" w:lastColumn="0" w:noHBand="0" w:noVBand="1"/>
      </w:tblPr>
      <w:tblGrid>
        <w:gridCol w:w="1154"/>
        <w:gridCol w:w="1172"/>
        <w:gridCol w:w="1152"/>
        <w:gridCol w:w="1152"/>
        <w:gridCol w:w="1152"/>
        <w:gridCol w:w="1152"/>
        <w:gridCol w:w="1154"/>
        <w:gridCol w:w="1154"/>
      </w:tblGrid>
      <w:tr>
        <w:trPr>
          <w:trHeight w:val="603"/>
          <w:jc w:val="center"/>
        </w:trPr>
        <w:tc>
          <w:tcPr>
            <w:tcW w:w="1154" w:type="dxa"/>
            <w:vAlign w:val="center"/>
          </w:tcPr>
          <w:p>
            <w:pPr>
              <w:keepNext/>
              <w:jc w:val="center"/>
              <w:rPr>
                <w:rFonts w:ascii="Times New Roman" w:eastAsia="Times New Roman" w:hAnsi="Times New Roman" w:cs="Calibri"/>
                <w:noProof/>
                <w:sz w:val="20"/>
                <w:szCs w:val="20"/>
                <w:lang w:eastAsia="en-GB"/>
              </w:rPr>
            </w:pPr>
          </w:p>
        </w:tc>
        <w:tc>
          <w:tcPr>
            <w:tcW w:w="117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rPr>
          <w:jc w:val="center"/>
        </w:trPr>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-1.5</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-0.8</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-6.1</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-1.9</w:t>
            </w:r>
          </w:p>
        </w:tc>
      </w:tr>
      <w:tr>
        <w:trPr>
          <w:jc w:val="center"/>
        </w:trPr>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82.9</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78.3</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74.0</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70.4</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78.8</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75.8</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technical update to the Stability Programme, Austria’s general government deficit in 2020 is planned to reach 8.0% of GDP,</w:t>
      </w:r>
      <w:r>
        <w:rPr>
          <w:noProof/>
        </w:rPr>
        <w:t xml:space="preserve"> </w:t>
      </w:r>
      <w:r>
        <w:rPr>
          <w:rFonts w:ascii="Times New Roman" w:eastAsia="Calibri" w:hAnsi="Times New Roman" w:cs="Times New Roman"/>
          <w:noProof/>
          <w:sz w:val="24"/>
          <w:szCs w:val="24"/>
          <w:lang w:eastAsia="en-GB"/>
        </w:rPr>
        <w:t>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in 2020 is exceptional, as it results from a severe economic downturn. Taking into account the impact of the COVID-19 pandemic, the Commission 2020 spring forecast projects a contraction of real GDP in 2020 by 5.5%.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would be temporary, based on the Commission 2020 spring forecast, which projects the general government deficit to fall under 3% of GDP in 2021. However, those projections are surrounded by an exceptionally high degree of uncertainty.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as defined by the Treaty and the Stability and Growth Pact, while the nature of the excess is currently considered temporary.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highlight w:val="lightGray"/>
          <w:lang w:eastAsia="en-GB"/>
        </w:rPr>
      </w:pPr>
      <w:r>
        <w:rPr>
          <w:rFonts w:ascii="Times New Roman" w:eastAsia="Calibri" w:hAnsi="Times New Roman" w:cs="Times New Roman"/>
          <w:noProof/>
          <w:sz w:val="24"/>
          <w:szCs w:val="24"/>
          <w:lang w:eastAsia="en-GB"/>
        </w:rPr>
        <w:t>The government debt-to-GDP ratio decreased from 74.0% in 2018 to 70.4% in 2019. That decline is mainly driven by an improvement of the primary balance and supported by stock-flow adjustments stemming from the divestment of impaired assets from bad banks included into government accounts.</w:t>
      </w:r>
      <w:r>
        <w:rPr>
          <w:rFonts w:ascii="Times New Roman" w:eastAsia="Calibri" w:hAnsi="Times New Roman" w:cs="Times New Roman"/>
          <w:noProof/>
          <w:sz w:val="24"/>
          <w:szCs w:val="24"/>
          <w:highlight w:val="lightGray"/>
          <w:lang w:eastAsia="en-GB"/>
        </w:rPr>
        <w:t xml:space="preserve"> </w:t>
      </w:r>
    </w:p>
    <w:p>
      <w:pPr>
        <w:spacing w:before="120"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The notified data show that Austria complied with the debt reduction benchmark in 2019, as the gap to the benchmark is -6.1% of GDP.</w:t>
      </w:r>
    </w:p>
    <w:p>
      <w:pPr>
        <w:pStyle w:val="ListDash"/>
        <w:numPr>
          <w:ilvl w:val="0"/>
          <w:numId w:val="0"/>
        </w:numPr>
        <w:rPr>
          <w:noProof/>
        </w:rPr>
      </w:pPr>
      <w:r>
        <w:rPr>
          <w:noProof/>
        </w:rPr>
        <w:t>The analysis thus suggests that the debt criterion is fulfilled based on the 2019 outturn data.</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szCs w:val="24"/>
          <w:lang w:eastAsia="en-GB"/>
        </w:rPr>
        <w:t xml:space="preserve">As specified in Article 2(4) of Regulation (EC) No 1467/97, as regards compliance with the deficit criterion in 2020, </w:t>
      </w:r>
      <w:r>
        <w:rPr>
          <w:rFonts w:ascii="Times New Roman" w:hAnsi="Times New Roman" w:cs="Times New Roman"/>
          <w:strike/>
          <w:noProof/>
          <w:sz w:val="24"/>
          <w:szCs w:val="24"/>
          <w:lang w:eastAsia="en-GB"/>
        </w:rPr>
        <w:t>s</w:t>
      </w:r>
      <w:r>
        <w:rPr>
          <w:rFonts w:ascii="Times New Roman" w:eastAsia="Times New Roman" w:hAnsi="Times New Roman" w:cs="Times New Roman"/>
          <w:noProof/>
          <w:sz w:val="24"/>
          <w:lang w:eastAsia="en-GB"/>
        </w:rPr>
        <w:t xml:space="preserve">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Austria.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Calibri"/>
          <w:bCs/>
          <w:noProof/>
          <w:sz w:val="24"/>
          <w:lang w:eastAsia="en-GB"/>
        </w:rPr>
        <w:t>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Member States have already adopted or are adopting budgetary measures to increase the capacity of health systems and provide relief to those</w:t>
      </w:r>
      <w:r>
        <w:rPr>
          <w:rFonts w:ascii="Times New Roman" w:hAnsi="Times New Roman" w:cs="Times New Roman"/>
          <w:noProof/>
          <w:sz w:val="24"/>
          <w:szCs w:val="24"/>
        </w:rPr>
        <w:t xml:space="preserv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noProof/>
          <w:sz w:val="24"/>
          <w:lang w:eastAsia="en-GB"/>
        </w:rPr>
      </w:pPr>
      <w:r>
        <w:rPr>
          <w:rFonts w:ascii="Times New Roman" w:hAnsi="Times New Roman" w:cs="Times New Roman"/>
          <w:noProof/>
          <w:sz w:val="24"/>
          <w:szCs w:val="24"/>
          <w:lang w:val="en-IE"/>
        </w:rPr>
        <w:t>The COVID-19 pandemic is strongly affecting Austria’s growth prospects. Being a small, open economy, developments in Austria’s economy are strongly linked to those in its main trading partners. As a result, containment measures against the virus and related supply chain disruptions hit both the demand and supply side of the economy, leading to a broad-based downturn. T</w:t>
      </w:r>
      <w:r>
        <w:rPr>
          <w:rFonts w:ascii="Times New Roman" w:eastAsia="Times New Roman" w:hAnsi="Times New Roman" w:cs="Calibri"/>
          <w:bCs/>
          <w:noProof/>
          <w:sz w:val="24"/>
          <w:lang w:eastAsia="en-GB"/>
        </w:rPr>
        <w:t>he tourism-related sectors are hit particularly hard due to international travel restrictions. However, given the relatively rapid fall in new infections, Austria was one of the first Member States to announce a progressive relaxation of lockdown measures starting from mid-April. The contraction in the first half of the year is therefore expected to be somewhat less severe than in other euro area Member States. The Commission 2020 spring forecast projects real GDP to decline by 5.5% in the current year, which is broad-based, and affects in particular domestic demand and export of services. This a mitigating factor in the assessment of Member State’s compliance with the deficit criterion in 2020. Assuming a gradual normalistion, GDP growth is expected to rebound in the second half of the year, followed by a solid recovery of 5.0% in 2021.</w:t>
      </w:r>
      <w:r>
        <w:rPr>
          <w:noProof/>
        </w:rPr>
        <w:t xml:space="preserve"> </w:t>
      </w:r>
      <w:r>
        <w:rPr>
          <w:rFonts w:ascii="Times New Roman" w:eastAsia="Times New Roman" w:hAnsi="Times New Roman" w:cs="Calibri"/>
          <w:bCs/>
          <w:noProof/>
          <w:sz w:val="24"/>
          <w:lang w:eastAsia="en-GB"/>
        </w:rPr>
        <w:t>The macroeconomic outlook is marked by an exceptional degree of uncertainty related to the duration of the COVID-19 pandemic and its ensuing economic impact.</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Calibri"/>
          <w:bCs/>
          <w:noProof/>
          <w:sz w:val="24"/>
          <w:lang w:eastAsia="en-GB"/>
        </w:rPr>
        <w:t xml:space="preserve"> </w:t>
      </w: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Based on outturn data and the Commission forecast, Austria was compliant with its medium-term budgetary objective  in 2019.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According to the Stability Programme, the mitigation of the socio-economic effects of the pandemic takes centre stage for managing the crisis and largely shapes the budgetary development. The federal government has launched a comprehensive aid package of EUR 38 billion (around 9.9% of GDP).</w:t>
      </w:r>
      <w:r>
        <w:rPr>
          <w:noProof/>
        </w:rPr>
        <w:t xml:space="preserve"> </w:t>
      </w:r>
      <w:r>
        <w:rPr>
          <w:rFonts w:ascii="Times New Roman" w:eastAsia="Times New Roman" w:hAnsi="Times New Roman" w:cs="Calibri"/>
          <w:bCs/>
          <w:noProof/>
          <w:sz w:val="24"/>
          <w:lang w:eastAsia="en-GB"/>
        </w:rPr>
        <w:t xml:space="preserve">The main purpose of the ‘Corona Aid Package’ is to ensure the provision of health care, secure jobs and preserve Austria as a business location. The package consists of immediate help for SMEs, increased public expenditures for health care and social policy, direct liquidity provision and transfers for distressed companies, funds for short-time work and tax deferrals. In addition, the budgetary impact of further measures to revive the economy is not yet incorporated in the projections. </w:t>
      </w:r>
    </w:p>
    <w:p>
      <w:pPr>
        <w:spacing w:before="120" w:after="120" w:line="240" w:lineRule="auto"/>
        <w:jc w:val="both"/>
        <w:rPr>
          <w:rFonts w:ascii="Times New Roman" w:eastAsia="Times New Roman" w:hAnsi="Times New Roman" w:cs="Calibri"/>
          <w:bCs/>
          <w:noProof/>
          <w:sz w:val="24"/>
          <w:lang w:eastAsia="en-GB"/>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iCs/>
          <w:noProof/>
          <w:sz w:val="24"/>
          <w:lang w:eastAsia="en-GB"/>
        </w:rPr>
      </w:pPr>
      <w:r>
        <w:rPr>
          <w:rFonts w:ascii="Times New Roman" w:eastAsia="Times New Roman" w:hAnsi="Times New Roman" w:cs="Times New Roman"/>
          <w:noProof/>
          <w:sz w:val="24"/>
          <w:lang w:eastAsia="en-GB"/>
        </w:rPr>
        <w:t xml:space="preserve">According to the Commission 2020 spring forecast, general government debt is expected to rise from 70.4% of GDP in 2019 to 78.8% by 2020. </w:t>
      </w:r>
      <w:r>
        <w:rPr>
          <w:rFonts w:ascii="Times New Roman" w:eastAsia="Times New Roman" w:hAnsi="Times New Roman" w:cs="Times New Roman"/>
          <w:iCs/>
          <w:noProof/>
          <w:sz w:val="24"/>
          <w:lang w:eastAsia="en-GB"/>
        </w:rPr>
        <w:t>The debt sustainability analysis has been updated on the basis of this forecast. The analysis confirms that, notwithstanding risks, the debt position remains sustainable over the medium term in Austria, also given important mitigating factors (including the debt profile and the historic low level of interest rates). In particular, while the government debt position deteriorates as a result of the COVID-19 crisis, the debt ratio in the baseline is expected to be on a sustainable (declining) trajectory over the medium term (Graph 1).</w:t>
      </w:r>
      <w:r>
        <w:rPr>
          <w:rStyle w:val="FootnoteReference"/>
          <w:rFonts w:eastAsiaTheme="minorHAnsi"/>
          <w:iCs/>
          <w:noProof/>
          <w:sz w:val="24"/>
          <w:szCs w:val="24"/>
        </w:rPr>
        <w:footnoteReference w:id="4"/>
      </w:r>
    </w:p>
    <w:p>
      <w:pPr>
        <w:spacing w:before="120" w:after="120" w:line="240" w:lineRule="auto"/>
        <w:jc w:val="both"/>
        <w:rPr>
          <w:rFonts w:ascii="Times New Roman" w:eastAsia="Times New Roman" w:hAnsi="Times New Roman" w:cs="Times New Roman"/>
          <w:iCs/>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Graph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Government debt-to-GDP ratio, Austria, % of GDP</w:t>
      </w:r>
    </w:p>
    <w:p>
      <w:pPr>
        <w:spacing w:before="120" w:after="120" w:line="240" w:lineRule="auto"/>
        <w:jc w:val="center"/>
        <w:rPr>
          <w:rFonts w:ascii="Times New Roman" w:eastAsia="Times New Roman" w:hAnsi="Times New Roman" w:cs="Times New Roman"/>
          <w:iCs/>
          <w:noProof/>
          <w:sz w:val="24"/>
          <w:lang w:eastAsia="en-GB"/>
        </w:rPr>
      </w:pPr>
      <w:r>
        <w:rPr>
          <w:rFonts w:ascii="Times New Roman" w:eastAsia="Times New Roman" w:hAnsi="Times New Roman" w:cs="Times New Roman"/>
          <w:iCs/>
          <w:noProof/>
          <w:sz w:val="24"/>
          <w:lang w:eastAsia="en-GB"/>
        </w:rPr>
        <w:drawing>
          <wp:inline distT="0" distB="0" distL="0" distR="0">
            <wp:extent cx="4655999" cy="2189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4695" cy="2193215"/>
                    </a:xfrm>
                    <a:prstGeom prst="rect">
                      <a:avLst/>
                    </a:prstGeom>
                    <a:noFill/>
                  </pic:spPr>
                </pic:pic>
              </a:graphicData>
            </a:graphic>
          </wp:inline>
        </w:drawing>
      </w:r>
    </w:p>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Commission services.</w:t>
      </w:r>
    </w:p>
    <w:p>
      <w:pPr>
        <w:spacing w:before="120" w:after="120" w:line="240" w:lineRule="auto"/>
        <w:jc w:val="center"/>
        <w:rPr>
          <w:rFonts w:ascii="Times New Roman" w:eastAsia="Times New Roman" w:hAnsi="Times New Roman" w:cs="Times New Roman"/>
          <w:iCs/>
          <w:noProof/>
          <w:sz w:val="24"/>
          <w:lang w:eastAsia="en-GB"/>
        </w:rPr>
      </w:pPr>
    </w:p>
    <w:p>
      <w:pPr>
        <w:spacing w:before="120" w:after="120" w:line="240" w:lineRule="auto"/>
        <w:jc w:val="both"/>
        <w:rPr>
          <w:rFonts w:ascii="Times New Roman" w:eastAsia="Times New Roman" w:hAnsi="Times New Roman" w:cs="Times New Roman"/>
          <w:b/>
          <w:noProof/>
          <w:sz w:val="24"/>
          <w:lang w:eastAsia="en-GB"/>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11 May 2020, the Austrian authorities transmitted a letter with relevant factors in accordance with Article 2(3) of Regulation (EC) No 1467/97. The analysis presented in the previous sections already broadly covers the key factors put forward by the authorities. Additional factors not yet mentioned above are measures to revive the economythat  the authorities are planning jointly with social partners. As for the measures referred to in the technical update to the Stability Programme, the guiding principle of the announced recovery programme is to preserve the production potential of the Austrian economy. </w:t>
      </w:r>
    </w:p>
    <w:p>
      <w:pPr>
        <w:spacing w:before="120" w:after="120" w:line="240" w:lineRule="auto"/>
        <w:jc w:val="both"/>
        <w:rPr>
          <w:rFonts w:ascii="Times New Roman" w:eastAsia="Times New Roman" w:hAnsi="Times New Roman" w:cs="Calibri"/>
          <w:bCs/>
          <w:noProof/>
          <w:sz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technical update to the Stability Programme, Austria’s general government deficit in 2020 is planned to increase to 8.0% of GDP, above and not close to the 3% of GDP Treaty reference value. The planned excess over the reference value is considered to be exceptional and currently considered to be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at 70.4% of GDP at the end of 2019, well above the 60% of GDP Treaty reference value. Austria complied with the debt reduction benchmark in 2019.</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In line with the Treaty and the Stability and Growth Pact, this report also examined relevant factors. As</w:t>
      </w:r>
      <w:r>
        <w:rPr>
          <w:noProof/>
        </w:rPr>
        <w:t xml:space="preserve"> </w:t>
      </w:r>
      <w:r>
        <w:rPr>
          <w:rFonts w:ascii="Times New Roman" w:eastAsia="Times New Roman" w:hAnsi="Times New Roman" w:cs="Calibri"/>
          <w:bCs/>
          <w:noProof/>
          <w:sz w:val="24"/>
          <w:lang w:eastAsia="en-GB"/>
        </w:rPr>
        <w:t xml:space="preserve">specified in Article 2(4) of Regulation (EC) No 1467/97, as regards compliance with the deficit criterion in 2020, </w:t>
      </w:r>
      <w:r>
        <w:rPr>
          <w:rFonts w:ascii="Times New Roman" w:eastAsia="Times New Roman" w:hAnsi="Times New Roman" w:cs="Times New Roman"/>
          <w:noProof/>
          <w:sz w:val="24"/>
          <w:lang w:eastAsia="en-GB"/>
        </w:rPr>
        <w:t>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Austria.</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Overall, </w:t>
      </w:r>
      <w:r>
        <w:rPr>
          <w:rFonts w:ascii="Times New Roman" w:eastAsia="Times New Roman" w:hAnsi="Times New Roman" w:cs="Times New Roman"/>
          <w:noProof/>
          <w:sz w:val="24"/>
          <w:lang w:eastAsia="en-GB"/>
        </w:rPr>
        <w:t xml:space="preserve">the analysis suggests that the deficit criterion as defined in the Treaty and in Regulation (EC) No 1467/1997 is not fulfilled.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pPr>
      <w:r>
        <w:rPr>
          <w:rStyle w:val="FootnoteReference"/>
        </w:rPr>
        <w:footnoteRef/>
      </w:r>
      <w:r>
        <w:t xml:space="preserve"> </w:t>
      </w:r>
      <w:r>
        <w:tab/>
      </w:r>
      <w:hyperlink r:id="rId1" w:history="1">
        <w:r>
          <w:rPr>
            <w:rStyle w:val="Hyperlink"/>
          </w:rPr>
          <w:t>https://ec.europa.eu/eurostat/documents/2995521/10294648/2-22042020-AP-EN.pdf/6c8f0ef4-6221-1094-fef7-a07764b0369f</w:t>
        </w:r>
      </w:hyperlink>
      <w:r>
        <w:t xml:space="preserve"> </w:t>
      </w:r>
    </w:p>
  </w:footnote>
  <w:footnote w:id="3">
    <w:p>
      <w:pPr>
        <w:pStyle w:val="FootnoteText"/>
        <w:ind w:left="567" w:hanging="567"/>
      </w:pPr>
      <w:r>
        <w:rPr>
          <w:rStyle w:val="FootnoteReference"/>
        </w:rPr>
        <w:footnoteRef/>
      </w:r>
      <w:r>
        <w:t xml:space="preserve"> </w:t>
      </w:r>
      <w:r>
        <w:tab/>
        <w:t xml:space="preserve">On 30 April, the Austrian authorities submitted to the Commission a technical update to the Stability Programme for the years 2019 to 2021. With that update, the Austrian authorities respond to the Commission’s request as formulated in the Commission Opinion on the updated Draft Budgetary Plan for 2020.    </w:t>
      </w:r>
    </w:p>
  </w:footnote>
  <w:footnote w:id="4">
    <w:p>
      <w:pPr>
        <w:pStyle w:val="FootnoteText"/>
        <w:tabs>
          <w:tab w:val="left" w:pos="567"/>
        </w:tabs>
        <w:ind w:left="567" w:hanging="567"/>
      </w:pPr>
      <w:r>
        <w:rPr>
          <w:rStyle w:val="FootnoteReference"/>
        </w:rPr>
        <w:footnoteRef/>
      </w:r>
      <w:r>
        <w:t xml:space="preserve"> </w:t>
      </w:r>
      <w:r>
        <w:tab/>
        <w:t>The baseline is based on the Commission 2020 spring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932957F-CE8E-47C0-AE72-325887BE8DDD"/>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Austri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3950368">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3227835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9880652">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ACA8-15F2-49C1-A827-857340B0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10316</Characters>
  <Application>Microsoft Office Word</Application>
  <DocSecurity>0</DocSecurity>
  <Lines>206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2020-05-18T14:10:00Z</dcterms:created>
  <dcterms:modified xsi:type="dcterms:W3CDTF">2020-05-19T15:07:00Z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