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1DBC3D8-9628-4637-8B3A-4BF6B0288B17"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Royaume-Uni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Cette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la pandémie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direction de l’objectif budgétaire à moyen terme, à condition que cela ne mette pas en danger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cadre du pacte.</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p>
    <w:p>
      <w:pPr>
        <w:jc w:val="both"/>
        <w:rPr>
          <w:rFonts w:ascii="Times New Roman" w:eastAsia="Times New Roman" w:hAnsi="Times New Roman" w:cs="Calibri"/>
          <w:noProof/>
          <w:sz w:val="24"/>
          <w:szCs w:val="24"/>
        </w:rPr>
      </w:pPr>
      <w:r>
        <w:rPr>
          <w:rFonts w:ascii="Times New Roman" w:hAnsi="Times New Roman"/>
          <w:noProof/>
          <w:sz w:val="24"/>
          <w:szCs w:val="24"/>
        </w:rPr>
        <w:t>Selon les prévisions de la Commission du printemps 2020, le déficit public du Royaume-Uni</w:t>
      </w:r>
      <w:r>
        <w:rPr>
          <w:rStyle w:val="FootnoteReference"/>
          <w:rFonts w:eastAsiaTheme="minorHAnsi"/>
          <w:noProof/>
        </w:rPr>
        <w:footnoteReference w:id="2"/>
      </w:r>
      <w:r>
        <w:rPr>
          <w:noProof/>
        </w:rPr>
        <w:t xml:space="preserve"> </w:t>
      </w:r>
      <w:r>
        <w:rPr>
          <w:rFonts w:ascii="Times New Roman" w:hAnsi="Times New Roman"/>
          <w:noProof/>
          <w:sz w:val="24"/>
          <w:szCs w:val="24"/>
        </w:rPr>
        <w:t xml:space="preserve"> s’établirait à 2,5 % du PIB pour l’exercice 2019-2020, tandis que la dette publique s’élèverait à 85,2 %. Toutefois, les chiffres définitifs du déficit et de la dette des administrations publiques pour 2019-2020 ne seront disponibles qu’à l’automne 2020. Selon les prévisions de la Commission, le déficit du Royaume-Uni atteindrait 10,7 % du PIB en 2020-2021, et la dette se monterait à 102,5 % du PIB. Tous les éléments disponibles, y compris les déclarations des autorités nationales sur l’ampleur de la réaction de la politique budgétaire à la grave récession économique associée à la pandémie de COVID-19, laissent présager pour </w:t>
      </w:r>
      <w:r>
        <w:rPr>
          <w:rFonts w:ascii="Times New Roman" w:hAnsi="Times New Roman"/>
          <w:noProof/>
          <w:sz w:val="24"/>
          <w:szCs w:val="24"/>
        </w:rPr>
        <w:lastRenderedPageBreak/>
        <w:t>2020-2021 et 2021-2022 un déficit nettement supérieur au seuil de 3 % du PIB. Dans sa lettre du 7 mai 2020, la Commission a demandé au Royaume-Uni de lui fournir des informations actualisées sur l'ampleur estimée du déficit en 2020-2021. Le Royaume-Uni n’a cependant pas fourni la clarification demandée, mais renvoyé au scénario COVID-19 de l’Office pour la responsabilité budgétaire (</w:t>
      </w:r>
      <w:r>
        <w:rPr>
          <w:rFonts w:ascii="Times New Roman" w:hAnsi="Times New Roman"/>
          <w:i/>
          <w:iCs/>
          <w:noProof/>
          <w:sz w:val="24"/>
          <w:szCs w:val="24"/>
        </w:rPr>
        <w:t>Office for Budget Responsibility</w:t>
      </w:r>
      <w:r>
        <w:rPr>
          <w:rFonts w:ascii="Times New Roman" w:hAnsi="Times New Roman"/>
          <w:noProof/>
          <w:sz w:val="24"/>
          <w:szCs w:val="24"/>
        </w:rPr>
        <w:t>), qui prévoit pour 2020-2021 un déficit nettement supérieur à 3 %. Compte tenu de ces facteurs, la Commission considère sa prévision actuelle, à savoir un déficit de 10,7 % du PIB en 2020-2021, comme un élément à première vue suffisamment probant pour conclure à un déficit excessif au sens de l’article 126, paragraphe 2, point a), du traité.</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Dans ce contexte, la Commission a donc préparé le présent rapport, qui analyse le respect par le Royaume-Uni des critères de déficit et de dette prévus par le traité. Il tient compte de tous les facteurs pertinents et prend dûment en considération le choc économique majeur lié à la pandémie de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Déficit public et dette publique (en % du PIB) </w:t>
      </w:r>
      <w:r>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123"/>
        <w:gridCol w:w="1451"/>
        <w:gridCol w:w="1111"/>
        <w:gridCol w:w="1111"/>
        <w:gridCol w:w="1111"/>
        <w:gridCol w:w="1111"/>
        <w:gridCol w:w="1112"/>
        <w:gridCol w:w="1112"/>
      </w:tblGrid>
      <w:tr>
        <w:trPr>
          <w:trHeight w:val="603"/>
        </w:trPr>
        <w:tc>
          <w:tcPr>
            <w:tcW w:w="1155" w:type="dxa"/>
          </w:tcPr>
          <w:p>
            <w:pPr>
              <w:keepNext/>
              <w:jc w:val="center"/>
              <w:rPr>
                <w:rFonts w:ascii="Times New Roman" w:eastAsia="Times New Roman" w:hAnsi="Times New Roman" w:cs="Calibri"/>
                <w:noProof/>
                <w:sz w:val="20"/>
                <w:szCs w:val="20"/>
                <w:lang w:eastAsia="en-GB"/>
              </w:rPr>
            </w:pPr>
          </w:p>
        </w:tc>
        <w:tc>
          <w:tcPr>
            <w:tcW w:w="1173"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2018-2019</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2021-2022</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w:t>
            </w:r>
            <w:r>
              <w:rPr>
                <w:rFonts w:ascii="Times New Roman" w:hAnsi="Times New Roman"/>
                <w:noProof/>
                <w:sz w:val="20"/>
                <w:szCs w:val="20"/>
              </w:rPr>
              <w:t>10</w:t>
            </w:r>
            <w:r>
              <w:rPr>
                <w:rFonts w:ascii="Times New Roman" w:hAnsi="Times New Roman"/>
                <w:noProof/>
                <w:sz w:val="20"/>
                <w:szCs w:val="20"/>
                <w:highlight w:val="lightGray"/>
              </w:rPr>
              <w:t>,</w:t>
            </w:r>
            <w:r>
              <w:rPr>
                <w:rFonts w:ascii="Times New Roman" w:hAnsi="Times New Roman"/>
                <w:noProof/>
                <w:sz w:val="20"/>
                <w:szCs w:val="20"/>
              </w:rPr>
              <w:t>7</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highlight w:val="lightGray"/>
              </w:rPr>
              <w:t>-</w:t>
            </w:r>
            <w:r>
              <w:rPr>
                <w:rFonts w:ascii="Times New Roman" w:hAnsi="Times New Roman"/>
                <w:noProof/>
                <w:sz w:val="20"/>
                <w:szCs w:val="20"/>
              </w:rPr>
              <w:t>6</w:t>
            </w:r>
            <w:r>
              <w:rPr>
                <w:rFonts w:ascii="Times New Roman" w:hAnsi="Times New Roman"/>
                <w:noProof/>
                <w:sz w:val="20"/>
                <w:szCs w:val="20"/>
                <w:highlight w:val="lightGray"/>
              </w:rPr>
              <w:t>,</w:t>
            </w:r>
            <w:r>
              <w:rPr>
                <w:rFonts w:ascii="Times New Roman" w:hAnsi="Times New Roman"/>
                <w:noProof/>
                <w:sz w:val="20"/>
                <w:szCs w:val="20"/>
              </w:rPr>
              <w:t>2</w:t>
            </w:r>
          </w:p>
        </w:tc>
      </w:tr>
      <w:tr>
        <w:tc>
          <w:tcPr>
            <w:tcW w:w="1155"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85,2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84,2</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85,2</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102</w:t>
            </w:r>
            <w:r>
              <w:rPr>
                <w:rFonts w:ascii="Times New Roman" w:hAnsi="Times New Roman"/>
                <w:noProof/>
                <w:sz w:val="20"/>
                <w:szCs w:val="20"/>
                <w:highlight w:val="lightGray"/>
              </w:rPr>
              <w:t>,</w:t>
            </w:r>
            <w:r>
              <w:rPr>
                <w:rFonts w:ascii="Times New Roman" w:hAnsi="Times New Roman"/>
                <w:noProof/>
                <w:sz w:val="20"/>
                <w:szCs w:val="20"/>
              </w:rPr>
              <w:t>5</w:t>
            </w:r>
          </w:p>
        </w:tc>
        <w:tc>
          <w:tcPr>
            <w:tcW w:w="115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100</w:t>
            </w:r>
            <w:r>
              <w:rPr>
                <w:rFonts w:ascii="Times New Roman" w:hAnsi="Times New Roman"/>
                <w:noProof/>
                <w:sz w:val="20"/>
                <w:szCs w:val="20"/>
                <w:highlight w:val="lightGray"/>
              </w:rPr>
              <w:t>,</w:t>
            </w:r>
            <w:r>
              <w:rPr>
                <w:rFonts w:ascii="Times New Roman" w:hAnsi="Times New Roman"/>
                <w:noProof/>
                <w:sz w:val="20"/>
                <w:szCs w:val="20"/>
              </w:rPr>
              <w:t>2</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Remarque: Source: Eurostat, prévisions de la Commission du printemps 2020</w:t>
      </w:r>
    </w:p>
    <w:p>
      <w:pPr>
        <w:pStyle w:val="ManualHeading1"/>
        <w:rPr>
          <w:noProof/>
        </w:rPr>
      </w:pPr>
      <w:r>
        <w:rPr>
          <w:smallCaps w:val="0"/>
          <w:noProof/>
        </w:rPr>
        <w:t>2.</w:t>
      </w:r>
      <w:r>
        <w:rPr>
          <w:noProof/>
        </w:rPr>
        <w:tab/>
        <w:t xml:space="preserve">Critère du déficit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les prévisions de la Commission du printemps 2020, le déficit public du Royaume-Uni pour 2020-2021 devrait atteindre 10,7 % du PIB, ce qui est supérieur à la valeur de référence de 3 % du PIB prévue par le traité, et n'en est pas proche. Ce dépassement de la valeur de référence du traité prévu pour 2020-2021 est exceptionnel, car il résulte d’une grave récession économique. Les prévisions du printemps 2020 de la Commission, qui tiennent compte de l’impact de la pandémie de COVID-19, annoncent en effet une contraction du PIB réel de 8,3 %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de la valeur de référence du traité annoncé par les prévisions de la Commission du printemps 2020 n’est pas temporaire, d’après ces mêmes prévisions, selon lesquelles le déficit restera supérieur à 3 % du PIB en 2021-2022.</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résumé, le déficit prévu pour 2020-2021 est supérieur à la valeur de référence de 3 % du PIB prévue par le traité, et n'en est pas proche. Ce dépassement prévu est considéré comme exceptionnel, et n’est pas considéré comme temporaire, au sens du traité et du pacte de stabilité et de croissance. Tous les éléments disponibles, y compris les déclarations des autorités nationales sur l’ampleur de la réaction de la politique budgétaire à la grave récession économique associée à la pandémie de COVID-19, laissent présager pour 2020-2021 et 2021-2022 un déficit nettement supérieur au seuil de 3 % du PIB. Dans sa lettre du 7 mai 2020, la Commission a demandé au Royaume-Uni de lui fournir des informations actualisées sur l'ampleur estimée du déficit en 2020-2021. Le Royaume-Uni n’a cependant pas fourni la clarification demandée, mais renvoyé au scénario COVID-19 de l’Office pour la responsabilité budgétaire (</w:t>
      </w:r>
      <w:r>
        <w:rPr>
          <w:rFonts w:ascii="Times New Roman" w:hAnsi="Times New Roman"/>
          <w:i/>
          <w:iCs/>
          <w:noProof/>
          <w:sz w:val="24"/>
          <w:szCs w:val="24"/>
        </w:rPr>
        <w:t>Office for Budget Responsibility</w:t>
      </w:r>
      <w:r>
        <w:rPr>
          <w:rFonts w:ascii="Times New Roman" w:hAnsi="Times New Roman"/>
          <w:noProof/>
          <w:sz w:val="24"/>
          <w:szCs w:val="24"/>
        </w:rPr>
        <w:t>), qui prévoit pour 2020-2021 un déficit nettement supérieur à 3 %. Compte tenu de ces facteurs, la Commission considère sa prévision actuelle, à savoir un déficit de 10,7 % du PIB en 2020-2021, comme un élément à première vue suffisamment probant pour conclure à un déficit excessif au sens de l’article 126, paragraphe 2, point a), du traité. L’analyse effectuée suggère donc,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 </w:t>
      </w:r>
      <w:r>
        <w:rPr>
          <w:rFonts w:ascii="Times New Roman" w:hAnsi="Times New Roman"/>
          <w:noProof/>
          <w:sz w:val="24"/>
        </w:rPr>
        <w:t>Conformément à l’article 4, du règlement (CE) n° 1467/97, en ce qui concerne le respect du critère du déficit, étant donné que le ratio de la dette publique au PIB dépasse la valeur de référence de 60 % et que la double condition à respecter (que le déficit reste proche de la valeur de référence et que son dépassement par rapport à celle-ci soit temporaire) n’est pas remplie, ces facteurs pertinents ne peuvent pas être pris en compte aux étapes menant à la décision sur l’existence d’un déficit excessif selon le critère du déficit pour le Royaume-Uni.</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Dans la situation actuelle, un facteur supplémentaire fondamental à prendre en considération pour l’année 2020 </w:t>
      </w:r>
      <w:r>
        <w:rPr>
          <w:rFonts w:ascii="Times New Roman" w:hAnsi="Times New Roman"/>
          <w:noProof/>
          <w:sz w:val="24"/>
          <w:szCs w:val="24"/>
        </w:rPr>
        <w:t xml:space="preserve">est l’impact économique de la pandémie de COVID-19, qui pèse très lourdement sur la situation budgétaire et rend les perspectives très incertaines. La pandémie a également mené à l’activation de la clause dérogatoire générale.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Pandémie de COVID-19</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non seulement de la pandémie, mais aussi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pays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Conjuguées à la chute de l’activité économique, ces mesures contribueront à une augmentation substantielle du déficit et de la dette publics.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Situation économique à moyen terme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Selon les prévisions de la Commission du printemps 2020, le PIB réel du Royaume-Uni devrait fortement se contracter au premier semestre 2020. Les mesures de confinement prises fin mars pour contenir la propagation de la COVID-19 ont entraîné une contraction brutale de l’activité économique dans de nombreux secteurs. L'assouplissement de ces mesures devrait permettre un début de reprise de l’économie. Dans l’ensemble, le PIB réel du Royaume-Uni devrait se réduire de 8,3 % en 2020. Cela constitue une circonstance atténuante à prendre en considération dans l’évaluation du respect par le Royaume-Uni du critère de la dette en 2020.</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Les perspectives macroéconomiques sont marquées par un degré exceptionnel d’incertitude. Si les hypothèses concernant la durée de la pandémie de COVID-19 et des mesures de confinement devaient évoluer, les perspectives s’en trouveraient sensiblement modifiées.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Le 13 juillet 2018, le Royaume-Uni a reçu la recommandation de veiller à ce que le taux de croissance nominale des dépenses publiques primaires, déduction faite des mesures discrétionnaires en matière de recettes et des mesures ponctuelles, (ci-après dénommé «critère des dépenses»), ne dépasse pas 1,6 % en 2019-20, ce qui correspond à un ajustement structurel de 0,6 % du PIB</w:t>
      </w:r>
      <w:r>
        <w:rPr>
          <w:rStyle w:val="FootnoteReference"/>
          <w:rFonts w:eastAsiaTheme="minorHAnsi"/>
          <w:noProof/>
        </w:rPr>
        <w:footnoteReference w:id="3"/>
      </w:r>
      <w:r>
        <w:rPr>
          <w:noProof/>
        </w:rPr>
        <w:t>.</w:t>
      </w:r>
      <w:r>
        <w:rPr>
          <w:rFonts w:ascii="Times New Roman" w:hAnsi="Times New Roman"/>
          <w:noProof/>
          <w:sz w:val="24"/>
          <w:szCs w:val="24"/>
        </w:rPr>
        <w:t xml:space="preserve"> </w:t>
      </w:r>
      <w:r>
        <w:rPr>
          <w:rFonts w:ascii="Times New Roman" w:hAnsi="Times New Roman"/>
          <w:noProof/>
          <w:sz w:val="24"/>
        </w:rPr>
        <w:t>L’évaluation globale indique un risque d’écart important par rapport à la trajectoire recommandée d’ajustement en direction de l’objectif à moyen terme en 2019-2020, ainsi que sur les exercices 2018-2019 et 2019-2020 pris en bloc. Une évaluation finale ne sera toutefois possible qu’à l’automne 2020, lorsque les chiffres définitifs pour 2019-2020 seront disponibles.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À moyen terme, d’après les prévisions de la Commission du printemps 2020, le déficit public devrait nettement se creuser. Cela est dû à l’effet conjugué de la récession économique attendue et de plusieurs mesures budgétaires annoncées par le gouvernement britannique pour parer aux conséquences de la COVID-19, telles que des mesures de soutien aux salariés et aux travailleurs indépendants, des aides aux entreprises et une augmentation des dépenses de protection sociale. Le déficit public devrait atteindre 10,7 % en 2020-2021, avant de retomber à 6,2 % en 2021-2022. La dette publique devrait passer de 85,2 % du PIB en 2019-2020 à 102,5 % en 2020-2021, avant de se réduire légèrement pour s’établir à 100,2 % en 2021-2022. </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Ces prévisions sont sujettes à un degré d’incertitude élevé. Par exemple, le coût des mesures budgétaires dépend de leur degré d’utilisation et de la durée des mesures de confinement. Une modification des perspectives macroéconomiques aurait aussi d’importantes répercussions sur les perspectives budgétaires. </w:t>
      </w: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 xml:space="preserve">Situation de la dette publique à moyen terme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85,2 % du PIB en 2019-2020 à 102,5 % en 2020-2021.</w:t>
      </w:r>
    </w:p>
    <w:p>
      <w:pPr>
        <w:spacing w:before="120" w:after="120" w:line="240" w:lineRule="auto"/>
        <w:jc w:val="both"/>
        <w:rPr>
          <w:rFonts w:ascii="Times New Roman" w:eastAsia="Times New Roman" w:hAnsi="Times New Roman" w:cs="Times New Roman"/>
          <w:noProof/>
          <w:sz w:val="24"/>
        </w:rPr>
      </w:pPr>
      <w:r>
        <w:rPr>
          <w:rFonts w:ascii="Times New Roman" w:hAnsi="Times New Roman"/>
          <w:iCs/>
          <w:noProof/>
          <w:sz w:val="24"/>
        </w:rPr>
        <w:t xml:space="preserve">L'analyse de la soutenabilité de la dette a été actualisée par lesdites prévisions de la Commission. </w:t>
      </w:r>
      <w:r>
        <w:rPr>
          <w:rFonts w:ascii="Times New Roman" w:hAnsi="Times New Roman"/>
          <w:noProof/>
          <w:sz w:val="24"/>
          <w:szCs w:val="24"/>
        </w:rPr>
        <w:t>Globalement, l’évaluation de la soutenabilité de la dette</w:t>
      </w:r>
      <w:r>
        <w:rPr>
          <w:rFonts w:ascii="Times New Roman" w:hAnsi="Times New Roman"/>
          <w:noProof/>
          <w:sz w:val="24"/>
        </w:rPr>
        <w:t xml:space="preserve"> indique que malgré les risques, la dette du Royaume-Uni reste soutenable à moyen terme, compte tenu d’importantes circonstances atténuantes (dont le profil de la dette). En effet, s'il est vrai que la situation d'endettement public se détériore par suite de la crise liée à la pandémie de COVID-19, le ratio de la dette publique au PIB devrait, dans le scénario de référence, suivre une trajectoire (légèrement baissière) soutenable à moyen terme.</w:t>
      </w:r>
      <w:r>
        <w:rPr>
          <w:rStyle w:val="FootnoteReference"/>
          <w:rFonts w:eastAsiaTheme="minorHAnsi"/>
          <w:noProof/>
        </w:rPr>
        <w:t xml:space="preserve"> </w:t>
      </w:r>
      <w:r>
        <w:rPr>
          <w:rStyle w:val="FootnoteReference"/>
          <w:rFonts w:eastAsiaTheme="minorHAnsi"/>
          <w:noProof/>
        </w:rPr>
        <w:footnoteReference w:id="4"/>
      </w:r>
    </w:p>
    <w:p>
      <w:pPr>
        <w:spacing w:before="120" w:after="12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Graphique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Ratio dette publique/PIB, Royaume-Uni (en % du PIB)</w:t>
      </w:r>
    </w:p>
    <w:p>
      <w:pPr>
        <w:spacing w:before="120" w:after="120" w:line="240" w:lineRule="auto"/>
        <w:jc w:val="center"/>
        <w:rPr>
          <w:rFonts w:ascii="Times New Roman" w:eastAsia="Times New Roman" w:hAnsi="Times New Roman" w:cs="Times New Roman"/>
          <w:noProof/>
          <w:sz w:val="24"/>
          <w:lang w:eastAsia="en-GB"/>
        </w:rPr>
      </w:pPr>
    </w:p>
    <w:p>
      <w:pPr>
        <w:spacing w:before="120" w:after="120" w:line="240" w:lineRule="auto"/>
        <w:jc w:val="center"/>
        <w:rPr>
          <w:rFonts w:ascii="Times New Roman" w:eastAsia="Times New Roman" w:hAnsi="Times New Roman" w:cs="Times New Roman"/>
          <w:noProof/>
          <w:sz w:val="24"/>
        </w:rPr>
      </w:pPr>
      <w:r>
        <w:rPr>
          <w:rFonts w:ascii="Times New Roman" w:eastAsia="Times New Roman" w:hAnsi="Times New Roman" w:cs="Times New Roman"/>
          <w:noProof/>
          <w:sz w:val="24"/>
          <w:lang w:val="en-GB" w:eastAsia="en-GB"/>
        </w:rPr>
        <w:drawing>
          <wp:inline distT="0" distB="0" distL="0" distR="0">
            <wp:extent cx="5731510" cy="2690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690702"/>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rPr>
      </w:pPr>
      <w:r>
        <w:rPr>
          <w:rFonts w:ascii="Times New Roman" w:hAnsi="Times New Roman"/>
          <w:b/>
          <w:noProof/>
          <w:sz w:val="24"/>
        </w:rPr>
        <w:t>Source:</w:t>
      </w:r>
      <w:r>
        <w:rPr>
          <w:rFonts w:ascii="Times New Roman" w:hAnsi="Times New Roman"/>
          <w:noProof/>
          <w:sz w:val="24"/>
        </w:rPr>
        <w:t xml:space="preserve"> services de la Commission.</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 xml:space="preserve">Autres facteurs mis en avant par le Royaume-Uni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Dans une lettre du 12 mai 2020, les autorités du Royaume-Uni ont dressé une liste de facteurs pertinents conformément à l’article 2, paragraphe 3, du règlement (CE) nº 1467/97. L’analyse présentée dans les sections précédentes couvre déjà largement les principaux facteurs mis en avant par les autorités. </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Selon les prévisions de la Commission du printemps 2020, le déficit public du Royaume-Uni pour 2020-2021 devrait atteindre 10,7 % du PIB, ce qui est supérieur à la valeur de référence de 3 % du PIB prévue par le traité, et n’en est pas proche. Ce dépassement attendu de la valeur de référence est considéré comme exceptionnel, mais pas comme temporaire.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Tous les éléments disponibles, y compris les déclarations des autorités nationales sur l’ampleur de la réaction de la politique budgétaire à la grave récession économique associée à la pandémie de COVID-19, laissent présager pour 2020-2021 et 2021-2022 un déficit nettement supérieur au seuil de 3 % du PIB. Dans sa lettre du 7 mai 2020, la Commission a demandé au Royaume-Uni de lui fournir des informations actualisées sur l'ampleur estimée du déficit en 2020-2021. </w:t>
      </w:r>
      <w:r>
        <w:rPr>
          <w:rFonts w:ascii="Times New Roman" w:hAnsi="Times New Roman"/>
          <w:noProof/>
          <w:sz w:val="24"/>
          <w:szCs w:val="24"/>
        </w:rPr>
        <w:t>Le Royaume-Uni n’a cependant pas fourni la clarification demandée, mais renvoyé au scénario COVID-19 de l’Office pour la responsabilité budgétaire (</w:t>
      </w:r>
      <w:r>
        <w:rPr>
          <w:rFonts w:ascii="Times New Roman" w:hAnsi="Times New Roman"/>
          <w:i/>
          <w:iCs/>
          <w:noProof/>
          <w:sz w:val="24"/>
          <w:szCs w:val="24"/>
        </w:rPr>
        <w:t>Office for Budget Responsibility</w:t>
      </w:r>
      <w:r>
        <w:rPr>
          <w:rFonts w:ascii="Times New Roman" w:hAnsi="Times New Roman"/>
          <w:noProof/>
          <w:sz w:val="24"/>
          <w:szCs w:val="24"/>
        </w:rPr>
        <w:t>), qui prévoit pour 2020-2021 un déficit nettement supérieur à 3 %.</w:t>
      </w:r>
      <w:r>
        <w:rPr>
          <w:rFonts w:ascii="Times New Roman" w:hAnsi="Times New Roman"/>
          <w:bCs/>
          <w:noProof/>
          <w:sz w:val="24"/>
        </w:rPr>
        <w:t xml:space="preserve"> Compte tenu de ces facteurs, la Commission considère sa prévision actuelle, à savoir un déficit de 10,7 % du PIB en 2020-2021, comme un élément à première vue suffisamment probant pour conclure à un déficit excessif au sens de l’article 126, paragraphe 2, point a), du traité.</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rPr>
        <w:t>La dette publique brute devrait avoir atteint</w:t>
      </w:r>
      <w:r>
        <w:rPr>
          <w:rFonts w:ascii="Times New Roman" w:hAnsi="Times New Roman"/>
          <w:bCs/>
          <w:noProof/>
          <w:sz w:val="24"/>
          <w:szCs w:val="24"/>
        </w:rPr>
        <w:t xml:space="preserve"> 85,2 % du PIB à la fin de l’exercice 2019-2020, et dépasser ainsi la valeur de référence de 60 % du PIB prévue par le traité. </w:t>
      </w:r>
      <w:r>
        <w:rPr>
          <w:rFonts w:ascii="Times New Roman" w:hAnsi="Times New Roman"/>
          <w:bCs/>
          <w:noProof/>
          <w:sz w:val="24"/>
        </w:rPr>
        <w:t xml:space="preserve">L’on ne s'attend pas à ce que </w:t>
      </w:r>
      <w:r>
        <w:rPr>
          <w:rFonts w:ascii="Times New Roman" w:hAnsi="Times New Roman"/>
          <w:bCs/>
          <w:noProof/>
          <w:sz w:val="24"/>
          <w:szCs w:val="24"/>
        </w:rPr>
        <w:t>le Royaume-Uni</w:t>
      </w:r>
      <w:r>
        <w:rPr>
          <w:rFonts w:ascii="Times New Roman" w:hAnsi="Times New Roman"/>
          <w:bCs/>
          <w:noProof/>
          <w:sz w:val="24"/>
        </w:rPr>
        <w:t xml:space="preserve"> ait accompli des progrès suffisants vers le respect de la référence d'ajustement du ratio de la dette sur l’exercice 2019-2020. </w:t>
      </w:r>
      <w:r>
        <w:rPr>
          <w:rFonts w:ascii="Times New Roman" w:hAnsi="Times New Roman"/>
          <w:bCs/>
          <w:noProof/>
          <w:sz w:val="24"/>
          <w:szCs w:val="24"/>
        </w:rPr>
        <w:t>Les chiffres définitifs ne seront toutefois disponibles qu’à l’automne 2020.</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w:t>
      </w:r>
      <w:r>
        <w:rPr>
          <w:rFonts w:ascii="Times New Roman" w:hAnsi="Times New Roman"/>
          <w:noProof/>
          <w:sz w:val="24"/>
        </w:rPr>
        <w:t xml:space="preserve">En ce qui concerne le respect du critère du déficit en 2020-2021, cependant, puisque le ratio de la dette publique au PIB dépasse la valeur de référence de 60 % et que la double condition à remplir (à savoir, que le déficit reste proche de la valeur de référence et que le dépassement de cette valeur soit temporaire) n’est pas respectée, ces facteurs pertinents ne peuvent pas être pris en compte au cours des étapes conduisant à la décision sur l’existence d’un déficit excessif au Royaume-Uni sur la base du critère du déficit. </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Dans l’ensemble, l’analyse effectuée suggère que le critère du déficit, tel qu’il est défini dans le traité et dans le règlement (CE) nº 1467/1997, n’est pas rempli.</w:t>
      </w:r>
    </w:p>
    <w:p>
      <w:pPr>
        <w:spacing w:before="120" w:after="120" w:line="240" w:lineRule="auto"/>
        <w:jc w:val="both"/>
        <w:rPr>
          <w:rFonts w:ascii="Times New Roman" w:eastAsia="Times New Roman" w:hAnsi="Times New Roman" w:cs="Calibri"/>
          <w:bCs/>
          <w:noProof/>
          <w:sz w:val="24"/>
          <w:lang w:eastAsia="en-GB"/>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jc w:val="both"/>
        <w:rPr>
          <w:i/>
          <w:color w:val="1F497D"/>
        </w:rPr>
      </w:pPr>
      <w:r>
        <w:rPr>
          <w:rStyle w:val="FootnoteReference"/>
          <w:rFonts w:eastAsiaTheme="minorHAnsi"/>
        </w:rPr>
        <w:footnoteRef/>
      </w:r>
      <w:r>
        <w:t xml:space="preserve"> </w:t>
      </w:r>
      <w:r>
        <w:rPr>
          <w:rFonts w:ascii="Times New Roman" w:hAnsi="Times New Roman"/>
          <w:sz w:val="20"/>
          <w:szCs w:val="20"/>
        </w:rPr>
        <w:t>Le Royaume-Uni s’est retiré de l’Union européenne le 1er février 2020. L’accord sur le retrait du Royaume-Uni de Grande-Bretagne et d’Irlande du Nord de l’Union européenne et de la Communauté européenne de l’énergie atomique (JO L 29 du 31.1.2020, p. 7) est entré en vigueur le 1</w:t>
      </w:r>
      <w:r>
        <w:rPr>
          <w:rFonts w:ascii="Times New Roman" w:hAnsi="Times New Roman"/>
          <w:sz w:val="20"/>
          <w:szCs w:val="20"/>
          <w:vertAlign w:val="superscript"/>
        </w:rPr>
        <w:t>er</w:t>
      </w:r>
      <w:r>
        <w:rPr>
          <w:rFonts w:ascii="Times New Roman" w:hAnsi="Times New Roman"/>
          <w:sz w:val="20"/>
          <w:szCs w:val="20"/>
        </w:rPr>
        <w:t xml:space="preserve"> février 2020, date à laquelle le Royaume-Uni s’est retiré de l’UE. Il prévoit une période de transition pendant laquelle le droit de l’Union, à quelques exceptions près, est applicable au Royaume-Uni et sur son territoire. Conformément au droit de l’Union qui lui est applicable durant la période de transition, le Royaume-Uni est traité comme un État membre de l’UE, mais ne participe pas à la prise de décision et à l’élaboration des décisions de l’UE.</w:t>
      </w:r>
    </w:p>
  </w:footnote>
  <w:footnote w:id="3">
    <w:p>
      <w:pPr>
        <w:spacing w:before="120" w:after="120" w:line="240" w:lineRule="auto"/>
        <w:jc w:val="both"/>
      </w:pPr>
      <w:r>
        <w:rPr>
          <w:rStyle w:val="FootnoteReference"/>
          <w:rFonts w:eastAsiaTheme="minorHAnsi"/>
        </w:rPr>
        <w:footnoteRef/>
      </w:r>
      <w:r>
        <w:rPr>
          <w:rStyle w:val="FootnoteReference"/>
          <w:rFonts w:eastAsiaTheme="minorHAnsi"/>
        </w:rPr>
        <w:t xml:space="preserve"> </w:t>
      </w:r>
      <w:r>
        <w:rPr>
          <w:rFonts w:ascii="Times New Roman" w:hAnsi="Times New Roman"/>
          <w:sz w:val="20"/>
          <w:szCs w:val="20"/>
        </w:rPr>
        <w:t xml:space="preserve">Recommandation du Conseil du 13 juillet 2018 concernant le programme national de réforme du Royaume-Uni pour 2018 et portant avis du Conseil sur le programme de convergence du Royaume-Uni pour 2018 JO C 320 du 10.9.2018, p. 119. </w:t>
      </w:r>
    </w:p>
  </w:footnote>
  <w:footnote w:id="4">
    <w:p>
      <w:pPr>
        <w:spacing w:before="120" w:after="120" w:line="240" w:lineRule="auto"/>
        <w:jc w:val="both"/>
        <w:rPr>
          <w:rFonts w:ascii="Times New Roman" w:eastAsia="Times New Roman" w:hAnsi="Times New Roman" w:cs="Calibri"/>
          <w:bCs/>
          <w:noProof/>
          <w:sz w:val="24"/>
          <w:highlight w:val="yellow"/>
        </w:rPr>
      </w:pPr>
      <w:r>
        <w:rPr>
          <w:rStyle w:val="FootnoteReference"/>
          <w:rFonts w:eastAsiaTheme="minorHAnsi"/>
        </w:rPr>
        <w:footnoteRef/>
      </w:r>
      <w:r>
        <w:t xml:space="preserve"> </w:t>
      </w:r>
      <w:r>
        <w:rPr>
          <w:rFonts w:ascii="Times New Roman" w:hAnsi="Times New Roman"/>
          <w:sz w:val="20"/>
          <w:szCs w:val="20"/>
        </w:rPr>
        <w:t>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pris en considération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1DBC3D8-9628-4637-8B3A-4BF6B0288B1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oyaume-Uni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55517057">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7840763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28165816">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0511292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51391187">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734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B20C9-0ED1-4074-B6F4-EFC8C7E9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2489</Words>
  <Characters>13220</Characters>
  <Application>Microsoft Office Word</Application>
  <DocSecurity>0</DocSecurity>
  <Lines>231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2019-05-13T14:09:00Z</cp:lastPrinted>
  <dcterms:created xsi:type="dcterms:W3CDTF">2020-05-18T15:07:00Z</dcterms:created>
  <dcterms:modified xsi:type="dcterms:W3CDTF">2020-05-19T16:24:00Z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