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D2B3AC-DDFA-420F-8CE5-8CE1FBC18F9F"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United Kingdom</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countries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According to the Commission 2020 spring forecast, the general government deficit in the United Kingdom</w:t>
      </w:r>
      <w:r>
        <w:rPr>
          <w:rStyle w:val="FootnoteReference"/>
          <w:rFonts w:eastAsiaTheme="minorHAnsi"/>
          <w:noProof/>
        </w:rPr>
        <w:footnoteReference w:id="2"/>
      </w:r>
      <w:r>
        <w:rPr>
          <w:rFonts w:ascii="Times New Roman" w:eastAsia="Times New Roman" w:hAnsi="Times New Roman" w:cs="Calibri"/>
          <w:noProof/>
          <w:sz w:val="24"/>
          <w:szCs w:val="24"/>
          <w:lang w:eastAsia="en-GB"/>
        </w:rPr>
        <w:t xml:space="preserve"> is expected to have been 2.5% of GDP in the financial year 2019-20, while general government debt is expected to have been 85.2%. However, final outturn data on the 2019-20 general government deficit and debt will only be available in autumn 2020. According to the Commission forecast, the United Kingdom’s deficit is expected to be 10.7% of GDP in 2020-21, while debt is expected to be 102.5% of GDP.</w:t>
      </w:r>
      <w:r>
        <w:rPr>
          <w:rFonts w:ascii="Times New Roman" w:eastAsia="Times New Roman" w:hAnsi="Times New Roman" w:cs="Times New Roman"/>
          <w:noProof/>
          <w:sz w:val="24"/>
          <w:szCs w:val="24"/>
          <w:lang w:eastAsia="en-GB"/>
        </w:rPr>
        <w:t xml:space="preserve"> All available evidence, including statements by the national authorities about the extent of the reaction of budgetary policy to the severe economic downturn associated with the COVID-19 pandemic, points to a deficit significantly in excess of the 3% of GDP threshold in 2020-21 and in 2021-22. In its letter of 7 May 2020, the Commission asked the UK to provide updated information on the estimated size of the deficit in 2020-21. The UK however did not provide the requested clarification, but referenced the COVID-19 scenario from the Office for Budget Responsibility, which expects a deficit significantly above 3% in 2020-21. Taking those factors into account, the Commission considers its current forecast of a deficit of 10.7% of GDP in 2020-21 as sufficiently compelling prima facie evidence of an excessive deficit as defined by Article 126(2)(a) of the Treaty.</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the United Kingdom’s compliance with the deficit and debt criteria of the Treaty. It takes into account all relevant factors and gives due consideration to the major economic shock linked to 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r>
        <w:rPr>
          <w:rFonts w:ascii="Times New Roman" w:eastAsia="Times New Roman" w:hAnsi="Times New Roman" w:cs="Calibri"/>
          <w:noProof/>
          <w:sz w:val="24"/>
          <w:lang w:eastAsia="en-GB"/>
        </w:rPr>
        <w:t xml:space="preserve"> </w:t>
      </w:r>
    </w:p>
    <w:tbl>
      <w:tblPr>
        <w:tblStyle w:val="TableGrid"/>
        <w:tblW w:w="0" w:type="auto"/>
        <w:tblLook w:val="04A0" w:firstRow="1" w:lastRow="0" w:firstColumn="1" w:lastColumn="0" w:noHBand="0" w:noVBand="1"/>
      </w:tblPr>
      <w:tblGrid>
        <w:gridCol w:w="1155"/>
        <w:gridCol w:w="1173"/>
        <w:gridCol w:w="1152"/>
        <w:gridCol w:w="1152"/>
        <w:gridCol w:w="1152"/>
        <w:gridCol w:w="1152"/>
        <w:gridCol w:w="1153"/>
        <w:gridCol w:w="1153"/>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2018-19</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2021-22</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-2.5</w:t>
            </w:r>
          </w:p>
        </w:tc>
        <w:tc>
          <w:tcPr>
            <w:tcW w:w="1153" w:type="dxa"/>
          </w:tcPr>
          <w:p>
            <w:pPr>
              <w:keepNext/>
              <w:jc w:val="center"/>
              <w:rPr>
                <w:rFonts w:ascii="Times New Roman" w:eastAsia="Times New Roman" w:hAnsi="Times New Roman" w:cs="Calibri"/>
                <w:noProof/>
                <w:sz w:val="20"/>
                <w:szCs w:val="20"/>
                <w:highlight w:val="lightGray"/>
                <w:lang w:eastAsia="en-GB"/>
              </w:rPr>
            </w:pPr>
            <w:r>
              <w:rPr>
                <w:rFonts w:ascii="Times New Roman" w:eastAsia="Times New Roman" w:hAnsi="Times New Roman" w:cs="Calibri"/>
                <w:noProof/>
                <w:sz w:val="20"/>
                <w:szCs w:val="20"/>
                <w:highlight w:val="lightGray"/>
                <w:lang w:eastAsia="en-GB"/>
              </w:rPr>
              <w:t>-10.7</w:t>
            </w:r>
          </w:p>
        </w:tc>
        <w:tc>
          <w:tcPr>
            <w:tcW w:w="1153" w:type="dxa"/>
          </w:tcPr>
          <w:p>
            <w:pPr>
              <w:keepNext/>
              <w:jc w:val="center"/>
              <w:rPr>
                <w:rFonts w:ascii="Times New Roman" w:eastAsia="Times New Roman" w:hAnsi="Times New Roman" w:cs="Calibri"/>
                <w:noProof/>
                <w:sz w:val="20"/>
                <w:szCs w:val="20"/>
                <w:highlight w:val="lightGray"/>
                <w:lang w:eastAsia="en-GB"/>
              </w:rPr>
            </w:pPr>
            <w:r>
              <w:rPr>
                <w:rFonts w:ascii="Times New Roman" w:eastAsia="Times New Roman" w:hAnsi="Times New Roman" w:cs="Calibri"/>
                <w:noProof/>
                <w:sz w:val="20"/>
                <w:szCs w:val="20"/>
                <w:highlight w:val="lightGray"/>
                <w:lang w:eastAsia="en-GB"/>
              </w:rPr>
              <w:t>-6.2</w:t>
            </w:r>
          </w:p>
        </w:tc>
      </w:tr>
      <w:tr>
        <w:tc>
          <w:tcPr>
            <w:tcW w:w="115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3"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85.2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84.6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84.2</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85.2</w:t>
            </w:r>
          </w:p>
        </w:tc>
        <w:tc>
          <w:tcPr>
            <w:tcW w:w="1153" w:type="dxa"/>
          </w:tcPr>
          <w:p>
            <w:pPr>
              <w:keepNext/>
              <w:jc w:val="center"/>
              <w:rPr>
                <w:rFonts w:ascii="Times New Roman" w:eastAsia="Times New Roman" w:hAnsi="Times New Roman" w:cs="Calibri"/>
                <w:noProof/>
                <w:sz w:val="20"/>
                <w:szCs w:val="20"/>
                <w:highlight w:val="lightGray"/>
                <w:lang w:eastAsia="en-GB"/>
              </w:rPr>
            </w:pPr>
            <w:r>
              <w:rPr>
                <w:rFonts w:ascii="Times New Roman" w:eastAsia="Times New Roman" w:hAnsi="Times New Roman" w:cs="Calibri"/>
                <w:noProof/>
                <w:sz w:val="20"/>
                <w:szCs w:val="20"/>
                <w:highlight w:val="lightGray"/>
                <w:lang w:eastAsia="en-GB"/>
              </w:rPr>
              <w:t>102.5</w:t>
            </w:r>
          </w:p>
        </w:tc>
        <w:tc>
          <w:tcPr>
            <w:tcW w:w="1153" w:type="dxa"/>
          </w:tcPr>
          <w:p>
            <w:pPr>
              <w:keepNext/>
              <w:jc w:val="center"/>
              <w:rPr>
                <w:rFonts w:ascii="Times New Roman" w:eastAsia="Times New Roman" w:hAnsi="Times New Roman" w:cs="Calibri"/>
                <w:noProof/>
                <w:sz w:val="20"/>
                <w:szCs w:val="20"/>
                <w:highlight w:val="lightGray"/>
                <w:lang w:eastAsia="en-GB"/>
              </w:rPr>
            </w:pPr>
            <w:r>
              <w:rPr>
                <w:rFonts w:ascii="Times New Roman" w:eastAsia="Times New Roman" w:hAnsi="Times New Roman" w:cs="Calibri"/>
                <w:noProof/>
                <w:sz w:val="20"/>
                <w:szCs w:val="20"/>
                <w:highlight w:val="lightGray"/>
                <w:lang w:eastAsia="en-GB"/>
              </w:rPr>
              <w:t>100.2</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Note: 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Commission 2020 spring forecast the United Kingdom’s general government deficit in 2020-21 is expected to reach 10.7% of GDP, above and not close to the Treaty reference value of 3% of GDP. The forecast excess over the Treaty reference value in 2020-21 is exceptional, as it results from a severe economic downturn. Taking into account the impact of the COVID-19 pandemic, the Commission 2020 spring forecast projects a contraction of real GDP in 2020 by 8.3%.</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forecast excess over the Treaty reference value is not temporary, based on the Commission 2020 spring forecast, which projects the deficit to remain above 3% of GDP in 2021-22.</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forecast deficit for 2020-21 is above and not close to the 3% of GDP Treaty reference value. The forecast excess is considered to be exceptional and not temporary as defined by the Treaty and the Stability and Growth Pact. </w:t>
      </w:r>
      <w:r>
        <w:rPr>
          <w:rFonts w:ascii="Times New Roman" w:eastAsia="Times New Roman" w:hAnsi="Times New Roman" w:cs="Times New Roman"/>
          <w:noProof/>
          <w:sz w:val="24"/>
          <w:szCs w:val="24"/>
          <w:lang w:eastAsia="en-GB"/>
        </w:rPr>
        <w:t xml:space="preserve">All available evidence, including statements by the national authorities about the extent of the reaction of budgetary policy to the severe economic downturn associated with the COVID-19 pandemic, points to a deficit significantly in excess of the 3% of GDP threshold in 2020-21 and in 2021-22. In its letter of 7 May 2020, the Commission asked the UK to provide updated information on the estimated size of the deficit in 2020-21. The United Kingdom however did not provide the requested clarification, but referenced the COVID-19 scenario from the Office for Budget Responsibility, which expects a deficit significantly above 3% in 2020-21. Taking those factors into account, the Commission considers its current forecast of a deficit of 10.7% of GDP in 2020-21 as sufficiently compelling prima facie evidence of an excessive deficit as defined by Article 126(2)(a) of the Treaty. </w:t>
      </w:r>
      <w:r>
        <w:rPr>
          <w:rFonts w:ascii="Times New Roman" w:eastAsia="Calibri" w:hAnsi="Times New Roman" w:cs="Times New Roman"/>
          <w:noProof/>
          <w:sz w:val="24"/>
          <w:szCs w:val="24"/>
          <w:lang w:eastAsia="en-GB"/>
        </w:rPr>
        <w:t xml:space="preserve">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Relevant factors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r>
        <w:rPr>
          <w:rFonts w:ascii="Times New Roman" w:eastAsia="Times New Roman" w:hAnsi="Times New Roman" w:cs="Times New Roman"/>
          <w:noProof/>
          <w:sz w:val="24"/>
          <w:lang w:eastAsia="en-GB"/>
        </w:rPr>
        <w:t>As specified in Article 4 of Regulation (EC) No 1467/97, as regards the deficit criterion,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the United Kingdom.</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current situation, a key additional factor to take into consideration regarding 2020 </w:t>
      </w:r>
      <w:r>
        <w:rPr>
          <w:rFonts w:ascii="Times New Roman" w:hAnsi="Times New Roman"/>
          <w:noProof/>
          <w:sz w:val="24"/>
          <w:szCs w:val="24"/>
          <w:lang w:eastAsia="en-GB"/>
        </w:rPr>
        <w:t xml:space="preserve"> is the economic impact of the COVID-19 pandemic, which has a very substantial impact on the budgetary situation and results in a highly uncertain outlook. The pandemic has also led to the activation of the general escape clause.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Countries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Acording to the Commission 2020 spring forecast, the United Kingdom’s real GDP is expected to fall steeply in the first half of 2020. The lockdown measures that were implemented in late March to contain the spread of COVID-19 have led to a sharp fall in economic activity across many sectors of the economy. As the containment measures are eased, the economy should start to recover. Overall, the United Kingdom’s real GDP is expected to fall by 8.3% in 2020. This is a mitigating factor in the assessment of the United Kingdom’s compliance with the deficit criterion in 2020.</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There is an exceptional high degree of uncertainty surrounding the macroeconomic outlook. Changes to the assumptions about the length of the COVID-19 pandemic and related lockdown measures would significantly change the forecast outlook.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szCs w:val="24"/>
          <w:lang w:eastAsia="en-GB"/>
        </w:rPr>
        <w:t>The United Kingdom was recommended on 13 July 2018 to ensure that the nominal growth rate of primary government expenditure, net of discretionary revenue measures and one-offs, did not exceed 1.6% in 2019-20 (‘the expenditure benchmark’), corresponding to a structural adjustment of 0.6% of GDP</w:t>
      </w:r>
      <w:r>
        <w:rPr>
          <w:rStyle w:val="FootnoteReference"/>
          <w:rFonts w:eastAsiaTheme="minorHAnsi"/>
          <w:noProof/>
        </w:rPr>
        <w:footnoteReference w:id="3"/>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lang w:eastAsia="en-GB"/>
        </w:rPr>
        <w:t>The overall assessment points to a risk of significant deviation from the recommended adjustment path towards the medium-term budgetary objective in 2019-20 and over 2018-19 and 2019-20 taken together. A final assessment can, however, only be made in autumn 2020 when outturn data for 2019-20 have become available.</w:t>
      </w:r>
    </w:p>
    <w:p>
      <w:pPr>
        <w:spacing w:before="120" w:after="120" w:line="240" w:lineRule="auto"/>
        <w:jc w:val="both"/>
        <w:rPr>
          <w:rFonts w:ascii="Times New Roman" w:eastAsia="Times New Roman" w:hAnsi="Times New Roman" w:cs="Times New Roman"/>
          <w:noProof/>
          <w:sz w:val="24"/>
          <w:lang w:eastAsia="en-GB"/>
        </w:rPr>
      </w:pPr>
      <w:r>
        <w:rPr>
          <w:rFonts w:ascii="Times New Roman" w:hAnsi="Times New Roman" w:cs="Times New Roman"/>
          <w:noProof/>
          <w:sz w:val="24"/>
          <w:lang w:eastAsia="en-GB"/>
        </w:rPr>
        <w:t xml:space="preserve">Over the medium-term, according to the Commission 2020 spring forecast, the general government deficit is expected to increase significantly. This is due to the expected economic downturn in combination with several fiscal measures announced by the UK government to deal with the consequences of COVID-19, such as support for employees and self-employed workers, support for businesses and an increase in welfare spending. The general government deficit is expected to increase to 10.7% in 2020-21, </w:t>
      </w:r>
      <w:r>
        <w:rPr>
          <w:rFonts w:ascii="Times New Roman" w:eastAsia="Times New Roman" w:hAnsi="Times New Roman" w:cs="Times New Roman"/>
          <w:noProof/>
          <w:sz w:val="24"/>
          <w:lang w:eastAsia="en-GB"/>
        </w:rPr>
        <w:t xml:space="preserve">before falling to 6.2% in 2021-22. The general government debt is expected to increase from 85.2% in 2019-20 to 102.5% of GDP in 2020-21, before falling slightly to 100.2% of GDP in 2021-22. </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lang w:eastAsia="en-GB"/>
        </w:rPr>
        <w:t xml:space="preserve">Those forecast numbers are subject to a high degree of uncertainty. For instance, the costs of the fiscal measures are dependent on levels of take-up and the duration of the lockdown measures. Changes to the macroeconomic outlook would also significantly affect the fiscal outlook. </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85.2% of GDP in 2019-20 to 102.5% by 2020-21.</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iCs/>
          <w:noProof/>
          <w:sz w:val="24"/>
          <w:lang w:eastAsia="en-GB"/>
        </w:rPr>
        <w:t xml:space="preserve">The debt sustainability analysis has been updated with the Commission 2020 spring forecast. </w:t>
      </w:r>
      <w:r>
        <w:rPr>
          <w:rFonts w:ascii="Times New Roman" w:hAnsi="Times New Roman" w:cs="Times New Roman"/>
          <w:noProof/>
          <w:sz w:val="24"/>
          <w:szCs w:val="24"/>
        </w:rPr>
        <w:t>Overall, the debt sustainability assessment</w:t>
      </w:r>
      <w:r>
        <w:rPr>
          <w:rFonts w:ascii="Times New Roman" w:eastAsia="Times New Roman" w:hAnsi="Times New Roman" w:cs="Times New Roman"/>
          <w:noProof/>
          <w:sz w:val="24"/>
          <w:lang w:eastAsia="en-GB"/>
        </w:rPr>
        <w:t xml:space="preserve"> indicates that notwithstanding risks, the debt position remains sustainable over the medium-term, which takes into account important mitigating factors (including the debt profile). In particular, while the government debt position deteriorates as a result of the COVID-19 crisis, the debt-to-GDP ratio in the baseline is expected to be on a sustainable (slightly declining) trajectory over the medium term.</w:t>
      </w:r>
      <w:r>
        <w:rPr>
          <w:rStyle w:val="FootnoteReference"/>
          <w:rFonts w:eastAsiaTheme="minorHAnsi"/>
          <w:noProof/>
        </w:rPr>
        <w:t xml:space="preserve"> </w:t>
      </w:r>
      <w:r>
        <w:rPr>
          <w:rStyle w:val="FootnoteReference"/>
          <w:rFonts w:eastAsiaTheme="minorHAnsi"/>
          <w:noProof/>
        </w:rPr>
        <w:footnoteReference w:id="4"/>
      </w:r>
    </w:p>
    <w:p>
      <w:pPr>
        <w:spacing w:before="120" w:after="12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Graph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Government debt-to-GDP ratio, United-Kingdom, % of GDP</w:t>
      </w:r>
    </w:p>
    <w:p>
      <w:pPr>
        <w:spacing w:before="120" w:after="120" w:line="240" w:lineRule="auto"/>
        <w:jc w:val="center"/>
        <w:rPr>
          <w:rFonts w:ascii="Times New Roman" w:eastAsia="Times New Roman" w:hAnsi="Times New Roman" w:cs="Times New Roman"/>
          <w:noProof/>
          <w:sz w:val="24"/>
          <w:lang w:eastAsia="en-GB"/>
        </w:rPr>
      </w:pPr>
    </w:p>
    <w:p>
      <w:pPr>
        <w:spacing w:before="120" w:after="120" w:line="240" w:lineRule="auto"/>
        <w:jc w:val="center"/>
        <w:rPr>
          <w:rFonts w:ascii="Times New Roman" w:eastAsia="Times New Roman" w:hAnsi="Times New Roman" w:cs="Times New Roman"/>
          <w:noProof/>
          <w:sz w:val="24"/>
          <w:lang w:eastAsia="en-GB"/>
        </w:rPr>
      </w:pPr>
      <w:r>
        <w:rPr>
          <w:noProof/>
          <w:lang w:eastAsia="en-GB"/>
        </w:rPr>
        <w:drawing>
          <wp:inline distT="0" distB="0" distL="0" distR="0">
            <wp:extent cx="4588427" cy="1971924"/>
            <wp:effectExtent l="0" t="0" r="317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b/>
          <w:noProof/>
          <w:sz w:val="24"/>
          <w:lang w:eastAsia="en-GB"/>
        </w:rPr>
        <w:t>Source:</w:t>
      </w:r>
      <w:r>
        <w:rPr>
          <w:rFonts w:ascii="Times New Roman" w:eastAsia="Times New Roman" w:hAnsi="Times New Roman" w:cs="Times New Roman"/>
          <w:noProof/>
          <w:sz w:val="24"/>
          <w:lang w:eastAsia="en-GB"/>
        </w:rPr>
        <w:t xml:space="preserve"> Commission services.</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3.5</w:t>
      </w:r>
      <w:r>
        <w:rPr>
          <w:rFonts w:ascii="Times New Roman" w:eastAsia="Times New Roman" w:hAnsi="Times New Roman" w:cs="Times New Roman"/>
          <w:b/>
          <w:noProof/>
          <w:sz w:val="24"/>
          <w:lang w:eastAsia="en-GB"/>
        </w:rPr>
        <w:tab/>
        <w:t xml:space="preserve">Other factors put forward by the United Kingdom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12 May 2020, the United Kingdom authorities transmitted a letter with relevant factors in accordance with Article 2(3) of Regulation (EC) No 1467/97. The analysis presented in the previous sections already broadly covers the key factors put forward by the authorities.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Commission 2020 spring forecast the United Kingdom’s general government deficit in 2020-21 is forecast to increase to 10.7% of GDP, above and not close the 3% of GDP Treaty reference value. The forecast excess over the reference value is considered to be exceptional but not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All available evidence, including statements by the national authorities about the extent of the reaction of budgetary policy to the severe economic downturn associated with the COVID-19 pandemic, points to a deficit significantly in excess of the 3% of GDP threshold in 2020-21 and in 2021-22. In its letter of 7 May 2020, the Commission asked the UK to provide updated information on the estimated size of the deficit in 2020-21. The UK however did not provide the requested clarification,</w:t>
      </w:r>
      <w:r>
        <w:rPr>
          <w:rFonts w:ascii="Times New Roman" w:eastAsia="Times New Roman" w:hAnsi="Times New Roman" w:cs="Times New Roman"/>
          <w:noProof/>
          <w:sz w:val="24"/>
          <w:szCs w:val="24"/>
          <w:lang w:eastAsia="en-GB"/>
        </w:rPr>
        <w:t xml:space="preserve"> but referenced the COVID-19 scenario from the Office for Budget Responsibility, which expects a deficit significantly above 3% in 2020-21</w:t>
      </w:r>
      <w:r>
        <w:rPr>
          <w:rFonts w:ascii="Times New Roman" w:eastAsia="Times New Roman" w:hAnsi="Times New Roman" w:cs="Calibri"/>
          <w:bCs/>
          <w:noProof/>
          <w:sz w:val="24"/>
          <w:lang w:eastAsia="en-GB"/>
        </w:rPr>
        <w:t>. Taking those factors into account, the Commission considers its current forecast of a deficit of 10.7% of GDP in 2020-21 as sufficiently compelling prima facie evidence of an excessive deficit as defined by Article 126(2)(a) of the Treaty.</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Calibri"/>
          <w:bCs/>
          <w:noProof/>
          <w:sz w:val="24"/>
          <w:lang w:eastAsia="en-GB"/>
        </w:rPr>
        <w:t>The general government gross debt is expected to have been</w:t>
      </w:r>
      <w:r>
        <w:rPr>
          <w:rFonts w:ascii="Times New Roman" w:eastAsia="Times New Roman" w:hAnsi="Times New Roman" w:cs="Times New Roman"/>
          <w:bCs/>
          <w:noProof/>
          <w:sz w:val="24"/>
          <w:szCs w:val="24"/>
          <w:lang w:eastAsia="en-GB"/>
        </w:rPr>
        <w:t xml:space="preserve"> 85.2% of GDP at the end of the financial year 2019-20, above the 60% of GDP Treaty reference value. The United Kingdom </w:t>
      </w:r>
      <w:r>
        <w:rPr>
          <w:rFonts w:ascii="Times New Roman" w:eastAsia="Times New Roman" w:hAnsi="Times New Roman" w:cs="Calibri"/>
          <w:bCs/>
          <w:noProof/>
          <w:sz w:val="24"/>
          <w:lang w:eastAsia="en-GB"/>
        </w:rPr>
        <w:t xml:space="preserve">is not expected to have made sufficient progress towards meeting the debt reduction benchmark in 2019-20. </w:t>
      </w:r>
      <w:r>
        <w:rPr>
          <w:rFonts w:ascii="Times New Roman" w:eastAsia="Times New Roman" w:hAnsi="Times New Roman" w:cs="Times New Roman"/>
          <w:bCs/>
          <w:noProof/>
          <w:sz w:val="24"/>
          <w:szCs w:val="24"/>
          <w:lang w:eastAsia="en-GB"/>
        </w:rPr>
        <w:t>Final outturn data will, however, only be available in autumn 2020.</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r>
        <w:rPr>
          <w:rFonts w:ascii="Times New Roman" w:eastAsia="Times New Roman" w:hAnsi="Times New Roman" w:cs="Times New Roman"/>
          <w:noProof/>
          <w:sz w:val="24"/>
          <w:lang w:eastAsia="en-GB"/>
        </w:rPr>
        <w:t xml:space="preserve">As regards compliance with the deficit criterion in 2020-21, however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the United Kingdom.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Times New Roman"/>
          <w:noProof/>
          <w:sz w:val="24"/>
          <w:lang w:eastAsia="en-GB"/>
        </w:rPr>
        <w:t>Overall, the analysis suggests that the deficit criterion as defined in the Treaty and in Regulation (EC) No 1467/1997 is not fulfilled.</w:t>
      </w:r>
    </w:p>
    <w:p>
      <w:pPr>
        <w:spacing w:before="120" w:after="120" w:line="240" w:lineRule="auto"/>
        <w:jc w:val="both"/>
        <w:rPr>
          <w:rFonts w:ascii="Times New Roman" w:eastAsia="Times New Roman" w:hAnsi="Times New Roman" w:cs="Calibri"/>
          <w:bCs/>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jc w:val="both"/>
        <w:rPr>
          <w:i/>
          <w:color w:val="1F497D"/>
        </w:rPr>
      </w:pPr>
      <w:r>
        <w:rPr>
          <w:rStyle w:val="FootnoteReference"/>
          <w:rFonts w:eastAsiaTheme="minorHAnsi"/>
        </w:rPr>
        <w:footnoteRef/>
      </w:r>
      <w:r>
        <w:t xml:space="preserve"> </w:t>
      </w:r>
      <w:r>
        <w:rPr>
          <w:rFonts w:ascii="Times New Roman" w:eastAsia="Times New Roman" w:hAnsi="Times New Roman" w:cs="Times New Roman"/>
          <w:sz w:val="20"/>
          <w:szCs w:val="20"/>
          <w:lang w:eastAsia="en-GB"/>
        </w:rPr>
        <w:t>The United Kingdom withdrew from the European Union as of 1 February 2020. The Agreement on the withdrawal of the United Kingdom of Great Britain and Northern Ireland from the European Union and European Atomic Energy Community (OJ L 29, 31.1.2020, p. 7) entered into force on 1 February 2020, when the United Kingdom withdrew from the EU. It provides for a transition period during which Union law, with a few exceptions, is applicable to and in the United Kingdom. As defined by Union law applicable to it during the transition period, the United Kingdom is treated as an EU Member State, but will not participate in EU decision-making and decision-shaping.</w:t>
      </w:r>
    </w:p>
  </w:footnote>
  <w:footnote w:id="3">
    <w:p>
      <w:pPr>
        <w:spacing w:before="120" w:after="120" w:line="240" w:lineRule="auto"/>
        <w:jc w:val="both"/>
      </w:pPr>
      <w:r>
        <w:rPr>
          <w:rStyle w:val="FootnoteReference"/>
          <w:rFonts w:eastAsiaTheme="minorHAnsi"/>
        </w:rPr>
        <w:footnoteRef/>
      </w:r>
      <w:r>
        <w:rPr>
          <w:rStyle w:val="FootnoteReference"/>
          <w:rFonts w:eastAsiaTheme="minorHAnsi"/>
        </w:rPr>
        <w:t xml:space="preserve"> </w:t>
      </w:r>
      <w:r>
        <w:rPr>
          <w:rFonts w:ascii="Times New Roman" w:eastAsia="Times New Roman" w:hAnsi="Times New Roman" w:cs="Times New Roman"/>
          <w:sz w:val="20"/>
          <w:szCs w:val="20"/>
        </w:rPr>
        <w:t xml:space="preserve">Council Recommendation of 13 July 2018 on the 2018 National Reform Programme of the United Kingdom and delivering a Council opinion on the 2018 Convergence Programme of the United Kingdom; OJ C 320, 10.9.2018, p. 119. </w:t>
      </w:r>
    </w:p>
  </w:footnote>
  <w:footnote w:id="4">
    <w:p>
      <w:pPr>
        <w:spacing w:before="120" w:after="120" w:line="240" w:lineRule="auto"/>
        <w:jc w:val="both"/>
        <w:rPr>
          <w:rFonts w:ascii="Times New Roman" w:eastAsia="Times New Roman" w:hAnsi="Times New Roman" w:cs="Calibri"/>
          <w:bCs/>
          <w:noProof/>
          <w:sz w:val="24"/>
          <w:highlight w:val="yellow"/>
          <w:lang w:eastAsia="en-GB"/>
        </w:rPr>
      </w:pPr>
      <w:r>
        <w:rPr>
          <w:rStyle w:val="FootnoteReference"/>
          <w:rFonts w:eastAsiaTheme="minorHAnsi"/>
        </w:rPr>
        <w:footnoteRef/>
      </w:r>
      <w:r>
        <w:t xml:space="preserve"> </w:t>
      </w:r>
      <w:r>
        <w:rPr>
          <w:rFonts w:ascii="Times New Roman" w:eastAsia="Times New Roman" w:hAnsi="Times New Roman" w:cs="Times New Roman"/>
          <w:sz w:val="20"/>
          <w:szCs w:val="20"/>
          <w:lang w:eastAsia="en-GB"/>
        </w:rPr>
        <w:t>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8D2B3AC-DDFA-420F-8CE5-8CE1FBC18F9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nited Kingdom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55517057">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37840763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28165816">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05112926">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51391187">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734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C\2\SUSTAINABILITY\DEBT%20SUSTAINABILITY%20MONITOR-DSM%20projections\Spring%202020\country_fiches\Final%20storage%20(for%20DSA%20report%20and%20art%20126(3)%20reports\Non-EA%20countries\DSM%20country%20fiche%20-%20United-Kingdom%20-%20spring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Baseline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85.412490844726563</c:v>
                </c:pt>
                <c:pt idx="1">
                  <c:v>102.10070037841797</c:v>
                </c:pt>
                <c:pt idx="2">
                  <c:v>101.48290252685547</c:v>
                </c:pt>
                <c:pt idx="3">
                  <c:v>103.22590637207031</c:v>
                </c:pt>
                <c:pt idx="4">
                  <c:v>104.54664611816406</c:v>
                </c:pt>
                <c:pt idx="5">
                  <c:v>105.18419647216797</c:v>
                </c:pt>
                <c:pt idx="6">
                  <c:v>105.25327301025391</c:v>
                </c:pt>
                <c:pt idx="7">
                  <c:v>104.76891326904297</c:v>
                </c:pt>
                <c:pt idx="8">
                  <c:v>103.59506988525391</c:v>
                </c:pt>
                <c:pt idx="9">
                  <c:v>101.75102233886719</c:v>
                </c:pt>
                <c:pt idx="10">
                  <c:v>99.341423034667969</c:v>
                </c:pt>
                <c:pt idx="11">
                  <c:v>96.268348693847656</c:v>
                </c:pt>
              </c:numCache>
            </c:numRef>
          </c:val>
          <c:smooth val="0"/>
          <c:extLst xmlns:c16r2="http://schemas.microsoft.com/office/drawing/2015/06/chart">
            <c:ext xmlns:c16="http://schemas.microsoft.com/office/drawing/2014/chart" uri="{C3380CC4-5D6E-409C-BE32-E72D297353CC}">
              <c16:uniqueId val="{00000000-E8F8-4189-BD4D-3010A987D987}"/>
            </c:ext>
          </c:extLst>
        </c:ser>
        <c:ser>
          <c:idx val="2"/>
          <c:order val="1"/>
          <c:tx>
            <c:strRef>
              <c:f>'COUNTRY FICHE coronavirus'!$V$38</c:f>
              <c:strCache>
                <c:ptCount val="1"/>
                <c:pt idx="0">
                  <c:v>Adverse scenario</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85.412490844726563</c:v>
                </c:pt>
                <c:pt idx="1">
                  <c:v>102.75041961669922</c:v>
                </c:pt>
                <c:pt idx="2">
                  <c:v>102.74884033203125</c:v>
                </c:pt>
                <c:pt idx="3">
                  <c:v>105.18830871582031</c:v>
                </c:pt>
                <c:pt idx="4">
                  <c:v>107.24631500244141</c:v>
                </c:pt>
                <c:pt idx="5">
                  <c:v>108.64958953857422</c:v>
                </c:pt>
                <c:pt idx="6">
                  <c:v>109.50547027587891</c:v>
                </c:pt>
                <c:pt idx="7">
                  <c:v>109.82313537597656</c:v>
                </c:pt>
                <c:pt idx="8">
                  <c:v>109.44967651367187</c:v>
                </c:pt>
                <c:pt idx="9">
                  <c:v>108.39386749267578</c:v>
                </c:pt>
                <c:pt idx="10">
                  <c:v>106.75693511962891</c:v>
                </c:pt>
                <c:pt idx="11">
                  <c:v>104.38970184326172</c:v>
                </c:pt>
              </c:numCache>
            </c:numRef>
          </c:val>
          <c:smooth val="0"/>
          <c:extLst xmlns:c16r2="http://schemas.microsoft.com/office/drawing/2015/06/chart">
            <c:ext xmlns:c16="http://schemas.microsoft.com/office/drawing/2014/chart" uri="{C3380CC4-5D6E-409C-BE32-E72D297353CC}">
              <c16:uniqueId val="{00000001-E8F8-4189-BD4D-3010A987D987}"/>
            </c:ext>
          </c:extLst>
        </c:ser>
        <c:dLbls>
          <c:showLegendKey val="0"/>
          <c:showVal val="0"/>
          <c:showCatName val="0"/>
          <c:showSerName val="0"/>
          <c:showPercent val="0"/>
          <c:showBubbleSize val="0"/>
        </c:dLbls>
        <c:marker val="1"/>
        <c:smooth val="0"/>
        <c:axId val="43282816"/>
        <c:axId val="43284352"/>
      </c:lineChart>
      <c:catAx>
        <c:axId val="43282816"/>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43284352"/>
        <c:crosses val="autoZero"/>
        <c:auto val="1"/>
        <c:lblAlgn val="ctr"/>
        <c:lblOffset val="100"/>
        <c:noMultiLvlLbl val="0"/>
      </c:catAx>
      <c:valAx>
        <c:axId val="43284352"/>
        <c:scaling>
          <c:orientation val="minMax"/>
          <c:max val="125"/>
          <c:min val="65"/>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43282816"/>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D3E8-70AD-4B55-8E93-0EA18EC3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2221</Words>
  <Characters>11883</Characters>
  <Application>Microsoft Office Word</Application>
  <DocSecurity>0</DocSecurity>
  <Lines>216</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2019-05-13T14:09:00Z</cp:lastPrinted>
  <dcterms:created xsi:type="dcterms:W3CDTF">2020-05-18T15:07:00Z</dcterms:created>
  <dcterms:modified xsi:type="dcterms:W3CDTF">2020-05-19T15:51:00Z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