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5148F4D-2419-4777-BE7B-4D314EB81ACB" style="width:450.35pt;height:334.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Croatie</w:t>
      </w:r>
      <w:r>
        <w:rPr>
          <w:noProof/>
        </w:rPr>
        <w:br/>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rPr>
        <w:t>1.</w:t>
      </w:r>
      <w:r>
        <w:rPr>
          <w:rFonts w:ascii="Times New Roman" w:hAnsi="Times New Roman"/>
          <w:b/>
          <w:smallCaps/>
          <w:noProof/>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rPr>
        <w:t>Le 20 mars 2020, la Commission a adopté une communication sur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cadre du pacte. Selon les données communiquées par les autorités croates le 31 mars 2020 et validées ensuite par Eurostat</w:t>
      </w:r>
      <w:r>
        <w:rPr>
          <w:rStyle w:val="FootnoteReference"/>
          <w:rFonts w:eastAsiaTheme="minorHAnsi"/>
          <w:noProof/>
        </w:rPr>
        <w:footnoteReference w:id="2"/>
      </w:r>
      <w:r>
        <w:rPr>
          <w:rFonts w:ascii="Times New Roman" w:hAnsi="Times New Roman"/>
          <w:noProof/>
        </w:rPr>
        <w:t>, le solde des administrations publiques de la Croatie a atteint +0,4 % du PIB en 2019, et sa dette publique brute s’est établie à 73,2 % du PIB. Le programme de convergence de la Croatie pour 2020 anticipe cette année un déficit de 6,8 % du PIB et une dette de 86,7 %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Le déficit anticipé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rPr>
        <w:t>Dans ce contexte, la Commission a donc préparé le présent rapport afin d’analyser le respect par la Croatie des critères de déficit et de dette prévus par le traité. Il tient compte de tous les facteurs pertinents et prend dûment en considération le choc économique majeur lié à la pandémie de COVID</w:t>
      </w:r>
      <w:r>
        <w:rPr>
          <w:rFonts w:ascii="Times New Roman" w:hAnsi="Times New Roman"/>
          <w:noProof/>
        </w:rPr>
        <w:noBreakHyphen/>
        <w:t xml:space="preserve">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rPr>
        <w:t xml:space="preserve">Tableau </w:t>
      </w:r>
      <w:r>
        <w:rPr>
          <w:rFonts w:ascii="Times New Roman" w:eastAsia="Times New Roman" w:hAnsi="Times New Roman" w:cs="Times New Roman"/>
          <w:b/>
          <w:noProof/>
        </w:rPr>
        <w:fldChar w:fldCharType="begin"/>
      </w:r>
      <w:r>
        <w:rPr>
          <w:rFonts w:ascii="Times New Roman" w:eastAsia="Times New Roman" w:hAnsi="Times New Roman" w:cs="Times New Roman"/>
          <w:b/>
          <w:noProof/>
        </w:rPr>
        <w:instrText xml:space="preserve"> SEQ Table \* ARABIC </w:instrText>
      </w:r>
      <w:r>
        <w:rPr>
          <w:rFonts w:ascii="Times New Roman" w:eastAsia="Times New Roman" w:hAnsi="Times New Roman" w:cs="Times New Roman"/>
          <w:b/>
          <w:noProof/>
        </w:rPr>
        <w:fldChar w:fldCharType="separate"/>
      </w:r>
      <w:r>
        <w:rPr>
          <w:rFonts w:ascii="Times New Roman" w:eastAsia="Times New Roman" w:hAnsi="Times New Roman" w:cs="Times New Roman"/>
          <w:b/>
          <w:noProof/>
        </w:rPr>
        <w:t>1</w:t>
      </w:r>
      <w:r>
        <w:rPr>
          <w:rFonts w:ascii="Times New Roman" w:eastAsia="Times New Roman" w:hAnsi="Times New Roman" w:cs="Times New Roman"/>
          <w:b/>
          <w:noProof/>
        </w:rPr>
        <w:fldChar w:fldCharType="end"/>
      </w:r>
      <w:r>
        <w:rPr>
          <w:rFonts w:ascii="Times New Roman" w:hAnsi="Times New Roman"/>
          <w:b/>
          <w:noProof/>
        </w:rPr>
        <w:t>. Déficit public et dette publique (en % du PIB)</w:t>
      </w:r>
    </w:p>
    <w:tbl>
      <w:tblPr>
        <w:tblStyle w:val="TableGrid"/>
        <w:tblW w:w="0" w:type="auto"/>
        <w:tblLook w:val="04A0" w:firstRow="1" w:lastRow="0" w:firstColumn="1" w:lastColumn="0" w:noHBand="0" w:noVBand="1"/>
      </w:tblPr>
      <w:tblGrid>
        <w:gridCol w:w="1112"/>
        <w:gridCol w:w="1450"/>
        <w:gridCol w:w="1113"/>
        <w:gridCol w:w="1113"/>
        <w:gridCol w:w="1113"/>
        <w:gridCol w:w="1113"/>
        <w:gridCol w:w="1114"/>
        <w:gridCol w:w="1114"/>
      </w:tblGrid>
      <w:tr>
        <w:trPr>
          <w:trHeight w:val="603"/>
        </w:trPr>
        <w:tc>
          <w:tcPr>
            <w:tcW w:w="1154" w:type="dxa"/>
          </w:tcPr>
          <w:p>
            <w:pPr>
              <w:keepNext/>
              <w:jc w:val="center"/>
              <w:rPr>
                <w:rFonts w:ascii="Times New Roman" w:eastAsia="Times New Roman" w:hAnsi="Times New Roman" w:cs="Calibri"/>
                <w:noProof/>
                <w:sz w:val="20"/>
                <w:szCs w:val="20"/>
              </w:rPr>
            </w:pPr>
          </w:p>
        </w:tc>
        <w:tc>
          <w:tcPr>
            <w:tcW w:w="1172" w:type="dxa"/>
          </w:tcPr>
          <w:p>
            <w:pPr>
              <w:keepNext/>
              <w:jc w:val="center"/>
              <w:rPr>
                <w:rFonts w:ascii="Times New Roman" w:eastAsia="Times New Roman" w:hAnsi="Times New Roman" w:cs="Calibri"/>
                <w:noProof/>
                <w:sz w:val="20"/>
                <w:szCs w:val="20"/>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-7,1</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-2,2</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80,8 %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77,8 %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74,7 %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73,2 %</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88,6 %</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83,4 %</w:t>
            </w:r>
          </w:p>
        </w:tc>
      </w:tr>
      <w:tr>
        <w:tc>
          <w:tcPr>
            <w:tcW w:w="1154" w:type="dxa"/>
          </w:tcPr>
          <w:p>
            <w:pPr>
              <w:keepNext/>
              <w:jc w:val="center"/>
              <w:rPr>
                <w:rFonts w:ascii="Times New Roman" w:eastAsia="Times New Roman" w:hAnsi="Times New Roman" w:cs="Calibri"/>
                <w:noProof/>
                <w:sz w:val="20"/>
                <w:szCs w:val="20"/>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Écart par rapport à la référence d'ajustement du ratio de la dette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-2,7</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3,6</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r>
      <w:tr>
        <w:tc>
          <w:tcPr>
            <w:tcW w:w="1154" w:type="dxa"/>
          </w:tcPr>
          <w:p>
            <w:pPr>
              <w:keepNext/>
              <w:jc w:val="center"/>
              <w:rPr>
                <w:rFonts w:ascii="Times New Roman" w:eastAsia="Times New Roman" w:hAnsi="Times New Roman" w:cs="Calibri"/>
                <w:noProof/>
                <w:sz w:val="20"/>
                <w:szCs w:val="20"/>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Variation du solde structurel</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-3,2</w:t>
            </w:r>
          </w:p>
        </w:tc>
        <w:tc>
          <w:tcPr>
            <w:tcW w:w="1154" w:type="dxa"/>
            <w:shd w:val="clear" w:color="auto" w:fill="auto"/>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rPr>
      </w:pPr>
      <w:r>
        <w:rPr>
          <w:smallCaps w:val="0"/>
          <w:noProof/>
        </w:rPr>
        <w:t>2.</w:t>
      </w:r>
      <w:r>
        <w:rPr>
          <w:b w:val="0"/>
          <w:smallCaps w:val="0"/>
          <w:noProof/>
        </w:rPr>
        <w:tab/>
      </w:r>
      <w:r>
        <w:rPr>
          <w:noProof/>
        </w:rPr>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Selon son programme de convergence pour 2020, la Croatie devrait enregistrer cette année un déficit public de 6,8 %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Ce dépassement de la valeur de référence du traité anticipé pour 2020 est exceptionnel, car il résulte d’une récession économique grave. Les prévisions du printemps 2020 de la Commission, qui tiennent compte de l’impact de la pandémie de COVID-19, annoncent quant à elles une contraction du PIB réel de 9,1 %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 dépassement anticipé de la valeur de référence du traité devrait être temporaire si l'on se base sur les prévisions du printemps 2020 de la Commission, selon lesquelles le déficit public retombera au-dessous de 3 % du PIB en 2021. Toutefois, ces projections sont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En résumé, le déficit anticipé pour 2020 est supérieur à la valeur de référence de 3 % du PIB prévue par le traité et n'en est pas proche. Le dépassement anticipé est considéré comme exceptionnel au sens du traité et du pacte de stabilité et de croissance</w:t>
      </w:r>
      <w:r>
        <w:rPr>
          <w:rFonts w:ascii="Times New Roman" w:hAnsi="Times New Roman"/>
          <w:bCs/>
          <w:noProof/>
        </w:rPr>
        <w:t>, et, à l’heure actuelle, comme de nature temporaire</w:t>
      </w:r>
      <w:r>
        <w:rPr>
          <w:rFonts w:ascii="Times New Roman" w:hAnsi="Times New Roman"/>
          <w:noProof/>
        </w:rPr>
        <w:t>. L’analyse effectuée suggère donc, à première vue, que le critère du déficit au sens du traité et du règlement (CE) nº 1467/97 n’est pas rempli.</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 xml:space="preserve">Le ratio de la dette publique au PIB a diminué, passant de 74,7 % en 2018 à 73,2 % en 2019. La réduction de la dette s’explique par une solide croissance du PIB et un excédent nominal, qui a été partiellement compensé par un important ajustement stocks-flux ayant pour effet d’accroître la dette brute dès lors que le gouvernement a émis une dette supérieure à ses besoins de financement et a utilisé l’excédent pour constituer des dépôts.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 xml:space="preserve">Les données communiquées montrent que la Croatie a respecté la référence d’ajustement du ratio de la dette en 2019, puisque l’écart est de </w:t>
      </w:r>
      <w:r>
        <w:rPr>
          <w:rFonts w:ascii="Times New Roman" w:hAnsi="Times New Roman"/>
          <w:noProof/>
        </w:rPr>
        <w:sym w:font="Symbol" w:char="F02D"/>
      </w:r>
      <w:r>
        <w:rPr>
          <w:rFonts w:ascii="Times New Roman" w:hAnsi="Times New Roman"/>
          <w:noProof/>
        </w:rPr>
        <w:t>2,7 % du PIB (c’est-à-dire que la référence est plus que respectée).</w:t>
      </w:r>
    </w:p>
    <w:p>
      <w:pPr>
        <w:pStyle w:val="ListDash"/>
        <w:numPr>
          <w:ilvl w:val="0"/>
          <w:numId w:val="0"/>
        </w:numPr>
        <w:rPr>
          <w:noProof/>
        </w:rPr>
      </w:pPr>
      <w:r>
        <w:rPr>
          <w:noProof/>
        </w:rPr>
        <w:t>L’analyse suggère donc que le critère de la dette est rempli, si l’on se base sur les chiffres effectifs de 2019.</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rPr>
        <w:t>4.</w:t>
      </w:r>
      <w:r>
        <w:rPr>
          <w:rFonts w:ascii="Times New Roman" w:hAnsi="Times New Roman"/>
          <w:b/>
          <w:smallCaps/>
          <w:noProof/>
        </w:rPr>
        <w:tab/>
        <w:t xml:space="preserve">Facteurs pertinents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Conformément à l’article 2, paragraphe 4, du règlement (CE) nº 1467/97, en ce qui concerne le respect du critère du déficit en 2020, étant donné que le ratio de la dette publique au PIB dépasse la valeur de référence de 60 % et que la double condition à respecter (à savoir que le déficit reste proche de la valeur de référence et que le dépassement de cette valeur soit temporaire) n’est pas remplie, ces facteurs pertinents ne peuvent pas être pris en compte au cours des étapes conduisant à la décision constatant pour la Croatie l’existence d’un déficit excessif sur la base du critère du déficit. 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rPr>
        <w:t>4.1.</w:t>
      </w:r>
      <w:r>
        <w:rPr>
          <w:rFonts w:ascii="Times New Roman" w:hAnsi="Times New Roman"/>
          <w:b/>
          <w:noProof/>
        </w:rPr>
        <w:tab/>
      </w:r>
      <w:r>
        <w:rPr>
          <w:rFonts w:ascii="Times New Roman" w:hAnsi="Times New Roman"/>
          <w:b/>
          <w:noProof/>
        </w:rPr>
        <w:tab/>
        <w:t xml:space="preserve">La 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Ces mesures, conjuguées à la chute de l’activité économique, contribueront à une augmentation substantielle du déficit et de la dette publics.</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rPr>
        <w:t>4.2</w:t>
      </w:r>
      <w:r>
        <w:rPr>
          <w:rFonts w:ascii="Times New Roman" w:hAnsi="Times New Roman"/>
          <w:b/>
          <w:noProof/>
        </w:rPr>
        <w:tab/>
        <w:t>Position économique à moyen terme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rPr>
        <w:t>En 2019, la production réelle a finalement dépassé son niveau de 2008 et le taux de chômage a atteint le niveau le plus bas jamais atteint. Les déséquilibres macroéconomiques (niveaux élevés de dette et d’engagements extérieurs) se sont améliorés et sont inférieurs aux niveaux de 2008. Bien qu’elle soit encore relativement élevée, la dette publique a fortement diminué, grâce à trois années consécutives d’excédents publics. En outre, l’échéance moyenne et le coût du service de la dette publique se sont sensiblement améliorés. Les gains de compétitivité-coûts et l’adhésion de la Croatie à l’Union ont soutenu la forte croissance des exportations jusqu’en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rPr>
        <w:t>Les retombées économiques de la pandémie de COVID-19 devraient être particulièrement marquées en Croatie, en raison de la part importante que représente le tourisme dans sa valeur ajoutée brute, ainsi que d’une forte exposition par l’intermédiaire de ses principaux partenaires commerciaux. La demande intérieure devrait se contracter nettement en raison des mesures de confinement relativement rigoureuses qui ont été mises en place à la mi-mars et auxquelles il est progressivement mis fin depuis la fin du mois d’avril. Parallèlement, les exportations devraient pâtir des mesures de confinement rigoureuses particulièrement étendues qui ont été mises en place par les principaux partenaires commerciaux de la Croatie (Italie, Slovénie et Autriche). Ces perspectives sont marquées par un degré exceptionnel d’incertitude quant à la durée de la pandémie et à son impact économique, car elles dépendent en grande partie de l’efficacité des mesures gouvernementales et de la rapidité avec laquelle la demande mondiale repartira.</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rPr>
        <w:t xml:space="preserve">La forte baisse attendue du PIB est un facteur d’atténuation dans l’évaluation du respect par la Croatie du critère du déficit en 2020.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rPr>
        <w:t>4.3</w:t>
      </w:r>
      <w:r>
        <w:rPr>
          <w:rFonts w:ascii="Times New Roman" w:hAnsi="Times New Roman"/>
          <w:b/>
          <w:noProof/>
        </w:rPr>
        <w:tab/>
      </w:r>
      <w:r>
        <w:rPr>
          <w:rFonts w:ascii="Times New Roman" w:hAnsi="Times New Roman"/>
          <w:b/>
          <w:noProof/>
        </w:rPr>
        <w:tab/>
        <w:t>Position budgétaire à moyen terme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rPr>
        <w:t>Sur la base des chiffres effectifs et des prévisions du printemps 2020 de la Commission,</w:t>
      </w:r>
      <w:r>
        <w:rPr>
          <w:rFonts w:ascii="Times New Roman" w:hAnsi="Times New Roman"/>
          <w:bCs/>
          <w:noProof/>
        </w:rPr>
        <w:t xml:space="preserve"> la Croatie a respecté son objectif budgétaire à moyen terme en 2019.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Son programme de convergence pour 2020 fournit des informations sur la stratégie à moyen terme de soutien à l’économie, qui consiste à utiliser la marge de manœuvre budgétaire dégagée ces dernières années afin de réduire au minimum les retombées économiques de la pandémie de COVID-19 en apportant un soutien à des entreprises par ailleurs viables ainsi qu’à l’emploi. À cet égard, les trois mesures principales prises ont été la subvention salariale pour les entreprises qui conservent des salariés, les reports d’impôts et les annulations d’impôts pour les entreprises les plus durement touchées. L’impact total de ces mesures est estimé à 3,9 % du PIB, dont 2,7 % du PIB d’accroissement du déficit, le reste étant constitué de mesures de soutien à la liquidité (reports d’impôts). Dans l’ensemble, le programme de convergence prévoit un déficit de 6,8 % du PIB en 2020, puis une amélioration avec un chiffre de 2,4 % du PIB en 2021.</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rPr>
        <w:t>4.4.</w:t>
      </w:r>
      <w:r>
        <w:rPr>
          <w:rFonts w:ascii="Times New Roman" w:hAnsi="Times New Roman"/>
          <w:b/>
          <w:noProof/>
        </w:rPr>
        <w:tab/>
        <w:t>Situation de la dette publique à moyen terme</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noProof/>
        </w:rPr>
        <w:t xml:space="preserve">Dans ses prévisions du printemps 2020, la Commission s'attend à ce que la dette publique passe de 73,2 % du PIB en 2019 à 88,6 % en 2020. </w:t>
      </w:r>
      <w:r>
        <w:rPr>
          <w:rFonts w:ascii="Times New Roman" w:hAnsi="Times New Roman"/>
          <w:iCs/>
          <w:noProof/>
        </w:rPr>
        <w:t>L’analyse de la soutenabilité de la dette a été actualisée sur la base de ces prévisions. Cette analyse confirme que, malgré les risques (y compris ceux liés à la proportion élevée de dette libellée en devises), la situation de la dette demeure soutenable à moyen terme, ce qui reflète également la réduction de la dette ces dernières années. En particulier, s'il est vrai que la situation d’endettement public se dégrade par suite de la crise liée à la pandémie de COVID-19, le ratio d’endettement devrait, dans le scénario de référence, suivre une trajectoire (baissière) soutenable à moyen terme</w:t>
      </w:r>
      <w:r>
        <w:rPr>
          <w:rStyle w:val="FootnoteReference"/>
          <w:rFonts w:eastAsiaTheme="minorHAnsi"/>
          <w:iCs/>
          <w:noProof/>
        </w:rPr>
        <w:footnoteReference w:id="3"/>
      </w:r>
      <w:r>
        <w:rPr>
          <w:rFonts w:ascii="Times New Roman" w:hAnsi="Times New Roman"/>
          <w:iCs/>
          <w:noProof/>
        </w:rPr>
        <w:t>.</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rPr>
        <w:t xml:space="preserve">Graphique </w:t>
      </w:r>
      <w:r>
        <w:rPr>
          <w:rFonts w:ascii="Times New Roman" w:eastAsia="Times New Roman" w:hAnsi="Times New Roman" w:cs="Times New Roman"/>
          <w:b/>
          <w:noProof/>
        </w:rPr>
        <w:fldChar w:fldCharType="begin"/>
      </w:r>
      <w:r>
        <w:rPr>
          <w:rFonts w:ascii="Times New Roman" w:eastAsia="Times New Roman" w:hAnsi="Times New Roman" w:cs="Times New Roman"/>
          <w:b/>
          <w:noProof/>
        </w:rPr>
        <w:instrText xml:space="preserve"> SEQ Table \* ARABIC </w:instrText>
      </w:r>
      <w:r>
        <w:rPr>
          <w:rFonts w:ascii="Times New Roman" w:eastAsia="Times New Roman" w:hAnsi="Times New Roman" w:cs="Times New Roman"/>
          <w:b/>
          <w:noProof/>
        </w:rPr>
        <w:fldChar w:fldCharType="separate"/>
      </w:r>
      <w:r>
        <w:rPr>
          <w:rFonts w:ascii="Times New Roman" w:eastAsia="Times New Roman" w:hAnsi="Times New Roman" w:cs="Times New Roman"/>
          <w:b/>
          <w:noProof/>
        </w:rPr>
        <w:t>1</w:t>
      </w:r>
      <w:r>
        <w:rPr>
          <w:rFonts w:ascii="Times New Roman" w:eastAsia="Times New Roman" w:hAnsi="Times New Roman" w:cs="Times New Roman"/>
          <w:b/>
          <w:noProof/>
        </w:rPr>
        <w:fldChar w:fldCharType="end"/>
      </w:r>
      <w:r>
        <w:rPr>
          <w:rFonts w:ascii="Times New Roman" w:hAnsi="Times New Roman"/>
          <w:b/>
          <w:noProof/>
        </w:rPr>
        <w:t xml:space="preserve">. Dette publique (en % du PIB) </w:t>
      </w:r>
    </w:p>
    <w:p>
      <w:pPr>
        <w:spacing w:before="120" w:after="120" w:line="240" w:lineRule="auto"/>
        <w:jc w:val="center"/>
        <w:rPr>
          <w:rFonts w:ascii="Times New Roman" w:eastAsia="Times New Roman" w:hAnsi="Times New Roman" w:cs="Times New Roman"/>
          <w:iCs/>
          <w:noProof/>
          <w:sz w:val="24"/>
        </w:rPr>
      </w:pPr>
      <w:r>
        <w:rPr>
          <w:rFonts w:ascii="Times New Roman" w:eastAsia="Times New Roman" w:hAnsi="Times New Roman" w:cs="Times New Roman"/>
          <w:iCs/>
          <w:noProof/>
          <w:sz w:val="24"/>
          <w:lang w:val="en-GB" w:eastAsia="en-GB"/>
        </w:rPr>
        <w:drawing>
          <wp:inline distT="0" distB="0" distL="0" distR="0">
            <wp:extent cx="4248150" cy="2331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143" cy="2374870"/>
                    </a:xfrm>
                    <a:prstGeom prst="rect">
                      <a:avLst/>
                    </a:prstGeom>
                    <a:noFill/>
                  </pic:spPr>
                </pic:pic>
              </a:graphicData>
            </a:graphic>
          </wp:inline>
        </w:drawing>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rPr>
        <w:t>4.5</w:t>
      </w:r>
      <w:r>
        <w:rPr>
          <w:rFonts w:ascii="Times New Roman" w:hAnsi="Times New Roman"/>
          <w:b/>
          <w:noProof/>
        </w:rPr>
        <w:tab/>
        <w:t>Autres facteurs mis en avant par l’État membre</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rPr>
        <w:t xml:space="preserve">Dans une lettre du 11 mai 2020, les autorités croates ont dressé une liste de facteurs pertinents conformément à l’article 2, paragraphe 3, du règlement (CE) nº 1467/97. L’analyse présentée dans les sections précédentes couvre déjà largement les principaux facteurs mis en avant par les autorités. </w:t>
      </w:r>
    </w:p>
    <w:p>
      <w:pPr>
        <w:pStyle w:val="ManualHeading1"/>
        <w:rPr>
          <w:noProof/>
        </w:rPr>
      </w:pPr>
      <w:r>
        <w:rPr>
          <w:noProof/>
        </w:rPr>
        <w:t xml:space="preserve"> 5.</w:t>
      </w:r>
      <w:r>
        <w:rPr>
          <w:noProof/>
        </w:rPr>
        <w:tab/>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rPr>
        <w:t>Selon le programme de convergence, le déficit public de la Croatie devrait atteindre 6,8 % en 2020, ce qui est supérieur à la valeur de référence de 3 % du PIB prévue par le traité et n'en est pas proche.</w:t>
      </w:r>
      <w:r>
        <w:rPr>
          <w:rFonts w:ascii="Times New Roman" w:hAnsi="Times New Roman"/>
          <w:bCs/>
          <w:noProof/>
        </w:rPr>
        <w:t xml:space="preserve"> Le dépassement anticipé de la valeur de référence est considéré comme exceptionnel et, à l’heure actuelle, comme temporaire.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rPr>
        <w:t>La dette publique brute s’est établie à 73,2 % du PIB à la fin de 2019, ce qui dépasse la valeur de référence de 60 % du PIB prévue par le traité. La Croatie a respecté la référence d'ajustement du ratio de la dette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rPr>
        <w:t xml:space="preserve">Conformément au traité et au pacte de stabilité et de croissance, le présent rapport a également examiné les facteurs pertinents à prendre en compte. </w:t>
      </w:r>
      <w:r>
        <w:rPr>
          <w:rFonts w:ascii="Times New Roman" w:hAnsi="Times New Roman"/>
          <w:noProof/>
        </w:rPr>
        <w:t xml:space="preserve">Toutefois, conformément à l’article 2, paragraphe 4, du règlement (CE) nº 1467/97, en ce qui concerne le respect du critère du déficit en 2020, étant donné que le ratio de la dette publique au PIB dépasse la valeur de référence de 60 % et que la double condition à respecter (à savoir que le déficit reste proche de la valeur de référence et que le dépassement de cette valeur soit temporaire) n’est pas remplie, ces facteurs pertinents ne peuvent pas être pris en compte au cours des étapes conduisant à la décision constatant pour la Croatie l’existence d’un déficit excessif sur la base du critère du déficit.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rPr>
        <w:t>Dans l’ensemble, l’analyse semble indiquer que le critère du déficit, tel qu’il est défini dans le traité et dans le règlement (CE) nº 1467/1997, n’est pas respecté.</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148F4D-2419-4777-BE7B-4D314EB81ACB"/>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Croatie_x000b_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25683907">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F84508A25D275C4799F712AE8B726482" ma:contentTypeVersion="4" ma:contentTypeDescription="Create a new document in this library." ma:contentTypeScope="" ma:versionID="117aa9363da08b0cf82a0de1a57d54a9" xmlns:ct="http://schemas.microsoft.com/office/2006/metadata/contentType" xmlns:ma="http://schemas.microsoft.com/office/2006/metadata/properties/metaAttributes">
<xsd:schema targetNamespace="http://schemas.microsoft.com/office/2006/metadata/properties" ma:root="true" ma:fieldsID="a2fa2a56fb054682c198116de18eadd2" ns3:_="" ns4:_="" xmlns:xsd="http://www.w3.org/2001/XMLSchema" xmlns:xs="http://www.w3.org/2001/XMLSchema" xmlns:p="http://schemas.microsoft.com/office/2006/metadata/properties" xmlns:ns3="$ListId:Shared Documents;" xmlns:ns4="8c142a86-6218-4657-8e10-fdc04089a95c">
<xsd:import namespace="$ListId:Shared Documents;"/>
<xsd:import namespace="8c142a86-6218-4657-8e10-fdc04089a95c"/>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8c142a86-6218-4657-8e10-fdc04089a95c"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ARES_TRANSFERRED_BY xmlns="8c142a86-6218-4657-8e10-fdc04089a95c" xsi:nil="true"/><EC_ARES_NUMBER xmlns="8c142a86-6218-4657-8e10-fdc04089a95c"><Url xsi:nil="true"></Url><Description xsi:nil="true"></Description></EC_ARES_NUMBER><EC_ARES_DATE_TRANSFERRED xmlns="8c142a86-6218-4657-8e10-fdc04089a95c" xsi:nil="true"/><EC_Collab_Status xmlns="$ListId:Shared Documents;">Not Started</EC_Collab_Status><EC_Collab_Reference xmlns="$ListId:Shared Documents;" xsi:nil="true"></EC_Collab_Reference><EC_Collab_DocumentLanguage xmlns="$ListId:Shared Documents;">EN</EC_Collab_DocumentLanguage></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BA4-B09E-4167-AED6-C106AF729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8c142a86-6218-4657-8e10-fdc04089a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339BB-59C0-4EB2-BDC2-430B5B24F73C}">
  <ds:schemaRefs>
    <ds:schemaRef ds:uri="http://schemas.microsoft.com/sharepoint/v3/contenttype/forms"/>
  </ds:schemaRefs>
</ds:datastoreItem>
</file>

<file path=customXml/itemProps3.xml><?xml version="1.0" encoding="utf-8"?>
<ds:datastoreItem xmlns:ds="http://schemas.openxmlformats.org/officeDocument/2006/customXml" ds:itemID="{D845C6A0-1861-4E5F-9FC7-0DBFE3D32811}">
  <ds:schemaRefs>
    <ds:schemaRef ds:uri="http://schemas.microsoft.com/office/2006/metadata/properties"/>
    <ds:schemaRef ds:uri="http://schemas.microsoft.com/office/infopath/2007/PartnerControls"/>
    <ds:schemaRef ds:uri="8c142a86-6218-4657-8e10-fdc04089a95c"/>
    <ds:schemaRef ds:uri="$ListId:Shared Documents;"/>
  </ds:schemaRefs>
</ds:datastoreItem>
</file>

<file path=customXml/itemProps4.xml><?xml version="1.0" encoding="utf-8"?>
<ds:datastoreItem xmlns:ds="http://schemas.openxmlformats.org/officeDocument/2006/customXml" ds:itemID="{4EFED66B-7C77-448B-83AC-3DCD5E0E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2262</Words>
  <Characters>11540</Characters>
  <Application>Microsoft Office Word</Application>
  <DocSecurity>0</DocSecurity>
  <Lines>221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35</cp:revision>
  <cp:lastPrinted>2019-05-13T14:09:00Z</cp:lastPrinted>
  <dcterms:created xsi:type="dcterms:W3CDTF">2020-05-19T08:37:00Z</dcterms:created>
  <dcterms:modified xsi:type="dcterms:W3CDTF">2020-05-20T07:56:00Z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LW_INVALIDATED__LW_INVALIDATED__LW_INVALIDATED_ContentTypeId">
    <vt:lpwstr>0x010100258AA79CEB83498886A3A0868112325000F84508A25D275C4799F712AE8B726482</vt:lpwstr>
  </property>
</Properties>
</file>