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7676B7D-EBC9-4D71-AFD1-7C69F1B74B54"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Estonie </w:t>
      </w:r>
      <w:r>
        <w:rPr>
          <w:noProof/>
        </w:rPr>
        <w:br/>
        <w:t xml:space="preserve"> </w:t>
      </w:r>
      <w:r>
        <w:rPr>
          <w:noProof/>
        </w:rPr>
        <w:br/>
        <w:t>Rapport établi conformément à l’article 126, paragraphe 3, du traité sur le fonctionnement de l’Union européenne</w:t>
      </w:r>
    </w:p>
    <w:p>
      <w:pPr>
        <w:pStyle w:val="Sous-titreobjet"/>
        <w:jc w:val="left"/>
        <w:rPr>
          <w:noProof/>
          <w:highlight w:val="gree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des politiques qui sont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estoniennes le 31 mars 2020 et validées ensuite par Eurostat</w:t>
      </w:r>
      <w:r>
        <w:rPr>
          <w:rStyle w:val="FootnoteReference"/>
          <w:rFonts w:eastAsiaTheme="minorHAnsi"/>
          <w:noProof/>
          <w:sz w:val="24"/>
          <w:szCs w:val="24"/>
        </w:rPr>
        <w:footnoteReference w:id="2"/>
      </w:r>
      <w:r>
        <w:rPr>
          <w:noProof/>
          <w:sz w:val="24"/>
          <w:szCs w:val="24"/>
        </w:rPr>
        <w:t>,</w:t>
      </w:r>
      <w:r>
        <w:rPr>
          <w:rFonts w:ascii="Times New Roman" w:hAnsi="Times New Roman"/>
          <w:noProof/>
          <w:sz w:val="24"/>
          <w:szCs w:val="24"/>
        </w:rPr>
        <w:t xml:space="preserve"> le déficit public de l’Estonie a atteint 0,3 % du PIB en 2019, et sa dette s’est établie à 8,4 % du PIB. Le programme de stabilité de l’Estonie pour 2020 anticipe un déficit de 10,1 % du PIB et une dette de 21,9 % du PIB.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anticipé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afin d’analyser le respect par l’Estonie du critère de déficit prévu par le traité. Le critère de la dette peut être considéré comme rempli puisque le taux d’endettement est inférieur à la valeur de référence de 60 % du PIB prévue par le traité. Il tient compte de tous les facteurs pertinents et prend dûment en considération le choc économique majeur lié à la pandémie de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lastRenderedPageBreak/>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ook w:val="04A0" w:firstRow="1" w:lastRow="0" w:firstColumn="1" w:lastColumn="0" w:noHBand="0" w:noVBand="1"/>
      </w:tblPr>
      <w:tblGrid>
        <w:gridCol w:w="1124"/>
        <w:gridCol w:w="1450"/>
        <w:gridCol w:w="1109"/>
        <w:gridCol w:w="1109"/>
        <w:gridCol w:w="1109"/>
        <w:gridCol w:w="1109"/>
        <w:gridCol w:w="1116"/>
        <w:gridCol w:w="1116"/>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 xml:space="preserve">-0,5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-0,3</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8,3</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3,4</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 xml:space="preserve">10,2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9,3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8,4</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8,4</w:t>
            </w:r>
          </w:p>
        </w:tc>
        <w:tc>
          <w:tcPr>
            <w:tcW w:w="1154"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rPr>
              <w:t xml:space="preserve">20,7 </w:t>
            </w:r>
          </w:p>
        </w:tc>
        <w:tc>
          <w:tcPr>
            <w:tcW w:w="1154"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rPr>
              <w:t>22,6</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du printemps 2020 de la Commission</w:t>
      </w:r>
    </w:p>
    <w:p>
      <w:pPr>
        <w:pStyle w:val="ManualHeading1"/>
        <w:rPr>
          <w:noProof/>
        </w:rPr>
      </w:pPr>
      <w:r>
        <w:rPr>
          <w:smallCaps w:val="0"/>
          <w:noProof/>
        </w:rPr>
        <w:t>2.</w:t>
      </w:r>
      <w:r>
        <w:rPr>
          <w:noProof/>
        </w:rPr>
        <w:tab/>
        <w:t xml:space="preserve">Critère du déficit </w:t>
      </w:r>
    </w:p>
    <w:p>
      <w:pPr>
        <w:spacing w:before="120" w:after="120" w:line="240" w:lineRule="auto"/>
        <w:jc w:val="both"/>
        <w:rPr>
          <w:rFonts w:ascii="Times New Roman" w:eastAsia="Calibri" w:hAnsi="Times New Roman" w:cs="Times New Roman"/>
          <w:noProof/>
          <w:sz w:val="24"/>
          <w:szCs w:val="24"/>
          <w:highlight w:val="yellow"/>
          <w:lang w:eastAsia="en-GB"/>
        </w:rPr>
      </w:pP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D’après les plans figurant dans son programme de stabilité pour 2020, l’Estonie devrait enregistrer cette année un déficit public de 10,1 % du PIB, ce qui est supérieur à la valeur de référence de 3 % du PIB prévue par le traité, et n’en est pas proche. La forte hausse du déficit est la conséquence de la mesure de relance à hauteur de 4,3 % du PIB planifiée ainsi que des effets de la crise économique.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du traité anticipé pour 2020 est exceptionnel, car il résulte d’une récession économique grave. Les prévisions du printemps 2020 de la Commission, qui tiennent compte de l’impact de la pandémie de COVID-19, annoncent quant à elles une contraction du PIB réel de 6,9 %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anticipé de la valeur de référence de 3 % du PIB n’est pas temporaire si l’on se base sur les prévisions du printemps 2020 de la Commission, selon lesquelles le déficit restera supérieur à cette valeur en 2021.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anticipé pour 2020 est supérieur à la valeur de référence de 3 % du PIB prévue par le traité, et n’en est pas proche. Ce dépassement anticipé est considéré comme exceptionnel, mais pas comme temporaire, au sens du traité et du pacte de stabilité et de croissance. L’analyse effectuée suggère donc, à première vue, que le critère du déficit au sens du traité et du règlement (CE) nº 1467/97 n’est pas rempli, si l’on se base sur les prévisions du printemps 2020 de la Commission et sur le programme de stabilité.</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 xml:space="preserve">Facteurs pertinents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keepNext/>
        <w:tabs>
          <w:tab w:val="left" w:pos="850"/>
        </w:tabs>
        <w:spacing w:before="360" w:after="120" w:line="240" w:lineRule="auto"/>
        <w:ind w:left="851" w:hanging="851"/>
        <w:jc w:val="both"/>
        <w:outlineLvl w:val="1"/>
        <w:rPr>
          <w:rFonts w:ascii="Times New Roman" w:eastAsia="Times New Roman" w:hAnsi="Times New Roman" w:cs="Times New Roman"/>
          <w:noProof/>
          <w:sz w:val="24"/>
        </w:rPr>
      </w:pPr>
      <w:r>
        <w:rPr>
          <w:rFonts w:ascii="Times New Roman" w:hAnsi="Times New Roman"/>
          <w:noProof/>
          <w:sz w:val="24"/>
        </w:rPr>
        <w:t>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conduit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 xml:space="preserve">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 celle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pays ont déjà adopté, ou sont en train d’adopter, des mesures budgétaires afin d’accroître la capacité de leurs systèmes de santé et de venir en aide aux personnes et aux secteurs particulièrement touchés. D’importantes mesures de soutien de trésorerie et d’autres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Situation économique à moyen terme </w:t>
      </w:r>
    </w:p>
    <w:p>
      <w:pPr>
        <w:spacing w:before="120" w:after="120" w:line="240" w:lineRule="auto"/>
        <w:jc w:val="both"/>
        <w:rPr>
          <w:rFonts w:ascii="Times New Roman" w:eastAsia="Times New Roman" w:hAnsi="Times New Roman" w:cs="Calibri"/>
          <w:bCs/>
          <w:i/>
          <w:noProof/>
          <w:sz w:val="24"/>
          <w:highlight w:val="cyan"/>
          <w:lang w:eastAsia="en-GB"/>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Sur la base des prévisions du printemps 2020 de la Commission, le PIB réel de l’Estonie devrait diminuer d’environ 7 %, puis remonter rapidement en 2021. Parallèlement au choc subi par la demande intérieure, les exportations devraient pâtir d’une baisse de la demande extérieure.</w:t>
      </w:r>
      <w:r>
        <w:rPr>
          <w:noProof/>
        </w:rPr>
        <w:t xml:space="preserve"> </w:t>
      </w:r>
      <w:r>
        <w:rPr>
          <w:rFonts w:ascii="Times New Roman" w:hAnsi="Times New Roman"/>
          <w:noProof/>
          <w:sz w:val="24"/>
          <w:szCs w:val="24"/>
        </w:rPr>
        <w:t>Le taux de chômage devrait dépasser 9 % en 2020, alors qu’il se situait à 4,4 % en 2019.</w:t>
      </w:r>
      <w:r>
        <w:rPr>
          <w:noProof/>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Les prévisions macroéconomiques du programme de stabilité font état d’une grande incertitude quant à la durée de la pandémie et à son impact économique.</w:t>
      </w:r>
      <w:r>
        <w:rPr>
          <w:rFonts w:ascii="Times New Roman" w:hAnsi="Times New Roman"/>
          <w:noProof/>
          <w:sz w:val="24"/>
          <w:szCs w:val="24"/>
        </w:rPr>
        <w:t xml:space="preserve"> Le programme prévoit que le PIB se contractera de 8 % en 2020 mais se redressera en 2021, en supposant que la situation d’urgence dure jusqu’à la fin du mois de mai 2020 et qu’une reprise progressive de l’activité économique ait lieu ensuite. La forte chute du PIB constitue une circonstance atténuante dans le cadre de l’évaluation du respect par l’Estonie du critère du déficit en 2020.</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Situation budgétaire à moyen terme</w:t>
      </w:r>
    </w:p>
    <w:p>
      <w:pPr>
        <w:spacing w:before="120" w:after="120" w:line="240" w:lineRule="auto"/>
        <w:jc w:val="both"/>
        <w:rPr>
          <w:rFonts w:ascii="Times New Roman" w:eastAsia="Times New Roman" w:hAnsi="Times New Roman" w:cs="Times New Roman"/>
          <w:noProof/>
          <w:sz w:val="24"/>
          <w:szCs w:val="24"/>
          <w:lang w:eastAsia="en-GB"/>
        </w:rPr>
      </w:pPr>
    </w:p>
    <w:p>
      <w:pPr>
        <w:spacing w:before="120" w:after="120" w:line="240" w:lineRule="auto"/>
        <w:jc w:val="both"/>
        <w:rPr>
          <w:rFonts w:ascii="Times New Roman" w:hAnsi="Times New Roman" w:cs="Times New Roman"/>
          <w:noProof/>
          <w:sz w:val="24"/>
          <w:highlight w:val="yellow"/>
        </w:rPr>
      </w:pPr>
      <w:r>
        <w:rPr>
          <w:rFonts w:ascii="Times New Roman" w:hAnsi="Times New Roman"/>
          <w:noProof/>
          <w:sz w:val="24"/>
          <w:szCs w:val="24"/>
        </w:rPr>
        <w:t>Le 13 juillet 2018, l’Estonie a reçu la recommandation de veiller à ce que le taux de croissance nominale des dépenses publiques primaires ne dépasse pas 4,1 % en 2019 (le «critère des dépenses»), ce qui correspond à un ajustement structurel de 0,6 % du PIB</w:t>
      </w:r>
      <w:r>
        <w:rPr>
          <w:rStyle w:val="FootnoteReference"/>
          <w:rFonts w:eastAsiaTheme="minorHAnsi"/>
          <w:noProof/>
        </w:rPr>
        <w:footnoteReference w:id="3"/>
      </w:r>
      <w:r>
        <w:rPr>
          <w:noProof/>
        </w:rPr>
        <w:t>.</w:t>
      </w:r>
      <w:r>
        <w:rPr>
          <w:rFonts w:ascii="Times New Roman" w:hAnsi="Times New Roman"/>
          <w:noProof/>
          <w:sz w:val="24"/>
          <w:szCs w:val="24"/>
        </w:rPr>
        <w:t xml:space="preserve"> Au vu des chiffres effectifs et des prévisions de la Commission, le critère des dépenses a été dépassé, l’écart atteignant 1,7 % du PIB en 2019, ce qui correspond à un écart important. </w:t>
      </w:r>
      <w:r>
        <w:rPr>
          <w:rFonts w:ascii="Times New Roman" w:hAnsi="Times New Roman"/>
          <w:noProof/>
          <w:sz w:val="24"/>
        </w:rPr>
        <w:t>Cette conclusion est également confirmée pour l’ensemble de la période 2018-2019. Le solde structurel est demeuré inchangé en 2019, ce qui fait apparaître un écart de 0,3 % du PIB pour cette année, tout en indiquant un écart important sur l’ensemble de la période 2018-2019. L’évaluation globale laisse donc apparaître un écart important par rapport à la trajectoire d’ajustement recommandée en vue de la réalisation de l’objectif budgétaire à moyen terme en 2019.</w:t>
      </w:r>
    </w:p>
    <w:p>
      <w:pPr>
        <w:spacing w:before="120" w:after="120" w:line="240" w:lineRule="auto"/>
        <w:jc w:val="both"/>
        <w:rPr>
          <w:noProof/>
        </w:rPr>
      </w:pPr>
      <w:r>
        <w:rPr>
          <w:rFonts w:ascii="Times New Roman" w:hAnsi="Times New Roman"/>
          <w:noProof/>
          <w:sz w:val="24"/>
        </w:rPr>
        <w:t>Le programme de stabilité prévoit que le déficit de 10,1 % du PIB en 2020 devrait diminuer en 2021, au moment où l’économie devrait se redresser et la plupart des mesures budgétaires arriver à échéance.</w:t>
      </w:r>
      <w:r>
        <w:rPr>
          <w:noProof/>
        </w:rPr>
        <w:t xml:space="preserve"> </w:t>
      </w:r>
      <w:r>
        <w:rPr>
          <w:rFonts w:ascii="Times New Roman" w:hAnsi="Times New Roman"/>
          <w:noProof/>
          <w:sz w:val="24"/>
        </w:rPr>
        <w:t>La situation budgétaire structurelle devrait s’améliorer, passant d’un déficit de 5,2 % en 2020 à un déficit de 0,8 % du PIB en 2021</w:t>
      </w:r>
      <w:r>
        <w:rPr>
          <w:rStyle w:val="FootnoteReference"/>
          <w:rFonts w:eastAsiaTheme="minorHAnsi"/>
          <w:noProof/>
        </w:rPr>
        <w:footnoteReference w:id="4"/>
      </w:r>
      <w:r>
        <w:rPr>
          <w:rFonts w:ascii="Times New Roman" w:hAnsi="Times New Roman"/>
          <w:noProof/>
          <w:sz w:val="24"/>
        </w:rPr>
        <w:t>. Le programme de stabilité fournit des informations sur les mesures importantes qui ont été prises pour enrayer la pandémie et soutenir l’économie. L’incidence budgétaire de ces mesures de soutien direct y est estimée à 4,3 % du PIB pour 2020. Les perspectives budgétaires à moyen terme restent très incertaines.</w:t>
      </w:r>
    </w:p>
    <w:p>
      <w:pPr>
        <w:spacing w:before="120" w:after="120" w:line="240" w:lineRule="auto"/>
        <w:jc w:val="both"/>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 xml:space="preserve">Autres facteurs mis en avant par l’État membre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une lettre du 12 mai 2020, les autorités estoniennes ont transmis une liste de facteurs pertinents conformément à l’article 2, paragraphe 3, du règlement (CE) nº 1467/97. L’analyse présentée dans les sections précédentes couvre déjà largement les principaux facteurs mis en avant par les autorités. </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 xml:space="preserve"> 4.</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 xml:space="preserve">Selon le programme de stabilité, le déficit public de l’Estonie en 2020 devrait augmenter pour atteindre 10,1 % du PIB, ce qui est supérieur à la valeur de référence de 3 % du PIB prévue par le traité et n’en est pas proche. Ce dépassement anticipé de la valeur de référence est considéré comme exceptionnel, mais pas comme temporaire.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Dans l’ensemble, le déficit anticipé étant nettement supérieur à 3 % du PIB, le dépassement n’est pas temporaire et, compte tenu de tous les facteurs pertinents, l’analyse semble indiquer que le critère du déficit, tel qu’il est défini dans le traité et dans le règlement (CE) nº 1467/1997, n’est pas respecté.</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 xml:space="preserve"> Recommandation du Conseil du 13 juillet 2018 concernant le programme national de réforme de la Roumanie pour 2018 et portant avis du Conseil sur le programme de convergence de la Roumanie pour 2018 (JO C 320 du 10.9.2018, p. 24).</w:t>
      </w:r>
    </w:p>
  </w:footnote>
  <w:footnote w:id="4">
    <w:p>
      <w:pPr>
        <w:pStyle w:val="FootnoteText"/>
      </w:pPr>
      <w:r>
        <w:rPr>
          <w:rStyle w:val="FootnoteReference"/>
        </w:rPr>
        <w:footnoteRef/>
      </w:r>
      <w:r>
        <w:t xml:space="preserve"> Selon les calculs des autorités estoniennes.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7676B7D-EBC9-4D71-AFD1-7C69F1B74B54"/>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Estoni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2BFFC-1CF1-4A82-8125-B436E528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1726</Words>
  <Characters>8786</Characters>
  <Application>Microsoft Office Word</Application>
  <DocSecurity>0</DocSecurity>
  <Lines>175</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2019-05-13T14:09:00Z</cp:lastPrinted>
  <dcterms:created xsi:type="dcterms:W3CDTF">2020-05-19T12:54:00Z</dcterms:created>
  <dcterms:modified xsi:type="dcterms:W3CDTF">2020-05-20T07:55:00Z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