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8E56D04-21A1-4B1E-8642-7815018B8331"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Slovenia</w:t>
      </w:r>
      <w:r>
        <w:rPr>
          <w:noProof/>
        </w:rPr>
        <w:br/>
      </w:r>
      <w:r>
        <w:rPr>
          <w:noProof/>
        </w:rPr>
        <w:br/>
        <w:t>Report prepared in accordance with Article 126(3) of the Treaty on the Functioning of the European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Slovenian authorities on 31 March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surplus in Slovenia reached 0.5% of GDP in 2019, while the general government gross debt stood at 66.1% of GDP. According to the 2020 Stability Programme, Slovenia plans a deficit of 8.1% of GDP in 2020, while debt is planned at 82.4%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Against this background, the Commission has therefore prepared t</w:t>
      </w:r>
      <w:r>
        <w:rPr>
          <w:rFonts w:ascii="Times New Roman" w:eastAsia="Times New Roman" w:hAnsi="Times New Roman" w:cs="Calibri"/>
          <w:noProof/>
          <w:sz w:val="24"/>
          <w:szCs w:val="24"/>
          <w:lang w:eastAsia="en-GB"/>
        </w:rPr>
        <w:t xml:space="preserve">his report, which analyses Slovenia’s compliance with the deficit and debt criteria of the Treaty. It takes into account all relevant factors and gives due consideration to the major economic shock linked to the COVID-19 pandemic. </w:t>
      </w: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lastRenderedPageBreak/>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tbl>
      <w:tblPr>
        <w:tblStyle w:val="TableGrid"/>
        <w:tblW w:w="0" w:type="auto"/>
        <w:tblLook w:val="04A0" w:firstRow="1" w:lastRow="0" w:firstColumn="1" w:lastColumn="0" w:noHBand="0" w:noVBand="1"/>
      </w:tblPr>
      <w:tblGrid>
        <w:gridCol w:w="1154"/>
        <w:gridCol w:w="1172"/>
        <w:gridCol w:w="1152"/>
        <w:gridCol w:w="1152"/>
        <w:gridCol w:w="1152"/>
        <w:gridCol w:w="1152"/>
        <w:gridCol w:w="1154"/>
        <w:gridCol w:w="1154"/>
      </w:tblGrid>
      <w:tr>
        <w:trPr>
          <w:trHeight w:val="603"/>
        </w:trPr>
        <w:tc>
          <w:tcPr>
            <w:tcW w:w="1155" w:type="dxa"/>
          </w:tcPr>
          <w:p>
            <w:pPr>
              <w:keepNext/>
              <w:jc w:val="center"/>
              <w:rPr>
                <w:rFonts w:ascii="Times New Roman" w:eastAsia="Times New Roman" w:hAnsi="Times New Roman" w:cs="Calibri"/>
                <w:noProof/>
                <w:sz w:val="20"/>
                <w:szCs w:val="20"/>
                <w:lang w:eastAsia="en-GB"/>
              </w:rPr>
            </w:pPr>
          </w:p>
        </w:tc>
        <w:tc>
          <w:tcPr>
            <w:tcW w:w="1155" w:type="dxa"/>
          </w:tcPr>
          <w:p>
            <w:pPr>
              <w:keepNext/>
              <w:jc w:val="center"/>
              <w:rPr>
                <w:rFonts w:ascii="Times New Roman" w:eastAsia="Times New Roman" w:hAnsi="Times New Roman" w:cs="Calibri"/>
                <w:noProof/>
                <w:sz w:val="20"/>
                <w:szCs w:val="20"/>
                <w:lang w:eastAsia="en-GB"/>
              </w:rPr>
            </w:pPr>
          </w:p>
        </w:tc>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56"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6"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-1.9</w:t>
            </w: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0.0</w:t>
            </w: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0.7</w:t>
            </w: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0.5</w:t>
            </w:r>
          </w:p>
        </w:tc>
        <w:tc>
          <w:tcPr>
            <w:tcW w:w="1156"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-7.2</w:t>
            </w:r>
          </w:p>
        </w:tc>
        <w:tc>
          <w:tcPr>
            <w:tcW w:w="1156"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-2.1</w:t>
            </w:r>
          </w:p>
        </w:tc>
      </w:tr>
      <w:tr>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78.7</w:t>
            </w: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74.1</w:t>
            </w: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70.4</w:t>
            </w: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66.1</w:t>
            </w:r>
          </w:p>
        </w:tc>
        <w:tc>
          <w:tcPr>
            <w:tcW w:w="1156"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83.7</w:t>
            </w:r>
          </w:p>
        </w:tc>
        <w:tc>
          <w:tcPr>
            <w:tcW w:w="1156"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79.9</w:t>
            </w:r>
          </w:p>
        </w:tc>
      </w:tr>
      <w:tr>
        <w:tc>
          <w:tcPr>
            <w:tcW w:w="1155" w:type="dxa"/>
          </w:tcPr>
          <w:p>
            <w:pPr>
              <w:keepNext/>
              <w:jc w:val="center"/>
              <w:rPr>
                <w:rFonts w:ascii="Times New Roman" w:eastAsia="Times New Roman" w:hAnsi="Times New Roman" w:cs="Calibri"/>
                <w:noProof/>
                <w:sz w:val="20"/>
                <w:szCs w:val="20"/>
                <w:lang w:eastAsia="en-GB"/>
              </w:rPr>
            </w:pPr>
          </w:p>
        </w:tc>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Gap to the debt reduction benchmark</w:t>
            </w:r>
          </w:p>
        </w:tc>
        <w:tc>
          <w:tcPr>
            <w:tcW w:w="1155" w:type="dxa"/>
            <w:vAlign w:val="center"/>
          </w:tcPr>
          <w:p>
            <w:pPr>
              <w:keepNext/>
              <w:jc w:val="center"/>
              <w:rPr>
                <w:rFonts w:ascii="Times New Roman" w:eastAsia="Times New Roman" w:hAnsi="Times New Roman" w:cs="Calibri"/>
                <w:noProof/>
                <w:sz w:val="20"/>
                <w:szCs w:val="20"/>
                <w:lang w:eastAsia="en-GB"/>
              </w:rPr>
            </w:pPr>
          </w:p>
        </w:tc>
        <w:tc>
          <w:tcPr>
            <w:tcW w:w="1155" w:type="dxa"/>
            <w:vAlign w:val="center"/>
          </w:tcPr>
          <w:p>
            <w:pPr>
              <w:keepNext/>
              <w:jc w:val="center"/>
              <w:rPr>
                <w:rFonts w:ascii="Times New Roman" w:eastAsia="Times New Roman" w:hAnsi="Times New Roman" w:cs="Calibri"/>
                <w:noProof/>
                <w:sz w:val="20"/>
                <w:szCs w:val="20"/>
                <w:lang w:eastAsia="en-GB"/>
              </w:rPr>
            </w:pPr>
          </w:p>
        </w:tc>
        <w:tc>
          <w:tcPr>
            <w:tcW w:w="1155" w:type="dxa"/>
            <w:vAlign w:val="center"/>
          </w:tcPr>
          <w:p>
            <w:pPr>
              <w:keepNext/>
              <w:jc w:val="center"/>
              <w:rPr>
                <w:rFonts w:ascii="Times New Roman" w:eastAsia="Times New Roman" w:hAnsi="Times New Roman" w:cs="Calibri"/>
                <w:noProof/>
                <w:sz w:val="20"/>
                <w:szCs w:val="20"/>
                <w:lang w:eastAsia="en-GB"/>
              </w:rPr>
            </w:pP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-6.8</w:t>
            </w:r>
          </w:p>
        </w:tc>
        <w:tc>
          <w:tcPr>
            <w:tcW w:w="1156"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2.8</w:t>
            </w:r>
          </w:p>
        </w:tc>
        <w:tc>
          <w:tcPr>
            <w:tcW w:w="1156"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-2.8</w:t>
            </w:r>
          </w:p>
        </w:tc>
      </w:tr>
      <w:tr>
        <w:tc>
          <w:tcPr>
            <w:tcW w:w="1155" w:type="dxa"/>
          </w:tcPr>
          <w:p>
            <w:pPr>
              <w:keepNext/>
              <w:jc w:val="center"/>
              <w:rPr>
                <w:rFonts w:ascii="Times New Roman" w:eastAsia="Times New Roman" w:hAnsi="Times New Roman" w:cs="Calibri"/>
                <w:noProof/>
                <w:sz w:val="20"/>
                <w:szCs w:val="20"/>
                <w:lang w:eastAsia="en-GB"/>
              </w:rPr>
            </w:pPr>
          </w:p>
        </w:tc>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Change in structural balance</w:t>
            </w: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0.4</w:t>
            </w: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0.6</w:t>
            </w: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-0.2</w:t>
            </w:r>
          </w:p>
        </w:tc>
        <w:tc>
          <w:tcPr>
            <w:tcW w:w="1155" w:type="dxa"/>
            <w:vAlign w:val="center"/>
          </w:tcPr>
          <w:p>
            <w:pPr>
              <w:keepNext/>
              <w:jc w:val="center"/>
              <w:rPr>
                <w:rFonts w:ascii="Times New Roman" w:eastAsia="Times New Roman" w:hAnsi="Times New Roman" w:cs="Calibri"/>
                <w:noProof/>
                <w:sz w:val="20"/>
                <w:szCs w:val="20"/>
                <w:lang w:eastAsia="en-GB"/>
              </w:rPr>
            </w:pPr>
          </w:p>
        </w:tc>
        <w:tc>
          <w:tcPr>
            <w:tcW w:w="1156" w:type="dxa"/>
            <w:vAlign w:val="center"/>
          </w:tcPr>
          <w:p>
            <w:pPr>
              <w:keepNext/>
              <w:jc w:val="center"/>
              <w:rPr>
                <w:rFonts w:ascii="Times New Roman" w:eastAsia="Times New Roman" w:hAnsi="Times New Roman" w:cs="Calibri"/>
                <w:noProof/>
                <w:sz w:val="20"/>
                <w:szCs w:val="20"/>
                <w:lang w:eastAsia="en-GB"/>
              </w:rPr>
            </w:pPr>
          </w:p>
        </w:tc>
        <w:tc>
          <w:tcPr>
            <w:tcW w:w="1156" w:type="dxa"/>
            <w:vAlign w:val="center"/>
          </w:tcPr>
          <w:p>
            <w:pPr>
              <w:keepNext/>
              <w:jc w:val="center"/>
              <w:rPr>
                <w:rFonts w:ascii="Times New Roman" w:eastAsia="Times New Roman" w:hAnsi="Times New Roman" w:cs="Calibri"/>
                <w:noProof/>
                <w:sz w:val="20"/>
                <w:szCs w:val="20"/>
                <w:lang w:eastAsia="en-GB"/>
              </w:rPr>
            </w:pPr>
          </w:p>
        </w:tc>
      </w:tr>
      <w:tr>
        <w:tc>
          <w:tcPr>
            <w:tcW w:w="1155" w:type="dxa"/>
          </w:tcPr>
          <w:p>
            <w:pPr>
              <w:keepNext/>
              <w:jc w:val="center"/>
              <w:rPr>
                <w:rFonts w:ascii="Times New Roman" w:eastAsia="Times New Roman" w:hAnsi="Times New Roman" w:cs="Calibri"/>
                <w:noProof/>
                <w:sz w:val="20"/>
                <w:szCs w:val="20"/>
                <w:lang w:eastAsia="en-GB"/>
              </w:rPr>
            </w:pPr>
          </w:p>
        </w:tc>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Required MLSA</w:t>
            </w: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-1.1</w:t>
            </w: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-2.1</w:t>
            </w:r>
          </w:p>
        </w:tc>
        <w:tc>
          <w:tcPr>
            <w:tcW w:w="1155"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-6.2</w:t>
            </w:r>
          </w:p>
        </w:tc>
        <w:tc>
          <w:tcPr>
            <w:tcW w:w="1155" w:type="dxa"/>
            <w:vAlign w:val="center"/>
          </w:tcPr>
          <w:p>
            <w:pPr>
              <w:keepNext/>
              <w:jc w:val="center"/>
              <w:rPr>
                <w:rFonts w:ascii="Times New Roman" w:eastAsia="Times New Roman" w:hAnsi="Times New Roman" w:cs="Calibri"/>
                <w:noProof/>
                <w:sz w:val="20"/>
                <w:szCs w:val="20"/>
                <w:lang w:eastAsia="en-GB"/>
              </w:rPr>
            </w:pPr>
          </w:p>
        </w:tc>
        <w:tc>
          <w:tcPr>
            <w:tcW w:w="1156" w:type="dxa"/>
            <w:vAlign w:val="center"/>
          </w:tcPr>
          <w:p>
            <w:pPr>
              <w:keepNext/>
              <w:jc w:val="center"/>
              <w:rPr>
                <w:rFonts w:ascii="Times New Roman" w:eastAsia="Times New Roman" w:hAnsi="Times New Roman" w:cs="Calibri"/>
                <w:noProof/>
                <w:sz w:val="20"/>
                <w:szCs w:val="20"/>
                <w:highlight w:val="lightGray"/>
                <w:lang w:eastAsia="en-GB"/>
              </w:rPr>
            </w:pPr>
          </w:p>
        </w:tc>
        <w:tc>
          <w:tcPr>
            <w:tcW w:w="1156" w:type="dxa"/>
            <w:vAlign w:val="center"/>
          </w:tcPr>
          <w:p>
            <w:pPr>
              <w:keepNext/>
              <w:jc w:val="center"/>
              <w:rPr>
                <w:rFonts w:ascii="Times New Roman" w:eastAsia="Times New Roman" w:hAnsi="Times New Roman" w:cs="Calibri"/>
                <w:noProof/>
                <w:sz w:val="20"/>
                <w:szCs w:val="20"/>
                <w:highlight w:val="lightGray"/>
                <w:lang w:eastAsia="en-GB"/>
              </w:rPr>
            </w:pPr>
          </w:p>
        </w:tc>
      </w:tr>
    </w:tbl>
    <w:p>
      <w:pPr>
        <w:keepNext/>
        <w:spacing w:after="0" w:line="240" w:lineRule="auto"/>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 xml:space="preserve">Note: MLSA refers to the Minimum Linear Structural Adjustment </w:t>
      </w:r>
    </w:p>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Eurostat, Commission 2020 spring forecast</w:t>
      </w: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criterion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2020 Stability Programme, Slovenia’s general government deficit in 2020 is planned to reach 8.1% of GDP, above and not close to the Treaty reference value of 3% of GDP. The increase in deficit reflects the planned stimulus of 4.4% of GDP and the effects of the economic contraction.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in 2020 is exceptional, as it results from a severe economic downturn. Taking into account the impact of the COVID-19 pandemic, the Commission 2020 spring forecast projects a contraction of real GDP growth in 2020 by 7.0%.</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would be temporary, based on the Commission 2020 spring forecast, which projects the general government deficit to fall under 3% of GDP in 2021. However, those projections are surrounded by an exceptionally high degree of uncertainty.</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 of GDP Treaty reference value. The planned excess is considered to be exceptional as defined by the Treaty and the </w:t>
      </w:r>
      <w:r>
        <w:rPr>
          <w:rFonts w:ascii="Times New Roman" w:eastAsia="Times New Roman" w:hAnsi="Times New Roman" w:cs="Calibri"/>
          <w:bCs/>
          <w:noProof/>
          <w:sz w:val="24"/>
          <w:lang w:eastAsia="en-GB"/>
        </w:rPr>
        <w:t>Stability and Growth Pact, while the nature of the excess is currently considered temporary</w:t>
      </w:r>
      <w:r>
        <w:rPr>
          <w:rFonts w:ascii="Times New Roman" w:eastAsia="Calibri" w:hAnsi="Times New Roman" w:cs="Times New Roman"/>
          <w:noProof/>
          <w:sz w:val="24"/>
          <w:szCs w:val="24"/>
          <w:lang w:eastAsia="en-GB"/>
        </w:rPr>
        <w:t xml:space="preserve">.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as defined by the Treaty and Regulation (EC) No 1467/97 is not fulfilled.</w:t>
      </w:r>
    </w:p>
    <w:p>
      <w:pPr>
        <w:pStyle w:val="ManualHeading1"/>
        <w:rPr>
          <w:noProof/>
        </w:rPr>
      </w:pPr>
      <w:r>
        <w:rPr>
          <w:noProof/>
        </w:rPr>
        <w:t>3.</w:t>
      </w:r>
      <w:r>
        <w:rPr>
          <w:noProof/>
        </w:rPr>
        <w:tab/>
        <w:t xml:space="preserve">Debt criterion </w:t>
      </w:r>
    </w:p>
    <w:p>
      <w:pPr>
        <w:spacing w:before="120" w:after="120" w:line="240" w:lineRule="auto"/>
        <w:jc w:val="both"/>
        <w:rPr>
          <w:rFonts w:ascii="Times New Roman" w:eastAsia="Calibri" w:hAnsi="Times New Roman" w:cs="Times New Roman"/>
          <w:noProof/>
          <w:sz w:val="24"/>
          <w:szCs w:val="24"/>
          <w:highlight w:val="lightGray"/>
          <w:lang w:eastAsia="en-GB"/>
        </w:rPr>
      </w:pPr>
      <w:r>
        <w:rPr>
          <w:rFonts w:ascii="Times New Roman" w:eastAsia="Calibri" w:hAnsi="Times New Roman" w:cs="Times New Roman"/>
          <w:noProof/>
          <w:sz w:val="24"/>
          <w:szCs w:val="24"/>
          <w:lang w:eastAsia="en-GB"/>
        </w:rPr>
        <w:t xml:space="preserve">The government debt-to-GDP ratio decreased from 70.4% of GDP in 2018 to 66.1% of GDP in 2019. The decline of the ratio was mainly driven by the primary surplus, the denominator effect from increasing nominal GDP and the negative stock-flow adjustments. </w:t>
      </w:r>
    </w:p>
    <w:p>
      <w:pPr>
        <w:spacing w:before="120" w:after="120" w:line="240" w:lineRule="auto"/>
        <w:jc w:val="both"/>
        <w:rPr>
          <w:rFonts w:ascii="Times New Roman" w:eastAsia="Calibri" w:hAnsi="Times New Roman" w:cs="Times New Roman"/>
          <w:noProof/>
          <w:sz w:val="24"/>
          <w:szCs w:val="24"/>
          <w:lang w:eastAsia="en-GB"/>
        </w:rPr>
      </w:pPr>
      <w:r>
        <w:rPr>
          <w:rFonts w:ascii="Times New Roman" w:hAnsi="Times New Roman" w:cs="Times New Roman"/>
          <w:noProof/>
          <w:sz w:val="24"/>
          <w:szCs w:val="24"/>
        </w:rPr>
        <w:t>The notified data show that Slovenia complied with the debt reduction benchmark in 2019, as the gap to the benchmark is 6.8% of GDP.</w:t>
      </w:r>
    </w:p>
    <w:p>
      <w:pPr>
        <w:pStyle w:val="ListDash"/>
        <w:numPr>
          <w:ilvl w:val="0"/>
          <w:numId w:val="0"/>
        </w:numPr>
        <w:rPr>
          <w:noProof/>
        </w:rPr>
      </w:pPr>
      <w:r>
        <w:rPr>
          <w:noProof/>
        </w:rPr>
        <w:t>The analysis thus suggests that the debt criterion is fulfilled based on the 2019 outturn data.</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 xml:space="preserve">Relevant factors </w:t>
      </w:r>
    </w:p>
    <w:p>
      <w:pPr>
        <w:spacing w:before="120" w:after="120" w:line="240" w:lineRule="auto"/>
        <w:jc w:val="both"/>
        <w:rPr>
          <w:rFonts w:eastAsia="Times New Roman" w:cs="Calibri"/>
          <w:bCs/>
          <w:noProof/>
        </w:rPr>
      </w:pPr>
      <w:r>
        <w:rPr>
          <w:rFonts w:ascii="Times New Roman" w:eastAsia="Times New Roman" w:hAnsi="Times New Roman" w:cs="Calibri"/>
          <w:bCs/>
          <w:noProof/>
          <w:sz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rFonts w:eastAsia="Times New Roman" w:cs="Calibri"/>
          <w:bCs/>
          <w:noProof/>
        </w:rPr>
      </w:pPr>
      <w:r>
        <w:rPr>
          <w:rFonts w:ascii="Times New Roman" w:eastAsia="Times New Roman" w:hAnsi="Times New Roman" w:cs="Calibri"/>
          <w:bCs/>
          <w:noProof/>
          <w:sz w:val="24"/>
          <w:lang w:eastAsia="en-GB"/>
        </w:rPr>
        <w:t xml:space="preserve">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As specified in Article 2(4) of Regulation (EC) No 1467/97, as regards compliance with the deficit criterion in 2020,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Slovenia.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In the current situation, a key additional factor to take into consideration regarding 2020 is the economic impact of the COVID-19 pandemic, </w:t>
      </w:r>
      <w:r>
        <w:rPr>
          <w:rFonts w:ascii="Times New Roman" w:hAnsi="Times New Roman" w:cs="Times New Roman"/>
          <w:noProof/>
          <w:sz w:val="24"/>
          <w:szCs w:val="24"/>
          <w:lang w:eastAsia="en-GB"/>
        </w:rPr>
        <w:t>which has a very substantial impact on the budgetary situation and results in a highly uncertain outlook. The pandemic has also led to the activation of the general escape clause</w:t>
      </w:r>
      <w:r>
        <w:rPr>
          <w:rFonts w:ascii="Times New Roman" w:eastAsia="Times New Roman" w:hAnsi="Times New Roman" w:cs="Calibri"/>
          <w:bCs/>
          <w:noProof/>
          <w:sz w:val="24"/>
          <w:lang w:eastAsia="en-GB"/>
        </w:rPr>
        <w: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 xml:space="preserve">COVID-19 pandemic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those measures will contribute to substantially higher government deficit and debt positions.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4.2</w:t>
      </w:r>
      <w:r>
        <w:rPr>
          <w:rFonts w:ascii="Times New Roman" w:eastAsia="Times New Roman" w:hAnsi="Times New Roman" w:cs="Times New Roman"/>
          <w:b/>
          <w:noProof/>
          <w:sz w:val="24"/>
          <w:lang w:eastAsia="en-GB"/>
        </w:rPr>
        <w:tab/>
        <w:t xml:space="preserve">Medium-term economic position </w:t>
      </w:r>
    </w:p>
    <w:p>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Slovenia’s economy grew by 2.4% in 2019. Employment continued to grow unabated and unemployment reached a very low rate of 4.0% in the final quarter. Despite growth moderating in the end of the year, Slovenia entered this crisis in a relatively strong position. </w:t>
      </w:r>
    </w:p>
    <w:p>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 2020, the economy is expected to contract by about 7% based on the Commission 2020 spring forecast. Economic activity is expected to rebound in the second half of 2020, benefiting from the strong policy measures adopted to shore up employment and to cushion income falls for households and</w:t>
      </w:r>
      <w:r>
        <w:rPr>
          <w:rFonts w:ascii="Times New Roman" w:hAnsi="Times New Roman" w:cs="Times New Roman"/>
          <w:noProof/>
          <w:sz w:val="24"/>
          <w:szCs w:val="24"/>
        </w:rPr>
        <w:t xml:space="preserve"> </w:t>
      </w:r>
      <w:r>
        <w:rPr>
          <w:rFonts w:ascii="Times New Roman" w:eastAsia="Times New Roman" w:hAnsi="Times New Roman" w:cs="Times New Roman"/>
          <w:bCs/>
          <w:noProof/>
          <w:sz w:val="24"/>
          <w:szCs w:val="24"/>
          <w:lang w:eastAsia="en-GB"/>
        </w:rPr>
        <w:t>enterprises affected during the downturn. In 2021, growth is projected to reach 6.7%. The near-term outlook includes exceptional degree of uncertainty regarding the duration of the pandemic as well as its economic impact. This is a mitigating factor in the assessment of Slovenia’s compliance with the deficit criterion in 2020.</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4.3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Times New Roman" w:hAnsi="Times New Roman" w:cs="Times New Roman"/>
          <w:noProof/>
          <w:sz w:val="24"/>
          <w:szCs w:val="24"/>
          <w:lang w:eastAsia="en-GB"/>
        </w:rPr>
        <w:t>The headline surplus decreased from 0.7</w:t>
      </w:r>
      <w:r>
        <w:rPr>
          <w:rFonts w:ascii="Times New Roman" w:eastAsia="Calibri" w:hAnsi="Times New Roman" w:cs="Times New Roman"/>
          <w:noProof/>
          <w:sz w:val="24"/>
          <w:szCs w:val="24"/>
          <w:lang w:eastAsia="en-GB"/>
        </w:rPr>
        <w:t xml:space="preserve">% of GDP in 2018 to 0.5% of GDP in 2019. </w:t>
      </w:r>
    </w:p>
    <w:p>
      <w:pPr>
        <w:spacing w:before="120" w:after="120" w:line="240" w:lineRule="auto"/>
        <w:jc w:val="both"/>
        <w:rPr>
          <w:rFonts w:ascii="Times New Roman" w:hAnsi="Times New Roman" w:cs="Times New Roman"/>
          <w:noProof/>
          <w:sz w:val="24"/>
          <w:lang w:eastAsia="en-GB"/>
        </w:rPr>
      </w:pPr>
      <w:r>
        <w:rPr>
          <w:rFonts w:ascii="Times New Roman" w:eastAsia="Times New Roman" w:hAnsi="Times New Roman" w:cs="Times New Roman"/>
          <w:noProof/>
          <w:sz w:val="24"/>
          <w:szCs w:val="24"/>
          <w:lang w:eastAsia="en-GB"/>
        </w:rPr>
        <w:t xml:space="preserve">On 13 July 2018, Slovenia was recommended to ensure that the nominal growth rate of primary government expenditure, </w:t>
      </w:r>
      <w:r>
        <w:rPr>
          <w:rFonts w:ascii="Times New Roman" w:hAnsi="Times New Roman" w:cs="Times New Roman"/>
          <w:noProof/>
          <w:sz w:val="24"/>
          <w:lang w:eastAsia="en-GB"/>
        </w:rPr>
        <w:t>net of discretionary revenue measures and one-offs,</w:t>
      </w:r>
      <w:r>
        <w:rPr>
          <w:rFonts w:ascii="Times New Roman" w:eastAsia="Times New Roman" w:hAnsi="Times New Roman" w:cs="Times New Roman"/>
          <w:noProof/>
          <w:sz w:val="24"/>
          <w:szCs w:val="24"/>
          <w:lang w:eastAsia="en-GB"/>
        </w:rPr>
        <w:t xml:space="preserve"> did not exceed 3.1% in 2019 (‘the expenditure benchmark’), corresponding to a structural adjustment of 0.65% of GDP</w:t>
      </w:r>
      <w:r>
        <w:rPr>
          <w:rStyle w:val="FootnoteReference"/>
          <w:rFonts w:eastAsiaTheme="minorHAnsi"/>
          <w:noProof/>
        </w:rPr>
        <w:footnoteReference w:id="3"/>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lang w:eastAsia="en-GB"/>
        </w:rPr>
        <w:t>The overall assessment points to significant deviation from the recommended adjustment path towards the medium-term budgetary objective in 2019 and over 2018-2019 taken together.</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Stability Programme provides information on substantial measures to contain the pandemic and to support the economy. It estimates the budgetary impact of those direct support measures at 4.4% of GDP in 2020.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fiscal projections in the Commission 2020 spring forecast and the 2020 Stability Programme are subject to a high degree of uncertainty.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4.4.</w:t>
      </w:r>
      <w:r>
        <w:rPr>
          <w:rFonts w:ascii="Times New Roman" w:eastAsia="Times New Roman" w:hAnsi="Times New Roman" w:cs="Times New Roman"/>
          <w:b/>
          <w:noProof/>
          <w:sz w:val="24"/>
          <w:szCs w:val="24"/>
          <w:lang w:eastAsia="en-GB"/>
        </w:rPr>
        <w:tab/>
        <w:t xml:space="preserve">Medium-term government debt position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According to the Commission 2020 spring forecast, general government debt is expected to rise from 66.1% of GDP in 2019 to 83.7% of GDP in 2020.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iCs/>
          <w:noProof/>
          <w:sz w:val="24"/>
          <w:lang w:eastAsia="en-GB"/>
        </w:rPr>
        <w:t>The debt sustainability analysis has been updated with the Commission 2020 spring forecast. That analysis confirms that, notwithstanding risks, the debt position remains sustainable over the medium-term in Slovenia, which takes account of important mitigating factors (including the debt profile and the historically low level of interest rates</w:t>
      </w:r>
      <w:r>
        <w:rPr>
          <w:rFonts w:ascii="Times New Roman" w:eastAsia="Times New Roman" w:hAnsi="Times New Roman" w:cs="Times New Roman"/>
          <w:noProof/>
          <w:sz w:val="24"/>
          <w:lang w:eastAsia="en-GB"/>
        </w:rPr>
        <w:t>). In particular, while the government debt position has deteriorated as a result of the COVID-19 crisis, the debt-to-GDP ratio in the baseline is expected to be on a sustainable (declining) trajectory over the medium term</w:t>
      </w:r>
      <w:r>
        <w:rPr>
          <w:rStyle w:val="FootnoteReference"/>
          <w:rFonts w:eastAsiaTheme="minorHAnsi"/>
          <w:iCs/>
          <w:noProof/>
        </w:rPr>
        <w:footnoteReference w:id="4"/>
      </w:r>
      <w:r>
        <w:rPr>
          <w:rFonts w:ascii="Times New Roman" w:eastAsia="Times New Roman" w:hAnsi="Times New Roman" w:cs="Times New Roman"/>
          <w:noProof/>
          <w:sz w:val="24"/>
          <w:lang w:eastAsia="en-GB"/>
        </w:rPr>
        <w:t>.</w:t>
      </w:r>
      <w:r>
        <w:rPr>
          <w:noProof/>
        </w:rPr>
        <w:t xml:space="preserve"> </w:t>
      </w:r>
    </w:p>
    <w:p>
      <w:pPr>
        <w:keepNext/>
        <w:spacing w:before="120" w:after="120" w:line="240" w:lineRule="auto"/>
        <w:jc w:val="center"/>
        <w:rPr>
          <w:rFonts w:ascii="Times New Roman" w:eastAsia="Times New Roman" w:hAnsi="Times New Roman" w:cs="Times New Roman"/>
          <w:b/>
          <w:iCs/>
          <w:noProof/>
          <w:sz w:val="24"/>
          <w:lang w:eastAsia="en-GB"/>
        </w:rPr>
      </w:pPr>
      <w:r>
        <w:rPr>
          <w:rFonts w:ascii="Times New Roman" w:eastAsia="Times New Roman" w:hAnsi="Times New Roman" w:cs="Times New Roman"/>
          <w:b/>
          <w:iCs/>
          <w:noProof/>
          <w:sz w:val="24"/>
          <w:lang w:eastAsia="en-GB"/>
        </w:rPr>
        <w:t>Graph 1. Government debt-to-GDP ratio, Slovenia, % of GDP</w:t>
      </w:r>
    </w:p>
    <w:p>
      <w:pPr>
        <w:spacing w:before="120" w:after="120" w:line="240" w:lineRule="auto"/>
        <w:jc w:val="center"/>
        <w:rPr>
          <w:rFonts w:ascii="Times New Roman" w:eastAsia="Times New Roman" w:hAnsi="Times New Roman" w:cs="Times New Roman"/>
          <w:noProof/>
          <w:sz w:val="24"/>
          <w:lang w:eastAsia="en-GB"/>
        </w:rPr>
      </w:pPr>
      <w:r>
        <w:rPr>
          <w:noProof/>
          <w:lang w:eastAsia="en-GB"/>
        </w:rPr>
        <w:drawing>
          <wp:inline distT="0" distB="0" distL="0" distR="0">
            <wp:extent cx="3815029" cy="176465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3680" cy="1773279"/>
                    </a:xfrm>
                    <a:prstGeom prst="rect">
                      <a:avLst/>
                    </a:prstGeom>
                  </pic:spPr>
                </pic:pic>
              </a:graphicData>
            </a:graphic>
          </wp:inline>
        </w:drawing>
      </w:r>
    </w:p>
    <w:p>
      <w:pPr>
        <w:spacing w:before="120" w:after="120" w:line="240" w:lineRule="auto"/>
        <w:ind w:firstLine="720"/>
        <w:rPr>
          <w:rFonts w:ascii="Times New Roman" w:eastAsia="Times New Roman" w:hAnsi="Times New Roman" w:cs="Times New Roman"/>
          <w:noProof/>
          <w:sz w:val="20"/>
          <w:lang w:eastAsia="en-GB"/>
        </w:rPr>
      </w:pPr>
      <w:r>
        <w:rPr>
          <w:rFonts w:ascii="Times New Roman" w:eastAsia="Times New Roman" w:hAnsi="Times New Roman" w:cs="Times New Roman"/>
          <w:b/>
          <w:noProof/>
          <w:sz w:val="20"/>
          <w:lang w:eastAsia="en-GB"/>
        </w:rPr>
        <w:t>Source:</w:t>
      </w:r>
      <w:r>
        <w:rPr>
          <w:rFonts w:ascii="Times New Roman" w:eastAsia="Times New Roman" w:hAnsi="Times New Roman" w:cs="Times New Roman"/>
          <w:noProof/>
          <w:sz w:val="20"/>
          <w:lang w:eastAsia="en-GB"/>
        </w:rPr>
        <w:t xml:space="preserve"> Commission services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4.5</w:t>
      </w:r>
      <w:r>
        <w:rPr>
          <w:rFonts w:ascii="Times New Roman" w:eastAsia="Times New Roman" w:hAnsi="Times New Roman" w:cs="Times New Roman"/>
          <w:b/>
          <w:noProof/>
          <w:sz w:val="24"/>
          <w:lang w:eastAsia="en-GB"/>
        </w:rPr>
        <w:tab/>
        <w:t>Other factors put forward by the Member State</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On 12 May 2020, the Slovenian authorities transmitted a letter with relevant factors in accordance with Article 2(3) of Regulation (EC) No 1467/97. The analysis presented in the previous sections already covers the key factors put forward by the authorities. </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5.</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According to the 2020 Stability Programme, Slovenia’s general government deficit in 2020 is planned to reach 8.1% of GDP, above and not close to the 3% of GDP Treaty reference value. The planned excess over the reference value is considered to be exceptional and currently considered to be temporary.</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The general government gross debt stood </w:t>
      </w:r>
      <w:r>
        <w:rPr>
          <w:rFonts w:ascii="Times New Roman" w:eastAsia="Times New Roman" w:hAnsi="Times New Roman" w:cs="Times New Roman"/>
          <w:bCs/>
          <w:noProof/>
          <w:sz w:val="24"/>
          <w:szCs w:val="24"/>
          <w:lang w:eastAsia="en-GB"/>
        </w:rPr>
        <w:t>at 66.1% of GDP at the end of 2019, above the 60% of GDP Treaty reference value. Slovenia complied with the debt reduction benchmark in 2019.</w:t>
      </w:r>
      <w:r>
        <w:rPr>
          <w:rFonts w:ascii="Times New Roman" w:eastAsia="Times New Roman" w:hAnsi="Times New Roman" w:cs="Calibri"/>
          <w:bCs/>
          <w:noProof/>
          <w:sz w:val="24"/>
          <w:lang w:eastAsia="en-GB"/>
        </w:rPr>
        <w:t xml:space="preserv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As specified in Article 2(4) of Regulation (EC) No 1467/97, as regards compliance with the deficit criterion in 2020, h</w:t>
      </w:r>
      <w:r>
        <w:rPr>
          <w:rFonts w:ascii="Times New Roman" w:eastAsia="Times New Roman" w:hAnsi="Times New Roman" w:cs="Times New Roman"/>
          <w:noProof/>
          <w:sz w:val="24"/>
          <w:lang w:eastAsia="en-GB"/>
        </w:rPr>
        <w:t>owever, since</w:t>
      </w:r>
      <w:r>
        <w:rPr>
          <w:rFonts w:ascii="Times New Roman" w:eastAsia="Times New Roman" w:hAnsi="Times New Roman" w:cs="Calibri"/>
          <w:bCs/>
          <w:noProof/>
          <w:sz w:val="24"/>
          <w:lang w:eastAsia="en-GB"/>
        </w:rPr>
        <w:t xml:space="preserv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Slovenia.</w:t>
      </w:r>
      <w:r>
        <w:rPr>
          <w:rFonts w:ascii="Times New Roman" w:eastAsia="Times New Roman" w:hAnsi="Times New Roman" w:cs="Times New Roman"/>
          <w:noProof/>
          <w:sz w:val="24"/>
          <w:lang w:eastAsia="en-GB"/>
        </w:rPr>
        <w:t xml:space="preserv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Overall, the analysis suggests that the deficit criterion as defined in the Treaty and in Regulation (EC) No 1467/1997 is not fulfilled.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ind w:left="142" w:hanging="142"/>
      </w:pPr>
      <w:r>
        <w:rPr>
          <w:rStyle w:val="FootnoteReference"/>
        </w:rPr>
        <w:footnoteRef/>
      </w:r>
      <w:r>
        <w:t xml:space="preserve"> Council Recommendation of 13 July 2018 on the 2018 National Reform Programme of Slovenia and delivering a Council opinion on the 2018 Stability Programme of Slovenia (OJ C 320, 10.9.2018, p. 103).</w:t>
      </w:r>
    </w:p>
  </w:footnote>
  <w:footnote w:id="4">
    <w:p>
      <w:pPr>
        <w:pStyle w:val="FootnoteText"/>
        <w:ind w:left="142" w:hanging="142"/>
      </w:pPr>
      <w:r>
        <w:rPr>
          <w:rStyle w:val="FootnoteReference"/>
        </w:rPr>
        <w:footnoteRef/>
      </w:r>
      <w:r>
        <w:t xml:space="preserve"> The baseline is based on the Commission Spring 2020 forecast. Beyond 2021, a gradual adjustment of fiscal policy is assumed, consistent with the EU economic and fiscal coordination and surveillance frameworks. Real GDP growth is projected according to the so-called EPC/OGWG T+10 methodology. In particular, (real) actual GDP growth is driven by its potential growth and affected by any additional fiscal adjustment considered (through the fiscal multiplier). Inflation is assumed to converge gradually to 2%. Interest rates assumptions are set in line with financial market expectations. Under the adverse scenario, higher interest rates (by 500 bps.) and lower GDP growth (by -0.5 pp.), with respect to the baseline, are assumed (throughout the projection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8E56D04-21A1-4B1E-8642-7815018B8331"/>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lovenia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26989626">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05625891">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275821425">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258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FDE53-2AD0-4511-8499-ED8B1A8F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1854</Words>
  <Characters>9793</Characters>
  <Application>Microsoft Office Word</Application>
  <DocSecurity>0</DocSecurity>
  <Lines>217</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16</cp:revision>
  <cp:lastPrinted>2019-05-13T14:09:00Z</cp:lastPrinted>
  <dcterms:created xsi:type="dcterms:W3CDTF">2020-05-18T15:05:00Z</dcterms:created>
  <dcterms:modified xsi:type="dcterms:W3CDTF">2020-05-19T15:52:00Z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