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1837903-C3BE-4EA6-B45E-34A56EF783DA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956"/>
          <w:tab w:val="center" w:pos="453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Progress in the implementation of Directive 2009/128/EC </w:t>
      </w:r>
    </w:p>
    <w:p>
      <w:p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Graph 1. </w:t>
      </w:r>
      <w:r>
        <w:rPr>
          <w:rFonts w:ascii="Times New Roman" w:hAnsi="Times New Roman" w:cs="Times New Roman"/>
          <w:noProof/>
          <w:sz w:val="24"/>
          <w:szCs w:val="24"/>
        </w:rPr>
        <w:t>Percentage implementation of selected requirements of Directive 2009/128/EC at EU level in 2017 and 2019</w:t>
      </w:r>
    </w:p>
    <w:p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79008" cy="2976880"/>
            <wp:effectExtent l="0" t="0" r="12700" b="1397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Source: DG Health and Food Safety</w:t>
      </w:r>
    </w:p>
    <w:p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Graph 2. </w:t>
      </w:r>
      <w:r>
        <w:rPr>
          <w:rFonts w:ascii="Times New Roman" w:hAnsi="Times New Roman" w:cs="Times New Roman"/>
          <w:noProof/>
          <w:sz w:val="24"/>
          <w:szCs w:val="24"/>
        </w:rPr>
        <w:t>Percentage change in the implementation of selected requirements of Directive 2009/128/EC at EU level from 2017 to 2019</w:t>
      </w:r>
    </w:p>
    <w:p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5760720" cy="2860243"/>
            <wp:effectExtent l="0" t="0" r="11430" b="1651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after="24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Source: DG Health and Food Safety</w:t>
      </w:r>
    </w:p>
    <w:p>
      <w:p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Graph 3. </w:t>
      </w:r>
      <w:r>
        <w:rPr>
          <w:rFonts w:ascii="Times New Roman" w:hAnsi="Times New Roman" w:cs="Times New Roman"/>
          <w:noProof/>
          <w:sz w:val="24"/>
          <w:szCs w:val="24"/>
        </w:rPr>
        <w:t>Change in the overall level of implementation of Directive 2009/128/EC from 2017 to 2019 in each Member State</w:t>
      </w:r>
    </w:p>
    <w:p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5760720" cy="3979469"/>
            <wp:effectExtent l="0" t="0" r="1143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noProof/>
          <w:sz w:val="20"/>
          <w:szCs w:val="20"/>
          <w:highlight w:val="green"/>
        </w:rPr>
      </w:pPr>
      <w:r>
        <w:rPr>
          <w:rFonts w:ascii="Times New Roman" w:hAnsi="Times New Roman" w:cs="Times New Roman"/>
          <w:noProof/>
          <w:sz w:val="20"/>
          <w:szCs w:val="20"/>
        </w:rPr>
        <w:t>Source: DG Health and Food Safety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  <w:highlight w:val="green"/>
        </w:rPr>
      </w:pPr>
    </w:p>
    <w:p>
      <w:pPr>
        <w:rPr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98644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1837903-C3BE-4EA6-B45E-34A56EF783DA"/>
    <w:docVar w:name="LW_COVERPAGE_TYPE" w:val="1"/>
    <w:docVar w:name="LW_CROSSREFERENCE" w:val="&lt;UNUSED&gt;"/>
    <w:docVar w:name="LW_DocType" w:val="NORMAL"/>
    <w:docVar w:name="LW_EMISSION" w:val="20.5.2020"/>
    <w:docVar w:name="LW_EMISSION_ISODATE" w:val="2020-05-2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experience gained by the Member States on the implementation of national targets established in their National Action Plans and on progress in the implementation of Directive 2009/128/EC on the sustaibable use of pesticides"/>
    <w:docVar w:name="LW_PART_NBR" w:val="1"/>
    <w:docVar w:name="LW_PART_NBR_TOTAL" w:val="1"/>
    <w:docVar w:name="LW_REF.INST.NEW" w:val="COM"/>
    <w:docVar w:name="LW_REF.INST.NEW_ADOPTED" w:val="final"/>
    <w:docVar w:name="LW_REF.INST.NEW_TEXT" w:val="(2020) 2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O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Relationship Id="rId4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10796375296122"/>
          <c:y val="7.8541920133493148E-2"/>
          <c:w val="0.85332705053356261"/>
          <c:h val="0.674120794089013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Sheet1!$J$1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Sheet1!$I$2:$I$11</c:f>
              <c:strCache>
                <c:ptCount val="10"/>
                <c:pt idx="0">
                  <c:v>Aerial Spraying</c:v>
                </c:pt>
                <c:pt idx="1">
                  <c:v>Handling and Storage</c:v>
                </c:pt>
                <c:pt idx="2">
                  <c:v>IPM - Promotion</c:v>
                </c:pt>
                <c:pt idx="3">
                  <c:v>IPM - Enforcement</c:v>
                </c:pt>
                <c:pt idx="4">
                  <c:v>National Action Plan</c:v>
                </c:pt>
                <c:pt idx="5">
                  <c:v>Application Equipment</c:v>
                </c:pt>
                <c:pt idx="6">
                  <c:v>PPP use in specific areas</c:v>
                </c:pt>
                <c:pt idx="7">
                  <c:v>Requirements on sales of PPPs</c:v>
                </c:pt>
                <c:pt idx="8">
                  <c:v>Training</c:v>
                </c:pt>
                <c:pt idx="9">
                  <c:v>Water Protection</c:v>
                </c:pt>
              </c:strCache>
            </c:strRef>
          </c:cat>
          <c:val>
            <c:numRef>
              <c:f>Sheet1!$J$2:$J$11</c:f>
              <c:numCache>
                <c:formatCode>0</c:formatCode>
                <c:ptCount val="10"/>
                <c:pt idx="0">
                  <c:v>86.857142857142861</c:v>
                </c:pt>
                <c:pt idx="1">
                  <c:v>74.785714285714292</c:v>
                </c:pt>
                <c:pt idx="2">
                  <c:v>68.821428571428569</c:v>
                </c:pt>
                <c:pt idx="3">
                  <c:v>33.142857142857146</c:v>
                </c:pt>
                <c:pt idx="4">
                  <c:v>42.888888888888886</c:v>
                </c:pt>
                <c:pt idx="5">
                  <c:v>31.964285714285715</c:v>
                </c:pt>
                <c:pt idx="6">
                  <c:v>80.892857142857139</c:v>
                </c:pt>
                <c:pt idx="7">
                  <c:v>91.625</c:v>
                </c:pt>
                <c:pt idx="8">
                  <c:v>59.25</c:v>
                </c:pt>
                <c:pt idx="9">
                  <c:v>58.071428571428569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D5-4726-AA0B-88C2892578C2}"/>
            </c:ext>
          </c:extLst>
        </c:ser>
        <c:ser>
          <c:idx val="1"/>
          <c:order val="1"/>
          <c:tx>
            <c:strRef>
              <c:f>Sheet1!$K$1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Sheet1!$I$2:$I$11</c:f>
              <c:strCache>
                <c:ptCount val="10"/>
                <c:pt idx="0">
                  <c:v>Aerial Spraying</c:v>
                </c:pt>
                <c:pt idx="1">
                  <c:v>Handling and Storage</c:v>
                </c:pt>
                <c:pt idx="2">
                  <c:v>IPM - Promotion</c:v>
                </c:pt>
                <c:pt idx="3">
                  <c:v>IPM - Enforcement</c:v>
                </c:pt>
                <c:pt idx="4">
                  <c:v>National Action Plan</c:v>
                </c:pt>
                <c:pt idx="5">
                  <c:v>Application Equipment</c:v>
                </c:pt>
                <c:pt idx="6">
                  <c:v>PPP use in specific areas</c:v>
                </c:pt>
                <c:pt idx="7">
                  <c:v>Requirements on sales of PPPs</c:v>
                </c:pt>
                <c:pt idx="8">
                  <c:v>Training</c:v>
                </c:pt>
                <c:pt idx="9">
                  <c:v>Water Protection</c:v>
                </c:pt>
              </c:strCache>
            </c:strRef>
          </c:cat>
          <c:val>
            <c:numRef>
              <c:f>Sheet1!$K$2:$K$11</c:f>
              <c:numCache>
                <c:formatCode>0</c:formatCode>
                <c:ptCount val="10"/>
                <c:pt idx="0">
                  <c:v>91.607142857142861</c:v>
                </c:pt>
                <c:pt idx="1">
                  <c:v>75.964285714285708</c:v>
                </c:pt>
                <c:pt idx="2">
                  <c:v>74.75</c:v>
                </c:pt>
                <c:pt idx="3">
                  <c:v>34.321428571428569</c:v>
                </c:pt>
                <c:pt idx="4">
                  <c:v>53.214285714285715</c:v>
                </c:pt>
                <c:pt idx="5">
                  <c:v>41.428571428571431</c:v>
                </c:pt>
                <c:pt idx="6">
                  <c:v>83.25</c:v>
                </c:pt>
                <c:pt idx="7">
                  <c:v>93.6875</c:v>
                </c:pt>
                <c:pt idx="8">
                  <c:v>67.571428571428569</c:v>
                </c:pt>
                <c:pt idx="9">
                  <c:v>61.642857142857146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D5-4726-AA0B-88C2892578C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226624"/>
        <c:axId val="65253376"/>
      </c:barChart>
      <c:catAx>
        <c:axId val="65226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 sz="1200" b="1"/>
                  <a:t>Requirements of Directive 2009/128/EC</a:t>
                </a:r>
              </a:p>
            </c:rich>
          </c:tx>
          <c:layout>
            <c:manualLayout>
              <c:xMode val="edge"/>
              <c:yMode val="edge"/>
              <c:x val="0.30619072024280986"/>
              <c:y val="0.8873184256702973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253376"/>
        <c:crosses val="autoZero"/>
        <c:auto val="1"/>
        <c:lblAlgn val="ctr"/>
        <c:lblOffset val="100"/>
        <c:noMultiLvlLbl val="0"/>
      </c:catAx>
      <c:valAx>
        <c:axId val="6525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 sz="1200" b="1"/>
                  <a:t>Percentage</a:t>
                </a:r>
                <a:r>
                  <a:rPr lang="en-IE"/>
                  <a:t> </a:t>
                </a:r>
                <a:r>
                  <a:rPr lang="en-IE" sz="1200" b="1"/>
                  <a:t>implementation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22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814905955859489"/>
          <c:y val="2.937983341157685E-2"/>
          <c:w val="0.16302115957208504"/>
          <c:h val="6.0245644493519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410455637489758"/>
          <c:y val="4.5793028191542053E-2"/>
          <c:w val="0.8316450027079948"/>
          <c:h val="0.70592199381965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Average of % Increased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92D05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04-4DAD-8500-C6C7F75EF9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Sheet2!$A$2:$A$12</c:f>
              <c:strCache>
                <c:ptCount val="11"/>
                <c:pt idx="0">
                  <c:v>Aerial Spraying</c:v>
                </c:pt>
                <c:pt idx="1">
                  <c:v>Handling and Storage</c:v>
                </c:pt>
                <c:pt idx="2">
                  <c:v>IPM - Promotion</c:v>
                </c:pt>
                <c:pt idx="3">
                  <c:v>IPM - Enforcement</c:v>
                </c:pt>
                <c:pt idx="4">
                  <c:v>National Action Plan</c:v>
                </c:pt>
                <c:pt idx="5">
                  <c:v>Aplication Equipment</c:v>
                </c:pt>
                <c:pt idx="6">
                  <c:v>PPP use in specific areas</c:v>
                </c:pt>
                <c:pt idx="7">
                  <c:v>Requirements on sales of PPPs</c:v>
                </c:pt>
                <c:pt idx="8">
                  <c:v>Training</c:v>
                </c:pt>
                <c:pt idx="9">
                  <c:v>Water protection</c:v>
                </c:pt>
                <c:pt idx="10">
                  <c:v>Average Change</c:v>
                </c:pt>
              </c:strCache>
            </c:strRef>
          </c:cat>
          <c:val>
            <c:numRef>
              <c:f>Sheet2!$B$2:$B$12</c:f>
              <c:numCache>
                <c:formatCode>0%</c:formatCode>
                <c:ptCount val="11"/>
                <c:pt idx="0">
                  <c:v>0.05</c:v>
                </c:pt>
                <c:pt idx="1">
                  <c:v>0.02</c:v>
                </c:pt>
                <c:pt idx="2">
                  <c:v>0.09</c:v>
                </c:pt>
                <c:pt idx="3">
                  <c:v>0.04</c:v>
                </c:pt>
                <c:pt idx="4">
                  <c:v>0.24</c:v>
                </c:pt>
                <c:pt idx="5">
                  <c:v>0.3</c:v>
                </c:pt>
                <c:pt idx="6">
                  <c:v>0.03</c:v>
                </c:pt>
                <c:pt idx="7">
                  <c:v>0.02</c:v>
                </c:pt>
                <c:pt idx="8">
                  <c:v>0.14000000000000001</c:v>
                </c:pt>
                <c:pt idx="9">
                  <c:v>0.06</c:v>
                </c:pt>
                <c:pt idx="1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04-4DAD-8500-C6C7F75EF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83296"/>
        <c:axId val="89385216"/>
      </c:barChart>
      <c:catAx>
        <c:axId val="89383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IE" sz="1200"/>
                  <a:t>Requirements of Directive 2009/128/EC</a:t>
                </a:r>
              </a:p>
            </c:rich>
          </c:tx>
          <c:layout>
            <c:manualLayout>
              <c:xMode val="edge"/>
              <c:yMode val="edge"/>
              <c:x val="0.31475180185810109"/>
              <c:y val="0.8714344868574249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89385216"/>
        <c:crosses val="autoZero"/>
        <c:auto val="1"/>
        <c:lblAlgn val="ctr"/>
        <c:lblOffset val="100"/>
        <c:noMultiLvlLbl val="0"/>
      </c:catAx>
      <c:valAx>
        <c:axId val="89385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IE" sz="1200"/>
                  <a:t>Percentage</a:t>
                </a:r>
                <a:r>
                  <a:rPr lang="en-IE" sz="1200" baseline="0"/>
                  <a:t> change in implementation</a:t>
                </a:r>
                <a:endParaRPr lang="en-IE" sz="1200"/>
              </a:p>
            </c:rich>
          </c:tx>
          <c:layout>
            <c:manualLayout>
              <c:xMode val="edge"/>
              <c:yMode val="edge"/>
              <c:x val="1.1331222486078131E-2"/>
              <c:y val="0.15607718773164009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893832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43865350164562"/>
          <c:y val="5.0206733608978142E-2"/>
          <c:w val="0.87051549111916571"/>
          <c:h val="0.71263005148573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'Pivot MS'!$B$41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'Pivot MS'!$A$42:$A$69</c:f>
              <c:strCache>
                <c:ptCount val="28"/>
                <c:pt idx="0">
                  <c:v>Austria</c:v>
                </c:pt>
                <c:pt idx="1">
                  <c:v>Belgium</c:v>
                </c:pt>
                <c:pt idx="2">
                  <c:v>Bulgaria </c:v>
                </c:pt>
                <c:pt idx="3">
                  <c:v>Croatia</c:v>
                </c:pt>
                <c:pt idx="4">
                  <c:v>Cyprus</c:v>
                </c:pt>
                <c:pt idx="5">
                  <c:v>Czech Rep</c:v>
                </c:pt>
                <c:pt idx="6">
                  <c:v>Denmark</c:v>
                </c:pt>
                <c:pt idx="7">
                  <c:v>Estonia</c:v>
                </c:pt>
                <c:pt idx="8">
                  <c:v>Finland</c:v>
                </c:pt>
                <c:pt idx="9">
                  <c:v>France</c:v>
                </c:pt>
                <c:pt idx="10">
                  <c:v>Germany</c:v>
                </c:pt>
                <c:pt idx="11">
                  <c:v>Greece</c:v>
                </c:pt>
                <c:pt idx="12">
                  <c:v>Hungary</c:v>
                </c:pt>
                <c:pt idx="13">
                  <c:v>Ireland</c:v>
                </c:pt>
                <c:pt idx="14">
                  <c:v>Italy</c:v>
                </c:pt>
                <c:pt idx="15">
                  <c:v>Latvia</c:v>
                </c:pt>
                <c:pt idx="16">
                  <c:v>Lithuania</c:v>
                </c:pt>
                <c:pt idx="17">
                  <c:v>Luxemburg</c:v>
                </c:pt>
                <c:pt idx="18">
                  <c:v>Malta</c:v>
                </c:pt>
                <c:pt idx="19">
                  <c:v>Netherlands</c:v>
                </c:pt>
                <c:pt idx="20">
                  <c:v>Poland</c:v>
                </c:pt>
                <c:pt idx="21">
                  <c:v>Portugal</c:v>
                </c:pt>
                <c:pt idx="22">
                  <c:v>Romania</c:v>
                </c:pt>
                <c:pt idx="23">
                  <c:v>Slovakia</c:v>
                </c:pt>
                <c:pt idx="24">
                  <c:v>Slovenia</c:v>
                </c:pt>
                <c:pt idx="25">
                  <c:v>Spain</c:v>
                </c:pt>
                <c:pt idx="26">
                  <c:v>Sweden</c:v>
                </c:pt>
                <c:pt idx="27">
                  <c:v>UK</c:v>
                </c:pt>
              </c:strCache>
            </c:strRef>
          </c:cat>
          <c:val>
            <c:numRef>
              <c:f>'Pivot MS'!$B$42:$B$69</c:f>
              <c:numCache>
                <c:formatCode>0</c:formatCode>
                <c:ptCount val="28"/>
                <c:pt idx="0">
                  <c:v>62.777777777777779</c:v>
                </c:pt>
                <c:pt idx="1">
                  <c:v>70.222222222222229</c:v>
                </c:pt>
                <c:pt idx="2">
                  <c:v>33.200000000000003</c:v>
                </c:pt>
                <c:pt idx="3">
                  <c:v>74.875</c:v>
                </c:pt>
                <c:pt idx="4">
                  <c:v>53</c:v>
                </c:pt>
                <c:pt idx="5">
                  <c:v>55.444444444444443</c:v>
                </c:pt>
                <c:pt idx="6">
                  <c:v>83.3</c:v>
                </c:pt>
                <c:pt idx="7">
                  <c:v>73.777777777777771</c:v>
                </c:pt>
                <c:pt idx="8">
                  <c:v>81.333333333333329</c:v>
                </c:pt>
                <c:pt idx="9">
                  <c:v>49.8</c:v>
                </c:pt>
                <c:pt idx="10">
                  <c:v>86.5</c:v>
                </c:pt>
                <c:pt idx="11">
                  <c:v>39.799999999999997</c:v>
                </c:pt>
                <c:pt idx="12">
                  <c:v>53.1</c:v>
                </c:pt>
                <c:pt idx="13">
                  <c:v>46.3</c:v>
                </c:pt>
                <c:pt idx="14">
                  <c:v>66.5</c:v>
                </c:pt>
                <c:pt idx="15">
                  <c:v>70.222222222222229</c:v>
                </c:pt>
                <c:pt idx="16">
                  <c:v>51.666666666666664</c:v>
                </c:pt>
                <c:pt idx="17">
                  <c:v>46.5</c:v>
                </c:pt>
                <c:pt idx="18">
                  <c:v>40.555555555555557</c:v>
                </c:pt>
                <c:pt idx="19">
                  <c:v>86.5</c:v>
                </c:pt>
                <c:pt idx="20">
                  <c:v>73.099999999999994</c:v>
                </c:pt>
                <c:pt idx="21">
                  <c:v>56.5</c:v>
                </c:pt>
                <c:pt idx="22">
                  <c:v>48</c:v>
                </c:pt>
                <c:pt idx="23">
                  <c:v>51.555555555555557</c:v>
                </c:pt>
                <c:pt idx="24">
                  <c:v>88.777777777777771</c:v>
                </c:pt>
                <c:pt idx="25">
                  <c:v>39.700000000000003</c:v>
                </c:pt>
                <c:pt idx="26">
                  <c:v>79.8</c:v>
                </c:pt>
                <c:pt idx="27">
                  <c:v>66.599999999999994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C6-477B-B646-AE1974ACAD74}"/>
            </c:ext>
          </c:extLst>
        </c:ser>
        <c:ser>
          <c:idx val="1"/>
          <c:order val="1"/>
          <c:tx>
            <c:strRef>
              <c:f>'Pivot MS'!$C$41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'Pivot MS'!$A$42:$A$69</c:f>
              <c:strCache>
                <c:ptCount val="28"/>
                <c:pt idx="0">
                  <c:v>Austria</c:v>
                </c:pt>
                <c:pt idx="1">
                  <c:v>Belgium</c:v>
                </c:pt>
                <c:pt idx="2">
                  <c:v>Bulgaria </c:v>
                </c:pt>
                <c:pt idx="3">
                  <c:v>Croatia</c:v>
                </c:pt>
                <c:pt idx="4">
                  <c:v>Cyprus</c:v>
                </c:pt>
                <c:pt idx="5">
                  <c:v>Czech Rep</c:v>
                </c:pt>
                <c:pt idx="6">
                  <c:v>Denmark</c:v>
                </c:pt>
                <c:pt idx="7">
                  <c:v>Estonia</c:v>
                </c:pt>
                <c:pt idx="8">
                  <c:v>Finland</c:v>
                </c:pt>
                <c:pt idx="9">
                  <c:v>France</c:v>
                </c:pt>
                <c:pt idx="10">
                  <c:v>Germany</c:v>
                </c:pt>
                <c:pt idx="11">
                  <c:v>Greece</c:v>
                </c:pt>
                <c:pt idx="12">
                  <c:v>Hungary</c:v>
                </c:pt>
                <c:pt idx="13">
                  <c:v>Ireland</c:v>
                </c:pt>
                <c:pt idx="14">
                  <c:v>Italy</c:v>
                </c:pt>
                <c:pt idx="15">
                  <c:v>Latvia</c:v>
                </c:pt>
                <c:pt idx="16">
                  <c:v>Lithuania</c:v>
                </c:pt>
                <c:pt idx="17">
                  <c:v>Luxemburg</c:v>
                </c:pt>
                <c:pt idx="18">
                  <c:v>Malta</c:v>
                </c:pt>
                <c:pt idx="19">
                  <c:v>Netherlands</c:v>
                </c:pt>
                <c:pt idx="20">
                  <c:v>Poland</c:v>
                </c:pt>
                <c:pt idx="21">
                  <c:v>Portugal</c:v>
                </c:pt>
                <c:pt idx="22">
                  <c:v>Romania</c:v>
                </c:pt>
                <c:pt idx="23">
                  <c:v>Slovakia</c:v>
                </c:pt>
                <c:pt idx="24">
                  <c:v>Slovenia</c:v>
                </c:pt>
                <c:pt idx="25">
                  <c:v>Spain</c:v>
                </c:pt>
                <c:pt idx="26">
                  <c:v>Sweden</c:v>
                </c:pt>
                <c:pt idx="27">
                  <c:v>UK</c:v>
                </c:pt>
              </c:strCache>
            </c:strRef>
          </c:cat>
          <c:val>
            <c:numRef>
              <c:f>'Pivot MS'!$C$42:$C$69</c:f>
              <c:numCache>
                <c:formatCode>0</c:formatCode>
                <c:ptCount val="28"/>
                <c:pt idx="0">
                  <c:v>69.8</c:v>
                </c:pt>
                <c:pt idx="1">
                  <c:v>79.8</c:v>
                </c:pt>
                <c:pt idx="2">
                  <c:v>36.18181818181818</c:v>
                </c:pt>
                <c:pt idx="3">
                  <c:v>63.2</c:v>
                </c:pt>
                <c:pt idx="4">
                  <c:v>57.272727272727273</c:v>
                </c:pt>
                <c:pt idx="5">
                  <c:v>69.7</c:v>
                </c:pt>
                <c:pt idx="6">
                  <c:v>87.818181818181813</c:v>
                </c:pt>
                <c:pt idx="7">
                  <c:v>69.7</c:v>
                </c:pt>
                <c:pt idx="8">
                  <c:v>79.8</c:v>
                </c:pt>
                <c:pt idx="9">
                  <c:v>78.63636363636364</c:v>
                </c:pt>
                <c:pt idx="10">
                  <c:v>93.909090909090907</c:v>
                </c:pt>
                <c:pt idx="11">
                  <c:v>39.18181818181818</c:v>
                </c:pt>
                <c:pt idx="12">
                  <c:v>48.272727272727273</c:v>
                </c:pt>
                <c:pt idx="13">
                  <c:v>54.090909090909093</c:v>
                </c:pt>
                <c:pt idx="14">
                  <c:v>63.454545454545453</c:v>
                </c:pt>
                <c:pt idx="15">
                  <c:v>66.5</c:v>
                </c:pt>
                <c:pt idx="16">
                  <c:v>73.099999999999994</c:v>
                </c:pt>
                <c:pt idx="17">
                  <c:v>66.454545454545453</c:v>
                </c:pt>
                <c:pt idx="18">
                  <c:v>46.5</c:v>
                </c:pt>
                <c:pt idx="19">
                  <c:v>78.63636363636364</c:v>
                </c:pt>
                <c:pt idx="20">
                  <c:v>78.454545454545453</c:v>
                </c:pt>
                <c:pt idx="21">
                  <c:v>60.363636363636367</c:v>
                </c:pt>
                <c:pt idx="22">
                  <c:v>49.8</c:v>
                </c:pt>
                <c:pt idx="23">
                  <c:v>46.4</c:v>
                </c:pt>
                <c:pt idx="24">
                  <c:v>86.5</c:v>
                </c:pt>
                <c:pt idx="25">
                  <c:v>51.18181818181818</c:v>
                </c:pt>
                <c:pt idx="26">
                  <c:v>78.545454545454547</c:v>
                </c:pt>
                <c:pt idx="27">
                  <c:v>60.545454545454547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C6-477B-B646-AE1974ACA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629056"/>
        <c:axId val="89630976"/>
      </c:barChart>
      <c:catAx>
        <c:axId val="89629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 sz="1200" b="1"/>
                  <a:t>Member</a:t>
                </a:r>
                <a:r>
                  <a:rPr lang="en-IE" sz="1200" baseline="0"/>
                  <a:t> </a:t>
                </a:r>
                <a:r>
                  <a:rPr lang="en-IE" sz="1200" b="1" baseline="0"/>
                  <a:t>State</a:t>
                </a:r>
                <a:endParaRPr lang="en-IE" sz="1200" b="1"/>
              </a:p>
            </c:rich>
          </c:tx>
          <c:layout>
            <c:manualLayout>
              <c:xMode val="edge"/>
              <c:yMode val="edge"/>
              <c:x val="0.42438167451290809"/>
              <c:y val="0.9170698243345688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30976"/>
        <c:crosses val="autoZero"/>
        <c:auto val="1"/>
        <c:lblAlgn val="ctr"/>
        <c:lblOffset val="100"/>
        <c:noMultiLvlLbl val="0"/>
      </c:catAx>
      <c:valAx>
        <c:axId val="8963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 sz="1200" b="1"/>
                  <a:t>Percentage implementation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2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748212029051925"/>
          <c:y val="5.6282469269014153E-2"/>
          <c:w val="0.12640465445611282"/>
          <c:h val="4.42672822646080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456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JAMRICHOVA Martina (SANTE)</dc:creator>
  <cp:keywords/>
  <dc:description/>
  <cp:lastModifiedBy>WES PDFC Administrator</cp:lastModifiedBy>
  <cp:revision>7</cp:revision>
  <dcterms:created xsi:type="dcterms:W3CDTF">2020-03-12T08:42:00Z</dcterms:created>
  <dcterms:modified xsi:type="dcterms:W3CDTF">2020-05-12T09:10:00Z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