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2D" w:rsidRDefault="00E62D3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D6D4FCE-319C-411E-8060-A4F73D9C1A38" style="width:450.6pt;height:333.6pt">
            <v:imagedata r:id="rId8" o:title=""/>
          </v:shape>
        </w:pict>
      </w:r>
    </w:p>
    <w:bookmarkEnd w:id="0"/>
    <w:p w:rsidR="005D1B2D" w:rsidRDefault="005D1B2D">
      <w:pPr>
        <w:rPr>
          <w:noProof/>
        </w:rPr>
        <w:sectPr w:rsidR="005D1B2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5D1B2D" w:rsidRDefault="00E62D34">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b/>
          <w:noProof/>
        </w:rPr>
        <w:lastRenderedPageBreak/>
        <w:t>ВЪВЕДЕНИЕ</w:t>
      </w: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Европейският съюз прилага една от най-строгите системи за одобрение и контрол на употребата пестициди в света</w:t>
      </w:r>
      <w:r>
        <w:rPr>
          <w:rStyle w:val="FootnoteReference"/>
          <w:rFonts w:ascii="Times New Roman" w:eastAsia="Times New Roman" w:hAnsi="Times New Roman" w:cs="Times New Roman"/>
          <w:noProof/>
        </w:rPr>
        <w:footnoteReference w:id="2"/>
      </w:r>
      <w:r>
        <w:rPr>
          <w:rFonts w:ascii="Times New Roman" w:hAnsi="Times New Roman"/>
          <w:noProof/>
        </w:rPr>
        <w:t xml:space="preserve">, ако не и </w:t>
      </w:r>
      <w:r>
        <w:rPr>
          <w:rFonts w:ascii="Times New Roman" w:hAnsi="Times New Roman"/>
          <w:noProof/>
        </w:rPr>
        <w:t>най-строгата. С Директива 2009/128/ЕО</w:t>
      </w:r>
      <w:r>
        <w:rPr>
          <w:rStyle w:val="FootnoteReference"/>
          <w:rFonts w:ascii="Times New Roman" w:eastAsia="Times New Roman" w:hAnsi="Times New Roman" w:cs="Times New Roman"/>
          <w:noProof/>
        </w:rPr>
        <w:footnoteReference w:id="3"/>
      </w:r>
      <w:r>
        <w:rPr>
          <w:rFonts w:ascii="Times New Roman" w:hAnsi="Times New Roman"/>
          <w:noProof/>
        </w:rPr>
        <w:t xml:space="preserve"> относно устойчивата употреба на пестициди (Директивата относно УУП), Регламент (ЕО) № 1107/2009</w:t>
      </w:r>
      <w:r>
        <w:rPr>
          <w:rStyle w:val="FootnoteReference"/>
          <w:rFonts w:ascii="Times New Roman" w:eastAsia="Times New Roman" w:hAnsi="Times New Roman" w:cs="Times New Roman"/>
          <w:noProof/>
        </w:rPr>
        <w:footnoteReference w:id="4"/>
      </w:r>
      <w:r>
        <w:rPr>
          <w:rFonts w:ascii="Times New Roman" w:hAnsi="Times New Roman"/>
          <w:noProof/>
        </w:rPr>
        <w:t>, Регламент (ЕО) № 396/2005</w:t>
      </w:r>
      <w:r>
        <w:rPr>
          <w:rStyle w:val="FootnoteReference"/>
          <w:rFonts w:ascii="Times New Roman" w:eastAsia="Times New Roman" w:hAnsi="Times New Roman" w:cs="Times New Roman"/>
          <w:noProof/>
        </w:rPr>
        <w:footnoteReference w:id="5"/>
      </w:r>
      <w:r>
        <w:rPr>
          <w:rFonts w:ascii="Times New Roman" w:hAnsi="Times New Roman"/>
          <w:noProof/>
        </w:rPr>
        <w:t>, Регламент (ЕС) 2017/625</w:t>
      </w:r>
      <w:r>
        <w:rPr>
          <w:rStyle w:val="FootnoteReference"/>
          <w:rFonts w:ascii="Times New Roman" w:eastAsia="Times New Roman" w:hAnsi="Times New Roman" w:cs="Times New Roman"/>
          <w:noProof/>
        </w:rPr>
        <w:footnoteReference w:id="6"/>
      </w:r>
      <w:r>
        <w:rPr>
          <w:rFonts w:ascii="Times New Roman" w:hAnsi="Times New Roman"/>
          <w:noProof/>
        </w:rPr>
        <w:t xml:space="preserve"> и Регламент (ЕО) № 1185/2009</w:t>
      </w:r>
      <w:r>
        <w:rPr>
          <w:rStyle w:val="FootnoteReference"/>
          <w:rFonts w:ascii="Times New Roman" w:eastAsia="Times New Roman" w:hAnsi="Times New Roman" w:cs="Times New Roman"/>
          <w:noProof/>
        </w:rPr>
        <w:footnoteReference w:id="7"/>
      </w:r>
      <w:r>
        <w:rPr>
          <w:rFonts w:ascii="Times New Roman" w:hAnsi="Times New Roman"/>
          <w:noProof/>
        </w:rPr>
        <w:t xml:space="preserve"> се осигурява законодателна рамка за </w:t>
      </w:r>
      <w:r>
        <w:rPr>
          <w:rFonts w:ascii="Times New Roman" w:hAnsi="Times New Roman"/>
          <w:noProof/>
        </w:rPr>
        <w:t>безопасната и устойчива употреба на пестициди в Европейския съюз.</w:t>
      </w:r>
    </w:p>
    <w:p w:rsidR="005D1B2D" w:rsidRDefault="005D1B2D">
      <w:pPr>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Целта на тази рамка за пестицидите е да се сведе до минимум въздействието на пестицидите върху здравето на хората и околната среда чрез намаляване на зависимостта и чрез увеличаване на упот</w:t>
      </w:r>
      <w:r>
        <w:rPr>
          <w:rFonts w:ascii="Times New Roman" w:hAnsi="Times New Roman"/>
          <w:noProof/>
        </w:rPr>
        <w:t>ребата на пестициди с нисък риск и на нехимични пестициди.</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В Директивата относно УУП се предвиждат редица действия за постигане на устойчива употреба на пестициди чрез намаляване на рисковете и въздействията от употребата им върху здравето на хората и око</w:t>
      </w:r>
      <w:r>
        <w:rPr>
          <w:rFonts w:ascii="Times New Roman" w:hAnsi="Times New Roman"/>
          <w:noProof/>
        </w:rPr>
        <w:t xml:space="preserve">лната среда. Един от ключовите ѝ елементи е прилагането на интегрирано управление на вредителите (ИУВ) и насърчаването на алтернативни подходи или техники, така че да се намали зависимостта от пестициди. Настоящата и бъдещата обща селскостопанска политика </w:t>
      </w:r>
      <w:r>
        <w:rPr>
          <w:rFonts w:ascii="Times New Roman" w:hAnsi="Times New Roman"/>
          <w:noProof/>
        </w:rPr>
        <w:t>(ОСП) обхваща няколко инструмента, които подпомагат прилагането на ИУВ от потребителите</w:t>
      </w:r>
      <w:r>
        <w:rPr>
          <w:rStyle w:val="FootnoteReference"/>
          <w:rFonts w:ascii="Times New Roman" w:eastAsia="Times New Roman" w:hAnsi="Times New Roman" w:cs="Times New Roman"/>
          <w:noProof/>
        </w:rPr>
        <w:footnoteReference w:id="8"/>
      </w:r>
      <w:r>
        <w:rPr>
          <w:rFonts w:ascii="Times New Roman" w:hAnsi="Times New Roman"/>
          <w:noProof/>
        </w:rPr>
        <w:t xml:space="preserve">. </w:t>
      </w:r>
    </w:p>
    <w:p w:rsidR="005D1B2D" w:rsidRDefault="00E62D34">
      <w:pPr>
        <w:spacing w:after="0"/>
        <w:jc w:val="both"/>
        <w:rPr>
          <w:rFonts w:ascii="Times New Roman" w:hAnsi="Times New Roman" w:cs="Times New Roman"/>
          <w:noProof/>
          <w:sz w:val="24"/>
          <w:szCs w:val="24"/>
        </w:rPr>
      </w:pPr>
      <w:r>
        <w:rPr>
          <w:rFonts w:ascii="Times New Roman" w:hAnsi="Times New Roman"/>
          <w:noProof/>
        </w:rPr>
        <w:lastRenderedPageBreak/>
        <w:t>Директивата относно УУП до голяма степен се основава на действия, които трябва да бъдат предприети на равнище държави членки, като се имат предвид различията в селск</w:t>
      </w:r>
      <w:r>
        <w:rPr>
          <w:rFonts w:ascii="Times New Roman" w:hAnsi="Times New Roman"/>
          <w:noProof/>
        </w:rPr>
        <w:t>ото стопанство в рамките на ЕС. В нея се изисква държавите членки да изготвят национални планове за действие (НПД), в които определят своите количествени цели, общи цели, мерки и срокове. Цялостното изпълнение на Директивата относно УУП би намалило рискове</w:t>
      </w:r>
      <w:r>
        <w:rPr>
          <w:rFonts w:ascii="Times New Roman" w:hAnsi="Times New Roman"/>
          <w:noProof/>
        </w:rPr>
        <w:t xml:space="preserve">те за здравето на хората и околната среда, както и зависимостта от пестицидите. </w:t>
      </w:r>
    </w:p>
    <w:p w:rsidR="005D1B2D" w:rsidRDefault="005D1B2D">
      <w:pPr>
        <w:spacing w:after="0"/>
        <w:jc w:val="both"/>
        <w:rPr>
          <w:rFonts w:ascii="Times New Roman" w:hAnsi="Times New Roman" w:cs="Times New Roman"/>
          <w:noProof/>
          <w:sz w:val="24"/>
          <w:szCs w:val="24"/>
        </w:rPr>
      </w:pPr>
    </w:p>
    <w:p w:rsidR="005D1B2D" w:rsidRDefault="00E62D34">
      <w:pPr>
        <w:spacing w:after="0"/>
        <w:jc w:val="both"/>
        <w:rPr>
          <w:rFonts w:ascii="Times New Roman" w:hAnsi="Times New Roman" w:cs="Times New Roman"/>
          <w:noProof/>
          <w:color w:val="000000"/>
          <w:sz w:val="24"/>
          <w:szCs w:val="24"/>
        </w:rPr>
      </w:pPr>
      <w:r>
        <w:rPr>
          <w:rFonts w:ascii="Times New Roman" w:hAnsi="Times New Roman"/>
          <w:noProof/>
        </w:rPr>
        <w:t xml:space="preserve">Съгласно член 4, параграф 3 от Директивата относно УУП от Комисията се изисква да предостави на Европейския парламент и на Съвета доклад относно придобития опит от държавите </w:t>
      </w:r>
      <w:r>
        <w:rPr>
          <w:rFonts w:ascii="Times New Roman" w:hAnsi="Times New Roman"/>
          <w:noProof/>
        </w:rPr>
        <w:t xml:space="preserve">членки във връзка с изпълнението на националните цели, установени в техните НПД, с оглед постигане на целите на Директивата. В допълнение съгласно член 16 от Директивата относно УУП Комисията трябва редовно да докладва на Европейския парламент и на Съвета </w:t>
      </w:r>
      <w:r>
        <w:rPr>
          <w:rFonts w:ascii="Times New Roman" w:hAnsi="Times New Roman"/>
          <w:noProof/>
        </w:rPr>
        <w:t>относно напредъка в изпълнението на Директивата. Тези изисквания за докладване се изпълняват с настоящия доклад.</w:t>
      </w:r>
    </w:p>
    <w:p w:rsidR="005D1B2D" w:rsidRDefault="005D1B2D">
      <w:pPr>
        <w:spacing w:after="0"/>
        <w:jc w:val="both"/>
        <w:rPr>
          <w:rFonts w:ascii="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Все по-голяма е обществената осведоменост за устойчивостта на производството на храни, важен елемент от която е устойчивата употреба на пестиц</w:t>
      </w:r>
      <w:r>
        <w:rPr>
          <w:rFonts w:ascii="Times New Roman" w:hAnsi="Times New Roman"/>
          <w:noProof/>
        </w:rPr>
        <w:t>иди, както това е отразено в Програмата на ООН до 2030 г. за устойчиво развитие</w:t>
      </w:r>
      <w:r>
        <w:rPr>
          <w:rFonts w:ascii="Times New Roman" w:eastAsia="Times New Roman" w:hAnsi="Times New Roman" w:cs="Times New Roman"/>
          <w:noProof/>
          <w:vertAlign w:val="superscript"/>
        </w:rPr>
        <w:footnoteReference w:id="9"/>
      </w:r>
      <w:r>
        <w:rPr>
          <w:rFonts w:ascii="Times New Roman" w:hAnsi="Times New Roman"/>
          <w:noProof/>
        </w:rPr>
        <w:t xml:space="preserve"> и в документа за размисъл „Към устойчива Европа до 2030 г.“</w:t>
      </w:r>
      <w:r>
        <w:rPr>
          <w:rStyle w:val="FootnoteReference"/>
          <w:rFonts w:ascii="Times New Roman" w:eastAsia="Times New Roman" w:hAnsi="Times New Roman" w:cs="Times New Roman"/>
          <w:noProof/>
        </w:rPr>
        <w:footnoteReference w:id="10"/>
      </w:r>
      <w:r>
        <w:rPr>
          <w:rFonts w:ascii="Times New Roman" w:hAnsi="Times New Roman"/>
          <w:noProof/>
        </w:rPr>
        <w:t xml:space="preserve"> на Европейската комисия. Тази осведоменост се прояви през 2017 г. в Европейската гражданска инициатива</w:t>
      </w:r>
      <w:r>
        <w:rPr>
          <w:rStyle w:val="FootnoteReference"/>
          <w:rFonts w:ascii="Times New Roman" w:eastAsia="Times New Roman" w:hAnsi="Times New Roman" w:cs="Times New Roman"/>
          <w:noProof/>
        </w:rPr>
        <w:footnoteReference w:id="11"/>
      </w:r>
      <w:r>
        <w:rPr>
          <w:rFonts w:ascii="Times New Roman" w:hAnsi="Times New Roman"/>
          <w:noProof/>
        </w:rPr>
        <w:t>, в която К</w:t>
      </w:r>
      <w:r>
        <w:rPr>
          <w:rFonts w:ascii="Times New Roman" w:hAnsi="Times New Roman"/>
          <w:noProof/>
        </w:rPr>
        <w:t xml:space="preserve">омисията се призоваваше </w:t>
      </w:r>
      <w:r>
        <w:rPr>
          <w:rStyle w:val="subcontenttext"/>
          <w:rFonts w:ascii="Times New Roman" w:hAnsi="Times New Roman"/>
          <w:noProof/>
        </w:rPr>
        <w:t>да</w:t>
      </w:r>
      <w:r>
        <w:rPr>
          <w:rFonts w:ascii="Times New Roman" w:hAnsi="Times New Roman"/>
          <w:noProof/>
        </w:rPr>
        <w:t xml:space="preserve"> определи, </w:t>
      </w:r>
      <w:r>
        <w:rPr>
          <w:rStyle w:val="subcontenttext"/>
          <w:rFonts w:ascii="Times New Roman" w:hAnsi="Times New Roman"/>
          <w:noProof/>
        </w:rPr>
        <w:t>наред с другото</w:t>
      </w:r>
      <w:r>
        <w:rPr>
          <w:rFonts w:ascii="Times New Roman" w:hAnsi="Times New Roman"/>
          <w:noProof/>
        </w:rPr>
        <w:t>, задължителни за целия Европейски съюз</w:t>
      </w:r>
      <w:r>
        <w:rPr>
          <w:rStyle w:val="subcontenttext"/>
          <w:rFonts w:ascii="Times New Roman" w:hAnsi="Times New Roman"/>
          <w:noProof/>
        </w:rPr>
        <w:t xml:space="preserve"> цели за намаляване на употребата на пестициди</w:t>
      </w:r>
      <w:r>
        <w:rPr>
          <w:rStyle w:val="subcontenttextbold"/>
          <w:rFonts w:ascii="Times New Roman" w:hAnsi="Times New Roman"/>
          <w:noProof/>
        </w:rPr>
        <w:t xml:space="preserve">. </w:t>
      </w:r>
      <w:r>
        <w:rPr>
          <w:rFonts w:ascii="Times New Roman" w:hAnsi="Times New Roman"/>
          <w:noProof/>
        </w:rPr>
        <w:t>В отговора си на Европейската гражданска инициатива</w:t>
      </w:r>
      <w:r>
        <w:rPr>
          <w:rStyle w:val="FootnoteReference"/>
          <w:rFonts w:ascii="Times New Roman" w:eastAsia="Times New Roman" w:hAnsi="Times New Roman" w:cs="Times New Roman"/>
          <w:noProof/>
        </w:rPr>
        <w:footnoteReference w:id="12"/>
      </w:r>
      <w:r>
        <w:rPr>
          <w:rFonts w:ascii="Times New Roman" w:hAnsi="Times New Roman"/>
          <w:noProof/>
        </w:rPr>
        <w:t xml:space="preserve"> Комисията се ангажира да използва настоящия доклад като възможно</w:t>
      </w:r>
      <w:r>
        <w:rPr>
          <w:rFonts w:ascii="Times New Roman" w:hAnsi="Times New Roman"/>
          <w:noProof/>
        </w:rPr>
        <w:t>ст за преценка дали е постигнат достатъчен напредък в намаляването на рисковете, свързани с пестицидите. Комисията пое ангажимент да обмисли определянето на задължителна за целия Европейски съюз цел за намаляване на риска от пестициди, ако постигнатият нап</w:t>
      </w:r>
      <w:r>
        <w:rPr>
          <w:rFonts w:ascii="Times New Roman" w:hAnsi="Times New Roman"/>
          <w:noProof/>
        </w:rPr>
        <w:t xml:space="preserve">редък не е достатъчен. </w:t>
      </w:r>
    </w:p>
    <w:p w:rsidR="005D1B2D" w:rsidRDefault="005D1B2D">
      <w:pPr>
        <w:autoSpaceDE w:val="0"/>
        <w:autoSpaceDN w:val="0"/>
        <w:adjustRightInd w:val="0"/>
        <w:spacing w:after="0"/>
        <w:jc w:val="both"/>
        <w:rPr>
          <w:rStyle w:val="subcontenttextbold"/>
          <w:rFonts w:ascii="Times New Roman" w:hAnsi="Times New Roman" w:cs="Times New Roman"/>
          <w:noProof/>
          <w:sz w:val="24"/>
          <w:szCs w:val="24"/>
        </w:rPr>
      </w:pPr>
    </w:p>
    <w:p w:rsidR="005D1B2D" w:rsidRDefault="00E62D34">
      <w:pPr>
        <w:pStyle w:val="Default"/>
        <w:spacing w:line="276" w:lineRule="auto"/>
        <w:jc w:val="both"/>
        <w:rPr>
          <w:noProof/>
        </w:rPr>
      </w:pPr>
      <w:r>
        <w:rPr>
          <w:rStyle w:val="subcontenttextbold"/>
          <w:noProof/>
        </w:rPr>
        <w:t xml:space="preserve">В допълнение наскоро Сметната палата публикува доклад на тема </w:t>
      </w:r>
      <w:r>
        <w:rPr>
          <w:noProof/>
        </w:rPr>
        <w:t>„Устойчиво използване на продукти за растителна защита“</w:t>
      </w:r>
      <w:r>
        <w:rPr>
          <w:rStyle w:val="FootnoteReference"/>
          <w:noProof/>
        </w:rPr>
        <w:footnoteReference w:id="13"/>
      </w:r>
      <w:r>
        <w:rPr>
          <w:noProof/>
        </w:rPr>
        <w:t>, в който беше направена оценка дали действията на Комисията и на държавите членки са довели до понижаване на рис</w:t>
      </w:r>
      <w:r>
        <w:rPr>
          <w:noProof/>
        </w:rPr>
        <w:t>ковете, свързани с употребата на пестициди, и дали съответното законодателство е осигурило ефективни стимули за намаляване на зависимостта от пестицидите. В доклада се отправят редица препоръки към Комисията, включително принципите за ИУВ да се трансформир</w:t>
      </w:r>
      <w:r>
        <w:rPr>
          <w:noProof/>
        </w:rPr>
        <w:t xml:space="preserve">ат в практически критерии и да се подобрят както статистическите данни относно пестицидите, така и хармонизираните показатели. </w:t>
      </w:r>
    </w:p>
    <w:p w:rsidR="005D1B2D" w:rsidRDefault="005D1B2D">
      <w:pPr>
        <w:autoSpaceDE w:val="0"/>
        <w:autoSpaceDN w:val="0"/>
        <w:adjustRightInd w:val="0"/>
        <w:spacing w:after="0"/>
        <w:jc w:val="both"/>
        <w:rPr>
          <w:rFonts w:ascii="Times New Roman" w:hAnsi="Times New Roman" w:cs="Times New Roman"/>
          <w:noProof/>
          <w:color w:val="000000"/>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Налице е значително намаляване на биологичното разнообразие в селскостопанските екосистеми, за което свидетелстват намаляването</w:t>
      </w:r>
      <w:r>
        <w:rPr>
          <w:rFonts w:ascii="Times New Roman" w:hAnsi="Times New Roman"/>
          <w:noProof/>
        </w:rPr>
        <w:t xml:space="preserve"> на броя на птиците, обитаващи обработваеми земи, и загубите на популации от насекоми в някои части на ЕС. Установено е, че употребата на пестициди, наред с други фактори, е важен задвижващ фактор за тези развития.  </w:t>
      </w:r>
    </w:p>
    <w:p w:rsidR="005D1B2D" w:rsidRDefault="00E62D34">
      <w:pPr>
        <w:autoSpaceDE w:val="0"/>
        <w:autoSpaceDN w:val="0"/>
        <w:adjustRightInd w:val="0"/>
        <w:spacing w:after="0"/>
        <w:jc w:val="both"/>
        <w:rPr>
          <w:rFonts w:ascii="Times New Roman" w:hAnsi="Times New Roman" w:cs="Times New Roman"/>
          <w:noProof/>
          <w:sz w:val="24"/>
          <w:szCs w:val="24"/>
        </w:rPr>
      </w:pPr>
      <w:r>
        <w:rPr>
          <w:rStyle w:val="subcontenttextbold"/>
          <w:rFonts w:ascii="Times New Roman" w:hAnsi="Times New Roman"/>
          <w:noProof/>
        </w:rPr>
        <w:t>Комисията предприема действия във връзк</w:t>
      </w:r>
      <w:r>
        <w:rPr>
          <w:rStyle w:val="subcontenttextbold"/>
          <w:rFonts w:ascii="Times New Roman" w:hAnsi="Times New Roman"/>
          <w:noProof/>
        </w:rPr>
        <w:t xml:space="preserve">а с обществените опасения, изразени </w:t>
      </w:r>
      <w:r>
        <w:rPr>
          <w:rFonts w:ascii="Times New Roman" w:hAnsi="Times New Roman"/>
          <w:noProof/>
        </w:rPr>
        <w:t xml:space="preserve">във връзка с устойчивостта, </w:t>
      </w:r>
      <w:r>
        <w:rPr>
          <w:rStyle w:val="subcontenttextbold"/>
          <w:rFonts w:ascii="Times New Roman" w:hAnsi="Times New Roman"/>
          <w:noProof/>
        </w:rPr>
        <w:t xml:space="preserve">съгласно </w:t>
      </w:r>
      <w:r>
        <w:rPr>
          <w:rFonts w:ascii="Times New Roman" w:hAnsi="Times New Roman"/>
          <w:noProof/>
        </w:rPr>
        <w:t>Европейския зелен пакт</w:t>
      </w:r>
      <w:r>
        <w:rPr>
          <w:rStyle w:val="FootnoteReference"/>
          <w:rFonts w:ascii="Times New Roman" w:eastAsia="Times New Roman" w:hAnsi="Times New Roman" w:cs="Times New Roman"/>
          <w:noProof/>
        </w:rPr>
        <w:footnoteReference w:id="14"/>
      </w:r>
      <w:r>
        <w:rPr>
          <w:rFonts w:ascii="Times New Roman" w:hAnsi="Times New Roman"/>
          <w:noProof/>
        </w:rPr>
        <w:t>, и по-специално съгласно нейната стратегия</w:t>
      </w:r>
      <w:r>
        <w:rPr>
          <w:rStyle w:val="subcontenttextbold"/>
          <w:rFonts w:ascii="Times New Roman" w:hAnsi="Times New Roman"/>
          <w:noProof/>
        </w:rPr>
        <w:t xml:space="preserve"> „От</w:t>
      </w:r>
      <w:r>
        <w:rPr>
          <w:rFonts w:ascii="Times New Roman" w:hAnsi="Times New Roman"/>
          <w:noProof/>
        </w:rPr>
        <w:t xml:space="preserve"> фермата до трапезата“ и стратегията за биологичното разнообразие. Тези инициативи ще </w:t>
      </w:r>
      <w:r>
        <w:rPr>
          <w:rStyle w:val="subcontenttextbold"/>
          <w:rFonts w:ascii="Times New Roman" w:hAnsi="Times New Roman"/>
          <w:noProof/>
        </w:rPr>
        <w:t>насърчават</w:t>
      </w:r>
      <w:r>
        <w:rPr>
          <w:rFonts w:ascii="Times New Roman" w:hAnsi="Times New Roman"/>
          <w:noProof/>
        </w:rPr>
        <w:t xml:space="preserve"> здравите екосист</w:t>
      </w:r>
      <w:r>
        <w:rPr>
          <w:rFonts w:ascii="Times New Roman" w:hAnsi="Times New Roman"/>
          <w:noProof/>
        </w:rPr>
        <w:t>еми и биологичното разнообразие, по-устойчивите системи за производство на храни и по-здравословните режими на хранене, като същевременно гарантират устойчив поминък за земеделските стопани и достъп до висококачествена и питателна храна за потребителите. П</w:t>
      </w:r>
      <w:r>
        <w:rPr>
          <w:rFonts w:ascii="Times New Roman" w:hAnsi="Times New Roman"/>
          <w:noProof/>
        </w:rPr>
        <w:t>ризнава се, че за постигането на тези амбиции ще са необходими иновативни техники.</w:t>
      </w:r>
    </w:p>
    <w:p w:rsidR="005D1B2D" w:rsidRDefault="005D1B2D">
      <w:pPr>
        <w:autoSpaceDE w:val="0"/>
        <w:autoSpaceDN w:val="0"/>
        <w:adjustRightInd w:val="0"/>
        <w:spacing w:after="0"/>
        <w:jc w:val="both"/>
        <w:rPr>
          <w:rStyle w:val="subcontenttextbold"/>
          <w:rFonts w:ascii="Times New Roman" w:hAnsi="Times New Roman" w:cs="Times New Roman"/>
          <w:noProof/>
          <w:sz w:val="24"/>
          <w:szCs w:val="24"/>
        </w:rPr>
      </w:pP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Настоящият доклад се основава на следните източници на информация:</w:t>
      </w:r>
    </w:p>
    <w:p w:rsidR="005D1B2D" w:rsidRDefault="00E62D34">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15-те преразгледани НПД, докладвани на Комисията до 31 март 2019 г.</w:t>
      </w:r>
      <w:r>
        <w:rPr>
          <w:rStyle w:val="FootnoteReference"/>
          <w:rFonts w:ascii="Times New Roman" w:eastAsia="Times New Roman" w:hAnsi="Times New Roman" w:cs="Times New Roman"/>
          <w:noProof/>
        </w:rPr>
        <w:footnoteReference w:id="15"/>
      </w:r>
      <w:r>
        <w:rPr>
          <w:rFonts w:ascii="Times New Roman" w:hAnsi="Times New Roman"/>
          <w:noProof/>
        </w:rPr>
        <w:t xml:space="preserve"> и достъпни на английски език;</w:t>
      </w:r>
    </w:p>
    <w:p w:rsidR="005D1B2D" w:rsidRDefault="00E62D34">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отговори на писмо на Комисията до всяка държава членка, изпратено през октомври 2017 г., в което се очертават конкретни слабости в техните първоначални НПД;</w:t>
      </w:r>
    </w:p>
    <w:p w:rsidR="005D1B2D" w:rsidRDefault="00E62D34">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одити на Комисията в четири държави членки през 2018 г.</w:t>
      </w:r>
      <w:r>
        <w:rPr>
          <w:rStyle w:val="FootnoteReference"/>
          <w:rFonts w:ascii="Times New Roman" w:eastAsia="Times New Roman" w:hAnsi="Times New Roman" w:cs="Times New Roman"/>
          <w:noProof/>
        </w:rPr>
        <w:footnoteReference w:id="16"/>
      </w:r>
      <w:r>
        <w:rPr>
          <w:rFonts w:ascii="Times New Roman" w:hAnsi="Times New Roman"/>
          <w:noProof/>
        </w:rPr>
        <w:t xml:space="preserve"> и в седем държави членки през 2019 г.</w:t>
      </w:r>
      <w:r>
        <w:rPr>
          <w:rStyle w:val="FootnoteReference"/>
          <w:rFonts w:ascii="Times New Roman" w:eastAsia="Times New Roman" w:hAnsi="Times New Roman" w:cs="Times New Roman"/>
          <w:noProof/>
        </w:rPr>
        <w:footnoteReference w:id="17"/>
      </w:r>
      <w:r>
        <w:rPr>
          <w:rFonts w:ascii="Times New Roman" w:hAnsi="Times New Roman"/>
          <w:noProof/>
        </w:rPr>
        <w:t xml:space="preserve"> с ц</w:t>
      </w:r>
      <w:r>
        <w:rPr>
          <w:rFonts w:ascii="Times New Roman" w:hAnsi="Times New Roman"/>
          <w:noProof/>
        </w:rPr>
        <w:t>ел проучване на цялостния напредък в изпълнението на Директивата относно УУП;</w:t>
      </w:r>
    </w:p>
    <w:p w:rsidR="005D1B2D" w:rsidRDefault="00E62D34">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отговори на писмо на Комисията до четири държави членки</w:t>
      </w:r>
      <w:r>
        <w:rPr>
          <w:rStyle w:val="FootnoteReference"/>
          <w:rFonts w:ascii="Times New Roman" w:hAnsi="Times New Roman" w:cs="Times New Roman"/>
          <w:noProof/>
        </w:rPr>
        <w:footnoteReference w:id="18"/>
      </w:r>
      <w:r>
        <w:rPr>
          <w:rFonts w:ascii="Times New Roman" w:hAnsi="Times New Roman"/>
          <w:noProof/>
        </w:rPr>
        <w:t>, изпратено през октомври 2018 г., в което допълнително се поясняват конкретни слабости в техните първоначални НПД;</w:t>
      </w:r>
    </w:p>
    <w:p w:rsidR="005D1B2D" w:rsidRDefault="00E62D34">
      <w:pPr>
        <w:pStyle w:val="ListParagraph"/>
        <w:numPr>
          <w:ilvl w:val="0"/>
          <w:numId w:val="3"/>
        </w:numPr>
        <w:jc w:val="both"/>
        <w:rPr>
          <w:rFonts w:ascii="Times New Roman" w:hAnsi="Times New Roman" w:cs="Times New Roman"/>
          <w:noProof/>
          <w:sz w:val="24"/>
          <w:szCs w:val="24"/>
        </w:rPr>
      </w:pPr>
      <w:r>
        <w:rPr>
          <w:rFonts w:ascii="Times New Roman" w:hAnsi="Times New Roman"/>
          <w:noProof/>
        </w:rPr>
        <w:t>отгово</w:t>
      </w:r>
      <w:r>
        <w:rPr>
          <w:rFonts w:ascii="Times New Roman" w:hAnsi="Times New Roman"/>
          <w:noProof/>
        </w:rPr>
        <w:t>рите на 24 държави членки</w:t>
      </w:r>
      <w:r>
        <w:rPr>
          <w:rStyle w:val="FootnoteReference"/>
          <w:rFonts w:ascii="Times New Roman" w:eastAsia="Times New Roman" w:hAnsi="Times New Roman" w:cs="Times New Roman"/>
          <w:noProof/>
        </w:rPr>
        <w:footnoteReference w:id="19"/>
      </w:r>
      <w:r>
        <w:rPr>
          <w:rFonts w:ascii="Times New Roman" w:hAnsi="Times New Roman"/>
          <w:noProof/>
        </w:rPr>
        <w:t xml:space="preserve"> на проучване на Комисията, проведено през декември 2018 г., относно прегледите на първоначалните им НПД;</w:t>
      </w:r>
    </w:p>
    <w:p w:rsidR="005D1B2D" w:rsidRDefault="00E62D34">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информация, предоставена от държавите членки на заседанията на работната група за Директивата относно УУП, организирани от К</w:t>
      </w:r>
      <w:r>
        <w:rPr>
          <w:rFonts w:ascii="Times New Roman" w:hAnsi="Times New Roman"/>
          <w:noProof/>
        </w:rPr>
        <w:t>омисията;</w:t>
      </w:r>
    </w:p>
    <w:p w:rsidR="005D1B2D" w:rsidRDefault="00E62D34">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резултатите от индекса за мониторинг на съответствието, разработен от Комисията за количествено определяне на напредъка, постигнат в изпълнението на всеки член от Директивата относно УУП от държавите членки (приложение). Индексът за мониторинг на</w:t>
      </w:r>
      <w:r>
        <w:rPr>
          <w:rFonts w:ascii="Times New Roman" w:hAnsi="Times New Roman"/>
          <w:noProof/>
        </w:rPr>
        <w:t xml:space="preserve"> съответствието позволява измерване на нивото на съответствие по отношение на всеки член от Директивата относно УУП на равнище ЕС въз основа на посочените по-горе източници на информация и пряката комуникация с държавите членки.</w:t>
      </w:r>
    </w:p>
    <w:p w:rsidR="005D1B2D" w:rsidRDefault="005D1B2D">
      <w:pPr>
        <w:pStyle w:val="ListParagraph"/>
        <w:tabs>
          <w:tab w:val="left" w:pos="871"/>
        </w:tabs>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pStyle w:val="FootnoteText"/>
        <w:spacing w:line="276" w:lineRule="auto"/>
        <w:jc w:val="both"/>
        <w:rPr>
          <w:rFonts w:ascii="Times New Roman" w:hAnsi="Times New Roman"/>
          <w:noProof/>
          <w:color w:val="000000"/>
          <w:sz w:val="24"/>
        </w:rPr>
      </w:pPr>
      <w:r>
        <w:rPr>
          <w:rFonts w:ascii="Times New Roman" w:hAnsi="Times New Roman"/>
          <w:noProof/>
        </w:rPr>
        <w:t>Всички НПД — както първона</w:t>
      </w:r>
      <w:r>
        <w:rPr>
          <w:rFonts w:ascii="Times New Roman" w:hAnsi="Times New Roman"/>
          <w:noProof/>
        </w:rPr>
        <w:t>чалните, така и преразгледаните, са на разположение в специализирания уебпортал на Комисията за Директивата относно УУП (</w:t>
      </w:r>
      <w:hyperlink r:id="rId15" w:history="1">
        <w:r>
          <w:rPr>
            <w:rStyle w:val="Hyperlink"/>
            <w:rFonts w:ascii="Times New Roman" w:hAnsi="Times New Roman"/>
            <w:noProof/>
          </w:rPr>
          <w:t>https://ec.europa.eu/food/plant/pesticides</w:t>
        </w:r>
        <w:r>
          <w:rPr>
            <w:rStyle w:val="Hyperlink"/>
            <w:rFonts w:ascii="Times New Roman" w:hAnsi="Times New Roman"/>
            <w:noProof/>
          </w:rPr>
          <w:t>/sustainable_use_pesticides/nap_en</w:t>
        </w:r>
      </w:hyperlink>
      <w:r>
        <w:rPr>
          <w:rStyle w:val="Hyperlink"/>
          <w:rFonts w:ascii="Times New Roman" w:hAnsi="Times New Roman"/>
          <w:noProof/>
        </w:rPr>
        <w:t>)</w:t>
      </w:r>
      <w:r>
        <w:rPr>
          <w:rFonts w:ascii="Times New Roman" w:hAnsi="Times New Roman"/>
          <w:noProof/>
        </w:rPr>
        <w:t>. Всички одитни доклади са достъпни на адрес</w:t>
      </w:r>
      <w:hyperlink r:id="rId16" w:history="1">
        <w:r>
          <w:rPr>
            <w:rStyle w:val="Hyperlink"/>
            <w:rFonts w:ascii="Times New Roman" w:hAnsi="Times New Roman"/>
            <w:noProof/>
          </w:rPr>
          <w:t>http://ec.europa.eu/food/audits-analysis/audit_reports/</w:t>
        </w:r>
      </w:hyperlink>
      <w:r>
        <w:rPr>
          <w:rFonts w:ascii="Times New Roman" w:hAnsi="Times New Roman"/>
          <w:noProof/>
        </w:rPr>
        <w:t>.</w:t>
      </w:r>
    </w:p>
    <w:p w:rsidR="005D1B2D" w:rsidRDefault="005D1B2D">
      <w:pPr>
        <w:pStyle w:val="FootnoteText"/>
        <w:spacing w:line="276" w:lineRule="auto"/>
        <w:jc w:val="both"/>
        <w:rPr>
          <w:rFonts w:ascii="Times New Roman" w:hAnsi="Times New Roman"/>
          <w:noProof/>
          <w:color w:val="000000"/>
          <w:sz w:val="24"/>
        </w:rPr>
      </w:pPr>
    </w:p>
    <w:p w:rsidR="005D1B2D" w:rsidRDefault="005D1B2D">
      <w:pPr>
        <w:pStyle w:val="FootnoteText"/>
        <w:spacing w:line="276" w:lineRule="auto"/>
        <w:jc w:val="both"/>
        <w:rPr>
          <w:noProof/>
          <w:sz w:val="24"/>
        </w:rPr>
      </w:pPr>
    </w:p>
    <w:p w:rsidR="005D1B2D" w:rsidRDefault="00E62D34">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b/>
          <w:noProof/>
        </w:rPr>
        <w:t>НАЦИОНАЛНИ ПЛАНОВЕ ЗА ДЕЙСТВИЕ</w:t>
      </w: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Съгласно член 4</w:t>
      </w:r>
      <w:r>
        <w:rPr>
          <w:rFonts w:ascii="Times New Roman" w:hAnsi="Times New Roman"/>
          <w:noProof/>
        </w:rPr>
        <w:t xml:space="preserve"> от Директивата относно УУП от държавите членки се изискваше да информират Комисията и другите държави членки за своите НПД до 26 ноември 2012 г. В тези НПД следваше да бъдат определени количествени цели, общи цели, мерки и срокове за намаляване на рискове</w:t>
      </w:r>
      <w:r>
        <w:rPr>
          <w:rFonts w:ascii="Times New Roman" w:hAnsi="Times New Roman"/>
          <w:noProof/>
        </w:rPr>
        <w:t>те и въздействието на употребата на пестициди върху здравето на хората и околната среда. От държавите членки се изискваше също така да преразглеждат своите НПД най-малко на всеки пет години.</w:t>
      </w:r>
    </w:p>
    <w:p w:rsidR="005D1B2D" w:rsidRDefault="005D1B2D">
      <w:pPr>
        <w:autoSpaceDE w:val="0"/>
        <w:autoSpaceDN w:val="0"/>
        <w:adjustRightInd w:val="0"/>
        <w:spacing w:after="0"/>
        <w:jc w:val="both"/>
        <w:rPr>
          <w:rFonts w:ascii="Times New Roman" w:eastAsia="Times New Roman" w:hAnsi="Times New Roman" w:cs="Times New Roman"/>
          <w:noProof/>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rPr>
          <w:trHeight w:val="579"/>
        </w:trPr>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sz w:val="24"/>
                <w:szCs w:val="24"/>
              </w:rPr>
            </w:pPr>
            <w:r>
              <w:rPr>
                <w:rFonts w:ascii="Times New Roman" w:hAnsi="Times New Roman"/>
                <w:noProof/>
              </w:rPr>
              <w:t>Повече от две трети от държавите членки не успяха да завършат пр</w:t>
            </w:r>
            <w:r>
              <w:rPr>
                <w:rFonts w:ascii="Times New Roman" w:hAnsi="Times New Roman"/>
                <w:noProof/>
              </w:rPr>
              <w:t xml:space="preserve">егледа на първоначалния си НПД в рамките на законовия петгодишен срок. </w:t>
            </w:r>
          </w:p>
        </w:tc>
      </w:tr>
    </w:tbl>
    <w:p w:rsidR="005D1B2D" w:rsidRDefault="005D1B2D">
      <w:pPr>
        <w:autoSpaceDE w:val="0"/>
        <w:autoSpaceDN w:val="0"/>
        <w:adjustRightInd w:val="0"/>
        <w:spacing w:after="0"/>
        <w:jc w:val="both"/>
        <w:rPr>
          <w:rFonts w:ascii="Times New Roman" w:eastAsia="Times New Roman" w:hAnsi="Times New Roman" w:cs="Times New Roman"/>
          <w:noProof/>
          <w:sz w:val="24"/>
          <w:szCs w:val="24"/>
        </w:rPr>
      </w:pPr>
    </w:p>
    <w:p w:rsidR="005D1B2D" w:rsidRDefault="00E62D34">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rPr>
        <w:t>Осем държави членки приключиха прегледа на първоначалния си НПД в рамките на петгодишния срок</w:t>
      </w:r>
      <w:r>
        <w:rPr>
          <w:rStyle w:val="FootnoteReference"/>
          <w:rFonts w:ascii="Times New Roman" w:eastAsia="Times New Roman" w:hAnsi="Times New Roman" w:cs="Times New Roman"/>
          <w:noProof/>
        </w:rPr>
        <w:footnoteReference w:id="20"/>
      </w:r>
      <w:r>
        <w:rPr>
          <w:rFonts w:ascii="Times New Roman" w:hAnsi="Times New Roman"/>
          <w:noProof/>
        </w:rPr>
        <w:t>. Седем държави членки приеха нови НПД след този преглед, а Германия не направи съществе</w:t>
      </w:r>
      <w:r>
        <w:rPr>
          <w:rFonts w:ascii="Times New Roman" w:hAnsi="Times New Roman"/>
          <w:noProof/>
        </w:rPr>
        <w:t>ни промени, тъй като прецени, че първоначалният ѝ НПД е достатъчно гъвкав. Към момента на публикуването на настоящия доклад още тринадесет държави членки</w:t>
      </w:r>
      <w:r>
        <w:rPr>
          <w:rStyle w:val="FootnoteReference"/>
          <w:rFonts w:ascii="Times New Roman" w:eastAsia="Times New Roman" w:hAnsi="Times New Roman" w:cs="Times New Roman"/>
          <w:noProof/>
        </w:rPr>
        <w:footnoteReference w:id="21"/>
      </w:r>
      <w:r>
        <w:rPr>
          <w:rFonts w:ascii="Times New Roman" w:hAnsi="Times New Roman"/>
          <w:noProof/>
        </w:rPr>
        <w:t xml:space="preserve"> приключиха прегледа на първоначалния си НПД, но не в рамките на петгодишния срок. Останалите седем дъ</w:t>
      </w:r>
      <w:r>
        <w:rPr>
          <w:rFonts w:ascii="Times New Roman" w:hAnsi="Times New Roman"/>
          <w:noProof/>
        </w:rPr>
        <w:t xml:space="preserve">ржави членки не са завършили прегледа на първоначалния си НПД. </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rPr>
          <w:trHeight w:val="579"/>
        </w:trPr>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Само малка част от държавите членки определиха конкретни примери за полезни цели и показатели въз основа на прегледа на първоначалния си НПД.</w:t>
            </w:r>
          </w:p>
        </w:tc>
      </w:tr>
    </w:tbl>
    <w:p w:rsidR="005D1B2D" w:rsidRDefault="00E62D34">
      <w:pPr>
        <w:spacing w:before="240"/>
        <w:jc w:val="both"/>
        <w:rPr>
          <w:rFonts w:ascii="Times New Roman" w:hAnsi="Times New Roman" w:cs="Times New Roman"/>
          <w:noProof/>
          <w:sz w:val="24"/>
          <w:szCs w:val="24"/>
        </w:rPr>
      </w:pPr>
      <w:r>
        <w:rPr>
          <w:rFonts w:ascii="Times New Roman" w:hAnsi="Times New Roman"/>
          <w:noProof/>
        </w:rPr>
        <w:t>Три държави членки</w:t>
      </w:r>
      <w:r>
        <w:rPr>
          <w:rStyle w:val="FootnoteReference"/>
          <w:rFonts w:ascii="Times New Roman" w:hAnsi="Times New Roman" w:cs="Times New Roman"/>
          <w:noProof/>
        </w:rPr>
        <w:footnoteReference w:id="22"/>
      </w:r>
      <w:r>
        <w:rPr>
          <w:rFonts w:ascii="Times New Roman" w:hAnsi="Times New Roman"/>
          <w:noProof/>
        </w:rPr>
        <w:t xml:space="preserve"> определиха полезни цели въз о</w:t>
      </w:r>
      <w:r>
        <w:rPr>
          <w:rFonts w:ascii="Times New Roman" w:hAnsi="Times New Roman"/>
          <w:noProof/>
        </w:rPr>
        <w:t>снова на прегледа на първоначалния си НПД. Германия определи цел от 30 % по отношение на намаляването на потенциалния риск за околната среда до 2023 г. в сравнение с базовата средна стойност за периода 1996—2005 г. Дания определи цели за намаление с 40 % н</w:t>
      </w:r>
      <w:r>
        <w:rPr>
          <w:rFonts w:ascii="Times New Roman" w:hAnsi="Times New Roman"/>
          <w:noProof/>
        </w:rPr>
        <w:t>а показателя за пестициден товар (ППТ)</w:t>
      </w:r>
      <w:r>
        <w:rPr>
          <w:rStyle w:val="FootnoteReference"/>
          <w:rFonts w:ascii="Times New Roman" w:hAnsi="Times New Roman" w:cs="Times New Roman"/>
          <w:noProof/>
        </w:rPr>
        <w:footnoteReference w:id="23"/>
      </w:r>
      <w:r>
        <w:rPr>
          <w:rFonts w:ascii="Times New Roman" w:hAnsi="Times New Roman"/>
          <w:noProof/>
        </w:rPr>
        <w:t xml:space="preserve"> и намаление с 40 % на товара от вещества, пораждащи сериозно безпокойство, до края на 2015 г. в сравнение с 2011 г. И накрая, Франция определи цел за намаляване на употребата на продукти за растителна защита (ПРЗ) с </w:t>
      </w:r>
      <w:r>
        <w:rPr>
          <w:rFonts w:ascii="Times New Roman" w:hAnsi="Times New Roman"/>
          <w:noProof/>
        </w:rPr>
        <w:t>25 % до 2020 г. и за намаляване с 50 % на употребата им до 2025 г. в сравнение с 2015 г.</w:t>
      </w:r>
    </w:p>
    <w:p w:rsidR="005D1B2D" w:rsidRDefault="00E62D34">
      <w:pPr>
        <w:jc w:val="both"/>
        <w:rPr>
          <w:rFonts w:ascii="Times New Roman" w:hAnsi="Times New Roman" w:cs="Times New Roman"/>
          <w:noProof/>
          <w:sz w:val="24"/>
          <w:szCs w:val="24"/>
        </w:rPr>
      </w:pPr>
      <w:r>
        <w:rPr>
          <w:rFonts w:ascii="Times New Roman" w:hAnsi="Times New Roman"/>
          <w:noProof/>
        </w:rPr>
        <w:t>Някои държави членки са посочили в първоначалния си НПД, че са полезни целите, свързани с обучението на операторите и изпитването на оборудване за прилагане на пестици</w:t>
      </w:r>
      <w:r>
        <w:rPr>
          <w:rFonts w:ascii="Times New Roman" w:hAnsi="Times New Roman"/>
          <w:noProof/>
        </w:rPr>
        <w:t xml:space="preserve">ди (наричани по-нататък „цели, основани на постигане на съответствие“). Въпреки че това са законови изисквания, според тях установяването на цел в НПД е спомогнало да се отдаде по-голямо значение на спазването на Директивата относно УУП в тези области. </w:t>
      </w:r>
    </w:p>
    <w:p w:rsidR="005D1B2D" w:rsidRDefault="00E62D34">
      <w:pPr>
        <w:jc w:val="both"/>
        <w:rPr>
          <w:rFonts w:ascii="Times New Roman" w:hAnsi="Times New Roman" w:cs="Times New Roman"/>
          <w:noProof/>
          <w:sz w:val="24"/>
          <w:szCs w:val="24"/>
        </w:rPr>
      </w:pPr>
      <w:r>
        <w:rPr>
          <w:rFonts w:ascii="Times New Roman" w:hAnsi="Times New Roman"/>
          <w:noProof/>
        </w:rPr>
        <w:t>Три държави членки</w:t>
      </w:r>
      <w:r>
        <w:rPr>
          <w:rStyle w:val="FootnoteReference"/>
          <w:rFonts w:ascii="Times New Roman" w:hAnsi="Times New Roman" w:cs="Times New Roman"/>
          <w:noProof/>
        </w:rPr>
        <w:footnoteReference w:id="24"/>
      </w:r>
      <w:r>
        <w:rPr>
          <w:rFonts w:ascii="Times New Roman" w:hAnsi="Times New Roman"/>
          <w:noProof/>
        </w:rPr>
        <w:t xml:space="preserve"> подчертаха полезни показатели за намаляване на риска въз основа на прегледа на първоначалните си НПД. Това бяха показателят за риска SYNOPS</w:t>
      </w:r>
      <w:r>
        <w:rPr>
          <w:rStyle w:val="FootnoteReference"/>
          <w:rFonts w:ascii="Times New Roman" w:hAnsi="Times New Roman" w:cs="Times New Roman"/>
          <w:noProof/>
        </w:rPr>
        <w:footnoteReference w:id="25"/>
      </w:r>
      <w:r>
        <w:rPr>
          <w:rFonts w:ascii="Times New Roman" w:hAnsi="Times New Roman"/>
          <w:noProof/>
        </w:rPr>
        <w:t xml:space="preserve"> в Германия, ППТ в Дания и индексът на риска за здравето и околната среда в Швеция</w:t>
      </w:r>
      <w:r>
        <w:rPr>
          <w:rStyle w:val="FootnoteReference"/>
          <w:rFonts w:ascii="Times New Roman" w:hAnsi="Times New Roman" w:cs="Times New Roman"/>
          <w:noProof/>
        </w:rPr>
        <w:footnoteReference w:id="26"/>
      </w:r>
      <w:r>
        <w:rPr>
          <w:rFonts w:ascii="Times New Roman" w:hAnsi="Times New Roman"/>
          <w:noProof/>
        </w:rPr>
        <w:t>. Други държа</w:t>
      </w:r>
      <w:r>
        <w:rPr>
          <w:rFonts w:ascii="Times New Roman" w:hAnsi="Times New Roman"/>
          <w:noProof/>
        </w:rPr>
        <w:t>ви членки подчертаха мерки — различни от индикаторите, — които считат за полезни. Тези мерки включваха броя на дозовите единици (БДЕ)</w:t>
      </w:r>
      <w:r>
        <w:rPr>
          <w:rStyle w:val="FootnoteReference"/>
          <w:rFonts w:ascii="Times New Roman" w:eastAsia="Times New Roman" w:hAnsi="Times New Roman" w:cs="Times New Roman"/>
          <w:noProof/>
        </w:rPr>
        <w:footnoteReference w:id="27"/>
      </w:r>
      <w:r>
        <w:rPr>
          <w:rFonts w:ascii="Times New Roman" w:hAnsi="Times New Roman"/>
          <w:noProof/>
        </w:rPr>
        <w:t>, остатъците от активни вещества в храната, находките на активни вещества във водата, броя на обучените лица и количестват</w:t>
      </w:r>
      <w:r>
        <w:rPr>
          <w:rFonts w:ascii="Times New Roman" w:hAnsi="Times New Roman"/>
          <w:noProof/>
        </w:rPr>
        <w:t>а ПРЗ, пуснати на пазара.</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В преразгледаните си НПД повечето държави членки не са отстранили слабостите, установени от Комисията в първоначалните им НПД, поради което в по-голямата си част преразгледаните НПД са лишени от амбиция и в тях не са заложени висо</w:t>
            </w:r>
            <w:r>
              <w:rPr>
                <w:rFonts w:ascii="Times New Roman" w:hAnsi="Times New Roman"/>
                <w:noProof/>
              </w:rPr>
              <w:t xml:space="preserve">ки цели, основани на резултатите, така че да се намалят рисковете от ПРЗ и зависимостта от тях. </w:t>
            </w:r>
          </w:p>
        </w:tc>
      </w:tr>
    </w:tbl>
    <w:p w:rsidR="005D1B2D" w:rsidRDefault="005D1B2D">
      <w:pPr>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В 13</w:t>
      </w:r>
      <w:r>
        <w:rPr>
          <w:rStyle w:val="FootnoteReference"/>
          <w:rFonts w:ascii="Times New Roman" w:eastAsia="Times New Roman" w:hAnsi="Times New Roman" w:cs="Times New Roman"/>
          <w:noProof/>
        </w:rPr>
        <w:footnoteReference w:id="28"/>
      </w:r>
      <w:r>
        <w:rPr>
          <w:rFonts w:ascii="Times New Roman" w:hAnsi="Times New Roman"/>
          <w:noProof/>
        </w:rPr>
        <w:t xml:space="preserve"> от 15-те преразгледани НПД, докладвани на Комисията до 31 март 2019 г., вниманието е насочено към намаляването на риска, докато Франция и Люксембург по</w:t>
      </w:r>
      <w:r>
        <w:rPr>
          <w:rFonts w:ascii="Times New Roman" w:hAnsi="Times New Roman"/>
          <w:noProof/>
        </w:rPr>
        <w:t>ставят акцент върху цялостното намаляване на употребата като средство за намаляване на риска.</w:t>
      </w:r>
    </w:p>
    <w:p w:rsidR="005D1B2D" w:rsidRDefault="005D1B2D">
      <w:pPr>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Само три държави членки</w:t>
      </w:r>
      <w:r>
        <w:rPr>
          <w:rStyle w:val="FootnoteReference"/>
          <w:rFonts w:ascii="Times New Roman" w:hAnsi="Times New Roman" w:cs="Times New Roman"/>
          <w:noProof/>
        </w:rPr>
        <w:footnoteReference w:id="29"/>
      </w:r>
      <w:r>
        <w:rPr>
          <w:rFonts w:ascii="Times New Roman" w:hAnsi="Times New Roman"/>
          <w:noProof/>
        </w:rPr>
        <w:t xml:space="preserve"> са поставили ясно определени високи цели, основани на резултатите, съгласно член 4, параграф 1 от Директивата относно УУП. Дания е опред</w:t>
      </w:r>
      <w:r>
        <w:rPr>
          <w:rFonts w:ascii="Times New Roman" w:hAnsi="Times New Roman"/>
          <w:noProof/>
        </w:rPr>
        <w:t>елила цел от 1,96 за ППТ, като по този начин е запазила поставената в първоначалния си НПД цел. Франция е установила цел за намаляване на употребата на ПРЗ с 25 % до 2020 г. и с 50 % до 2025 г., без да се оказва отрицателно въздействие върху доходите на зе</w:t>
      </w:r>
      <w:r>
        <w:rPr>
          <w:rFonts w:ascii="Times New Roman" w:hAnsi="Times New Roman"/>
          <w:noProof/>
        </w:rPr>
        <w:t xml:space="preserve">меделските стопанства. И накрая, Люксембург си е поставил висока цел за намаляване с 50 % на употребата на ПРЗ до 2030 г. </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Други държави членки са заложили цели, основани или на действия, или на постигане на съответствие. Полша е установила показател</w:t>
      </w:r>
      <w:r>
        <w:rPr>
          <w:rStyle w:val="FootnoteReference"/>
          <w:rFonts w:ascii="Times New Roman" w:eastAsia="Times New Roman" w:hAnsi="Times New Roman" w:cs="Times New Roman"/>
          <w:noProof/>
        </w:rPr>
        <w:footnoteReference w:id="30"/>
      </w:r>
      <w:r>
        <w:rPr>
          <w:rFonts w:ascii="Times New Roman" w:hAnsi="Times New Roman"/>
          <w:noProof/>
        </w:rPr>
        <w:t xml:space="preserve"> въз</w:t>
      </w:r>
      <w:r>
        <w:rPr>
          <w:rFonts w:ascii="Times New Roman" w:hAnsi="Times New Roman"/>
          <w:noProof/>
        </w:rPr>
        <w:t xml:space="preserve"> основа на нивата на съответствие с конкретни аспекти от Регламент (ЕО) № 1107/2009, например употреба на разрешени ПРЗ, и от Директивата относно УУП, например спазване на изискването за обучение на професионалните потребители, и определя висока цел въз ос</w:t>
      </w:r>
      <w:r>
        <w:rPr>
          <w:rFonts w:ascii="Times New Roman" w:hAnsi="Times New Roman"/>
          <w:noProof/>
        </w:rPr>
        <w:t>нова на резултатите от този показател. Испания и Белгия са поставили ясни цели, но всички цели са специфични за съответния сектор и са свързани с действия (например брой на информационните кампании/година или брой на демонстрационните земеделски стопанства</w:t>
      </w:r>
      <w:r>
        <w:rPr>
          <w:rFonts w:ascii="Times New Roman" w:hAnsi="Times New Roman"/>
          <w:noProof/>
        </w:rPr>
        <w:t xml:space="preserve">, които трябва да бъдат създадени) вместо с количествено измерими въздействия (например брой на професионалните потребители, прилагащи ИУВ). Както Словения, така и Финландия са поставили цели, които представляват съществуващи законови изисквания, например </w:t>
      </w:r>
      <w:r>
        <w:rPr>
          <w:rFonts w:ascii="Times New Roman" w:hAnsi="Times New Roman"/>
          <w:noProof/>
        </w:rPr>
        <w:t xml:space="preserve">да бъдат обучени всички съответни оператори и в процеса на проверките да не се установяват ПРЗ с изтекъл срок на годност. </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Общата цел на НПД следва да бъде демонстриране на разумно ниво на амбиция, но в по-голямата част от преразгледаните НПД амбицията ли</w:t>
      </w:r>
      <w:r>
        <w:rPr>
          <w:rFonts w:ascii="Times New Roman" w:hAnsi="Times New Roman"/>
          <w:noProof/>
        </w:rPr>
        <w:t>псва. Такъв е случаят с Кипър, където целта е намаляване на нарушенията, свързани с максимално допустимата граница на остатъчни вещества, до 3 % по отношение на храните, произведени в Кипър, и с Испания — държава членка с почти един милион земеделски стопа</w:t>
      </w:r>
      <w:r>
        <w:rPr>
          <w:rFonts w:ascii="Times New Roman" w:hAnsi="Times New Roman"/>
          <w:noProof/>
        </w:rPr>
        <w:t>нства</w:t>
      </w:r>
      <w:r>
        <w:rPr>
          <w:rStyle w:val="FootnoteReference"/>
          <w:rFonts w:ascii="Times New Roman" w:hAnsi="Times New Roman" w:cs="Times New Roman"/>
          <w:noProof/>
        </w:rPr>
        <w:footnoteReference w:id="31"/>
      </w:r>
      <w:r>
        <w:rPr>
          <w:rFonts w:ascii="Times New Roman" w:hAnsi="Times New Roman"/>
          <w:noProof/>
        </w:rPr>
        <w:t>, която си поставя за цел поне две пилотни земеделски стопанства да насърчават ИУВ.</w:t>
      </w:r>
    </w:p>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Само в половината от преразгледаните НПД са определени приоритетни обекти или добри практики, а само в един са идентифицирани активни вещества, които пораждат особен</w:t>
            </w:r>
            <w:r>
              <w:rPr>
                <w:rFonts w:ascii="Times New Roman" w:hAnsi="Times New Roman"/>
                <w:noProof/>
              </w:rPr>
              <w:t>о безпокойство.</w:t>
            </w:r>
          </w:p>
        </w:tc>
      </w:tr>
    </w:tbl>
    <w:p w:rsidR="005D1B2D" w:rsidRDefault="005D1B2D">
      <w:pPr>
        <w:tabs>
          <w:tab w:val="left" w:pos="871"/>
        </w:tabs>
        <w:autoSpaceDE w:val="0"/>
        <w:autoSpaceDN w:val="0"/>
        <w:adjustRightInd w:val="0"/>
        <w:spacing w:after="0"/>
        <w:jc w:val="both"/>
        <w:rPr>
          <w:rFonts w:ascii="Times New Roman" w:hAnsi="Times New Roman" w:cs="Times New Roman"/>
          <w:noProof/>
          <w:color w:val="000000"/>
          <w:sz w:val="24"/>
          <w:szCs w:val="24"/>
        </w:rPr>
      </w:pPr>
    </w:p>
    <w:p w:rsidR="005D1B2D" w:rsidRDefault="00E62D34">
      <w:pPr>
        <w:tabs>
          <w:tab w:val="left" w:pos="871"/>
        </w:tabs>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rPr>
        <w:t xml:space="preserve">Съгласно член 15, параграф 2, буква в) от Директивата относно УУП държавите членки са задължени да установят приоритетни обекти или добри практики в своите НПД. Примерите за приоритетни обекти включват активни вещества, култури, региони </w:t>
      </w:r>
      <w:r>
        <w:rPr>
          <w:rFonts w:ascii="Times New Roman" w:hAnsi="Times New Roman"/>
          <w:noProof/>
        </w:rPr>
        <w:t>или практики, изискващи специално внимание. Пет държави членки</w:t>
      </w:r>
      <w:r>
        <w:rPr>
          <w:rStyle w:val="FootnoteReference"/>
          <w:rFonts w:ascii="Times New Roman" w:eastAsia="Times New Roman" w:hAnsi="Times New Roman" w:cs="Times New Roman"/>
          <w:noProof/>
        </w:rPr>
        <w:footnoteReference w:id="32"/>
      </w:r>
      <w:r>
        <w:rPr>
          <w:rFonts w:ascii="Times New Roman" w:hAnsi="Times New Roman"/>
          <w:noProof/>
        </w:rPr>
        <w:t xml:space="preserve"> са определили приоритетни активни вещества в своите преразгледани НПД. Редица държави членки, включително Испания, Франция и Полша, са определели маловажните култури и разширяването на обхвата</w:t>
      </w:r>
      <w:r>
        <w:rPr>
          <w:rFonts w:ascii="Times New Roman" w:hAnsi="Times New Roman"/>
          <w:noProof/>
        </w:rPr>
        <w:t xml:space="preserve"> на техниките за контрол на вредителите по отношение на тези култури като приоритетен обект. </w:t>
      </w:r>
      <w:r>
        <w:rPr>
          <w:rStyle w:val="st"/>
          <w:rFonts w:ascii="Times New Roman" w:hAnsi="Times New Roman"/>
          <w:noProof/>
        </w:rPr>
        <w:t xml:space="preserve">Накрая, в нито един преразгледан НПД не са изрично </w:t>
      </w:r>
      <w:r>
        <w:rPr>
          <w:rFonts w:ascii="Times New Roman" w:hAnsi="Times New Roman"/>
          <w:noProof/>
        </w:rPr>
        <w:t xml:space="preserve">определени приоритетни региони или добри практики. </w:t>
      </w:r>
    </w:p>
    <w:p w:rsidR="005D1B2D" w:rsidRDefault="005D1B2D">
      <w:pPr>
        <w:tabs>
          <w:tab w:val="left" w:pos="871"/>
        </w:tabs>
        <w:autoSpaceDE w:val="0"/>
        <w:autoSpaceDN w:val="0"/>
        <w:adjustRightInd w:val="0"/>
        <w:spacing w:after="0"/>
        <w:jc w:val="both"/>
        <w:rPr>
          <w:rFonts w:ascii="Times New Roman" w:eastAsia="Times New Roman" w:hAnsi="Times New Roman" w:cs="Times New Roman"/>
          <w:noProof/>
          <w:sz w:val="24"/>
          <w:szCs w:val="24"/>
        </w:rPr>
      </w:pPr>
    </w:p>
    <w:p w:rsidR="005D1B2D" w:rsidRDefault="00E62D34">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rPr>
        <w:t xml:space="preserve">Съгласно член 4, параграф 1 от Директивата относно УУП НПД </w:t>
      </w:r>
      <w:r>
        <w:rPr>
          <w:rFonts w:ascii="Times New Roman" w:hAnsi="Times New Roman"/>
          <w:noProof/>
        </w:rPr>
        <w:t>трябва да включват показатели за наблюдение на употребата на ПРЗ, съдържащи активни вещества, които пораждат особено безпокойство. Франция е единствената държава членка, която е предвидила в своя НПД наблюдение на употребата на активни вещества, които пора</w:t>
      </w:r>
      <w:r>
        <w:rPr>
          <w:rFonts w:ascii="Times New Roman" w:hAnsi="Times New Roman"/>
          <w:noProof/>
        </w:rPr>
        <w:t xml:space="preserve">ждат особено безпокойство. Тя следи количествата активни вещества, класифицирани като </w:t>
      </w:r>
      <w:r>
        <w:rPr>
          <w:rStyle w:val="st"/>
          <w:rFonts w:ascii="Times New Roman" w:hAnsi="Times New Roman"/>
          <w:noProof/>
        </w:rPr>
        <w:t>канцерогенни, мутагенни и токсични за репродукцията</w:t>
      </w:r>
      <w:r>
        <w:rPr>
          <w:rFonts w:ascii="Times New Roman" w:hAnsi="Times New Roman"/>
          <w:noProof/>
        </w:rPr>
        <w:t>, които се продават всяка година.</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rPr>
        <w:t>Макар че в нито един преразгледан НПД няма официално установени добри практики съгла</w:t>
      </w:r>
      <w:r>
        <w:rPr>
          <w:rFonts w:ascii="Times New Roman" w:hAnsi="Times New Roman"/>
          <w:noProof/>
        </w:rPr>
        <w:t>сно член 15, параграф 2, буква в) от Директивата относно УУП, всички НПД включват действия, които биха могли да се считат за добри практики. В хода на одитите на Комисията бяха установени много примери за държави членки, които надхвърлят минималните изискв</w:t>
      </w:r>
      <w:r>
        <w:rPr>
          <w:rFonts w:ascii="Times New Roman" w:hAnsi="Times New Roman"/>
          <w:noProof/>
        </w:rPr>
        <w:t>ания на Директивата относно УУП. Сред тях са:</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pStyle w:val="ListParagraph"/>
              <w:numPr>
                <w:ilvl w:val="0"/>
                <w:numId w:val="12"/>
              </w:numPr>
              <w:autoSpaceDE w:val="0"/>
              <w:autoSpaceDN w:val="0"/>
              <w:adjustRightInd w:val="0"/>
              <w:spacing w:line="276" w:lineRule="auto"/>
              <w:jc w:val="both"/>
              <w:rPr>
                <w:rFonts w:ascii="Times New Roman" w:hAnsi="Times New Roman" w:cs="Times New Roman"/>
                <w:noProof/>
                <w:sz w:val="24"/>
                <w:szCs w:val="24"/>
              </w:rPr>
            </w:pPr>
            <w:r>
              <w:rPr>
                <w:rFonts w:ascii="Times New Roman" w:hAnsi="Times New Roman"/>
                <w:noProof/>
              </w:rPr>
              <w:t>Дания, Люксембург и Ирландия изискват наличие на обучено и сертифицирано лице, което да предоставя насоки по време на продажбата на ПРЗ за непрофесионална употреба, докато Франция е забранила самообслужването п</w:t>
            </w:r>
            <w:r>
              <w:rPr>
                <w:rFonts w:ascii="Times New Roman" w:hAnsi="Times New Roman"/>
                <w:noProof/>
              </w:rPr>
              <w:t>ри покупка на ПРЗ за непрофесионална употреба;</w:t>
            </w:r>
          </w:p>
          <w:p w:rsidR="005D1B2D" w:rsidRDefault="00E62D34">
            <w:pPr>
              <w:pStyle w:val="ListParagraph"/>
              <w:numPr>
                <w:ilvl w:val="0"/>
                <w:numId w:val="12"/>
              </w:numPr>
              <w:autoSpaceDE w:val="0"/>
              <w:autoSpaceDN w:val="0"/>
              <w:adjustRightInd w:val="0"/>
              <w:spacing w:line="276" w:lineRule="auto"/>
              <w:jc w:val="both"/>
              <w:rPr>
                <w:rFonts w:ascii="Times New Roman" w:eastAsia="Times New Roman" w:hAnsi="Times New Roman" w:cs="Times New Roman"/>
                <w:noProof/>
                <w:sz w:val="24"/>
                <w:szCs w:val="24"/>
              </w:rPr>
            </w:pPr>
            <w:r>
              <w:rPr>
                <w:rFonts w:ascii="Times New Roman" w:hAnsi="Times New Roman"/>
                <w:noProof/>
              </w:rPr>
              <w:t>Белгия планира да забрани продажбата на всички химични ПРЗ на непрофесионални потребители, с изключение на основни вещества и вещества с нисък риск, както и да забрани рекламата на ПРЗ за непрофесионална употр</w:t>
            </w:r>
            <w:r>
              <w:rPr>
                <w:rFonts w:ascii="Times New Roman" w:hAnsi="Times New Roman"/>
                <w:noProof/>
              </w:rPr>
              <w:t>еба;</w:t>
            </w:r>
          </w:p>
          <w:p w:rsidR="005D1B2D" w:rsidRDefault="00E62D34">
            <w:pPr>
              <w:pStyle w:val="ListParagraph"/>
              <w:numPr>
                <w:ilvl w:val="0"/>
                <w:numId w:val="12"/>
              </w:numPr>
              <w:autoSpaceDE w:val="0"/>
              <w:autoSpaceDN w:val="0"/>
              <w:adjustRightInd w:val="0"/>
              <w:spacing w:line="276" w:lineRule="auto"/>
              <w:jc w:val="both"/>
              <w:rPr>
                <w:rFonts w:ascii="Times New Roman" w:eastAsia="Times New Roman" w:hAnsi="Times New Roman" w:cs="Times New Roman"/>
                <w:noProof/>
                <w:sz w:val="24"/>
                <w:szCs w:val="24"/>
              </w:rPr>
            </w:pPr>
            <w:r>
              <w:rPr>
                <w:rFonts w:ascii="Times New Roman" w:hAnsi="Times New Roman"/>
                <w:noProof/>
              </w:rPr>
              <w:t>Чехия планира до 2022 г. да въведе задължително регистриране в интернет на всички случаи на прилагане на ПРЗ от професионални потребители, така че да се подпомогне по-целенасоченият мониторинг на водите;</w:t>
            </w:r>
          </w:p>
          <w:p w:rsidR="005D1B2D" w:rsidRDefault="00E62D34">
            <w:pPr>
              <w:pStyle w:val="ListParagraph"/>
              <w:numPr>
                <w:ilvl w:val="0"/>
                <w:numId w:val="12"/>
              </w:numPr>
              <w:autoSpaceDE w:val="0"/>
              <w:autoSpaceDN w:val="0"/>
              <w:adjustRightInd w:val="0"/>
              <w:spacing w:line="276" w:lineRule="auto"/>
              <w:jc w:val="both"/>
              <w:rPr>
                <w:rFonts w:ascii="Times New Roman" w:eastAsia="Times New Roman" w:hAnsi="Times New Roman" w:cs="Times New Roman"/>
                <w:noProof/>
                <w:sz w:val="24"/>
                <w:szCs w:val="24"/>
              </w:rPr>
            </w:pPr>
            <w:r>
              <w:rPr>
                <w:rFonts w:ascii="Times New Roman" w:hAnsi="Times New Roman"/>
                <w:noProof/>
              </w:rPr>
              <w:t xml:space="preserve">Испания планира да разработи ИТ приложение, за </w:t>
            </w:r>
            <w:r>
              <w:rPr>
                <w:rFonts w:ascii="Times New Roman" w:hAnsi="Times New Roman"/>
                <w:noProof/>
              </w:rPr>
              <w:t>да могат всички продажби на ПРЗ да се регистрират по електронен път, и си поставя за цел поне 50 % от дистрибуторите да използват тази система в рамките на срока на действие НПД;</w:t>
            </w:r>
          </w:p>
          <w:p w:rsidR="005D1B2D" w:rsidRDefault="00E62D34">
            <w:pPr>
              <w:pStyle w:val="ListParagraph"/>
              <w:numPr>
                <w:ilvl w:val="0"/>
                <w:numId w:val="11"/>
              </w:numPr>
              <w:spacing w:line="276" w:lineRule="auto"/>
              <w:jc w:val="both"/>
              <w:rPr>
                <w:rFonts w:ascii="Times New Roman" w:hAnsi="Times New Roman" w:cs="Times New Roman"/>
                <w:noProof/>
                <w:sz w:val="24"/>
                <w:szCs w:val="24"/>
              </w:rPr>
            </w:pPr>
            <w:r>
              <w:rPr>
                <w:rFonts w:ascii="Times New Roman" w:hAnsi="Times New Roman"/>
                <w:noProof/>
              </w:rPr>
              <w:t>Испания изисква по-често изпитване на оборудването за прилагане на пестициди,</w:t>
            </w:r>
            <w:r>
              <w:rPr>
                <w:rFonts w:ascii="Times New Roman" w:hAnsi="Times New Roman"/>
                <w:noProof/>
              </w:rPr>
              <w:t xml:space="preserve"> което изпълнителите притежават, тъй като това оборудване вероятно ще се използва по-често и за по-широк район;</w:t>
            </w:r>
          </w:p>
          <w:p w:rsidR="005D1B2D" w:rsidRDefault="00E62D34">
            <w:pPr>
              <w:pStyle w:val="ListParagraph"/>
              <w:numPr>
                <w:ilvl w:val="0"/>
                <w:numId w:val="11"/>
              </w:numPr>
              <w:spacing w:line="276" w:lineRule="auto"/>
              <w:jc w:val="both"/>
              <w:rPr>
                <w:rFonts w:ascii="Times New Roman" w:hAnsi="Times New Roman" w:cs="Times New Roman"/>
                <w:noProof/>
                <w:sz w:val="24"/>
                <w:szCs w:val="24"/>
              </w:rPr>
            </w:pPr>
            <w:r>
              <w:rPr>
                <w:rFonts w:ascii="Times New Roman" w:hAnsi="Times New Roman"/>
                <w:noProof/>
              </w:rPr>
              <w:t>Словения изисква задължителна регистрация на всяко ново оборудване за прилагане на пестициди, като всякакви недостатъци трябва да бъдат отстране</w:t>
            </w:r>
            <w:r>
              <w:rPr>
                <w:rFonts w:ascii="Times New Roman" w:hAnsi="Times New Roman"/>
                <w:noProof/>
              </w:rPr>
              <w:t>ни към момента на регистрацията, а не да бъдат откривани при първата задължителна проверка пет години по-късно,</w:t>
            </w:r>
          </w:p>
          <w:p w:rsidR="005D1B2D" w:rsidRDefault="00E62D34">
            <w:pPr>
              <w:pStyle w:val="ListParagraph"/>
              <w:numPr>
                <w:ilvl w:val="0"/>
                <w:numId w:val="11"/>
              </w:numPr>
              <w:spacing w:line="276" w:lineRule="auto"/>
              <w:jc w:val="both"/>
              <w:rPr>
                <w:rFonts w:ascii="Times New Roman" w:hAnsi="Times New Roman" w:cs="Times New Roman"/>
                <w:noProof/>
                <w:sz w:val="24"/>
                <w:szCs w:val="24"/>
              </w:rPr>
            </w:pPr>
            <w:r>
              <w:rPr>
                <w:rFonts w:ascii="Times New Roman" w:hAnsi="Times New Roman"/>
                <w:noProof/>
              </w:rPr>
              <w:t>Белгия си поставя за цел всяко оборудване за прилагане на пестициди да разполага с дюзи за ограничено отнасяне в рамките на срока на действие на</w:t>
            </w:r>
            <w:r>
              <w:rPr>
                <w:rFonts w:ascii="Times New Roman" w:hAnsi="Times New Roman"/>
                <w:noProof/>
              </w:rPr>
              <w:t xml:space="preserve"> НПД;</w:t>
            </w:r>
          </w:p>
          <w:p w:rsidR="005D1B2D" w:rsidRDefault="00E62D34">
            <w:pPr>
              <w:pStyle w:val="ListParagraph"/>
              <w:numPr>
                <w:ilvl w:val="0"/>
                <w:numId w:val="11"/>
              </w:numPr>
              <w:spacing w:line="276" w:lineRule="auto"/>
              <w:jc w:val="both"/>
              <w:rPr>
                <w:rFonts w:ascii="Times New Roman" w:hAnsi="Times New Roman" w:cs="Times New Roman"/>
                <w:noProof/>
                <w:sz w:val="24"/>
                <w:szCs w:val="24"/>
              </w:rPr>
            </w:pPr>
            <w:r>
              <w:rPr>
                <w:rFonts w:ascii="Times New Roman" w:hAnsi="Times New Roman"/>
                <w:noProof/>
              </w:rPr>
              <w:t>Ирландия е въвела интегрирана система за публично финансирани образователни дейности, научни изследвания и разпространяване на опит в областта на селското стопанство, която спомага да се гарантира, че производителите разполагат с актуална и подходяща</w:t>
            </w:r>
            <w:r>
              <w:rPr>
                <w:rFonts w:ascii="Times New Roman" w:hAnsi="Times New Roman"/>
                <w:noProof/>
              </w:rPr>
              <w:t xml:space="preserve"> информация относно ИУВ;</w:t>
            </w:r>
          </w:p>
          <w:p w:rsidR="005D1B2D" w:rsidRDefault="00E62D34">
            <w:pPr>
              <w:pStyle w:val="ListParagraph"/>
              <w:numPr>
                <w:ilvl w:val="0"/>
                <w:numId w:val="11"/>
              </w:numPr>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Дания планира да създаде партньорство за технология за пръскане и прецизност, за да насърчи използването на инструменти, като глобални системи за позициониране (GPS) и дронове, което представлява добър пример за сътрудничество с ре</w:t>
            </w:r>
            <w:r>
              <w:rPr>
                <w:rFonts w:ascii="Times New Roman" w:hAnsi="Times New Roman"/>
                <w:noProof/>
              </w:rPr>
              <w:t>дица заинтересовани страни с оглед постигане на целите на Директивата относно УУП.</w:t>
            </w:r>
          </w:p>
        </w:tc>
      </w:tr>
    </w:tbl>
    <w:p w:rsidR="005D1B2D" w:rsidRDefault="005D1B2D">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5D1B2D" w:rsidRDefault="005D1B2D">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5D1B2D" w:rsidRDefault="005D1B2D">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5D1B2D" w:rsidRDefault="00E62D34">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b/>
          <w:noProof/>
        </w:rPr>
        <w:t xml:space="preserve">ХАРМОНИЗИРАНИ ПОКАЗАТЕЛИ ЗА РИСКА </w:t>
      </w:r>
    </w:p>
    <w:p w:rsidR="005D1B2D" w:rsidRDefault="005D1B2D">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 xml:space="preserve">Комисията разработи два хармонизирани показателя за риска, които показват, че макар след влизането в сила на Директивата относно УУП </w:t>
            </w:r>
            <w:r>
              <w:rPr>
                <w:rFonts w:ascii="Times New Roman" w:hAnsi="Times New Roman"/>
                <w:noProof/>
              </w:rPr>
              <w:t>да е постигнато намаляване на риска, произтичащ от продадените ПРЗ, също така е налице значително повишение на показателя, свързан с разрешенията при извънредни ситуации.</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spacing w:after="0"/>
        <w:jc w:val="both"/>
        <w:rPr>
          <w:noProof/>
        </w:rPr>
      </w:pPr>
      <w:r>
        <w:rPr>
          <w:rFonts w:ascii="Times New Roman" w:hAnsi="Times New Roman"/>
          <w:noProof/>
        </w:rPr>
        <w:t xml:space="preserve">Хармонизираните показатели за риска бяха установени с Директива (ЕС) 2019/782 на </w:t>
      </w:r>
      <w:r>
        <w:rPr>
          <w:rFonts w:ascii="Times New Roman" w:hAnsi="Times New Roman"/>
          <w:noProof/>
        </w:rPr>
        <w:t>Комисията</w:t>
      </w:r>
      <w:r>
        <w:rPr>
          <w:rStyle w:val="FootnoteReference"/>
          <w:rFonts w:ascii="Times New Roman" w:hAnsi="Times New Roman" w:cs="Times New Roman"/>
          <w:noProof/>
        </w:rPr>
        <w:footnoteReference w:id="33"/>
      </w:r>
      <w:r>
        <w:rPr>
          <w:rFonts w:ascii="Times New Roman" w:hAnsi="Times New Roman"/>
          <w:noProof/>
        </w:rPr>
        <w:t xml:space="preserve"> в изпълнение на задълженията, посочени в член 15, параграф 1 от Директивата относно УУП. Това беше в съответствие и с ангажимента, поет в отговор на Европейската гражданска инициатива „Забрана на използването на глифосат и защита на хората и око</w:t>
      </w:r>
      <w:r>
        <w:rPr>
          <w:rFonts w:ascii="Times New Roman" w:hAnsi="Times New Roman"/>
          <w:noProof/>
        </w:rPr>
        <w:t xml:space="preserve">лната среда от токсични пестициди“. Тези показатели дават възможност на Комисията да определи цялостния напредък в намаляването на рисковете, свързани с ПРЗ, съгласно Директивата относно УУП. </w:t>
      </w:r>
    </w:p>
    <w:p w:rsidR="005D1B2D" w:rsidRDefault="005D1B2D">
      <w:pPr>
        <w:pStyle w:val="Default"/>
        <w:spacing w:line="276" w:lineRule="auto"/>
        <w:jc w:val="both"/>
        <w:rPr>
          <w:noProof/>
        </w:rPr>
      </w:pPr>
    </w:p>
    <w:p w:rsidR="005D1B2D" w:rsidRDefault="00E62D34">
      <w:pPr>
        <w:pStyle w:val="Default"/>
        <w:spacing w:line="276" w:lineRule="auto"/>
        <w:jc w:val="both"/>
        <w:rPr>
          <w:noProof/>
        </w:rPr>
      </w:pPr>
      <w:r>
        <w:rPr>
          <w:noProof/>
        </w:rPr>
        <w:t>Първият хармонизиран показател за риска се основава на количес</w:t>
      </w:r>
      <w:r>
        <w:rPr>
          <w:noProof/>
        </w:rPr>
        <w:t xml:space="preserve">твата ПРЗ, пуснати на пазара (продадени) във всяка държава членка, докато вторият се основава на броя на разрешенията при извънредни ситуации, предоставени съгласно член 53 от Регламент (ЕО) № 1107/2009 от всяка държава членка. И двата показателя включват </w:t>
      </w:r>
      <w:r>
        <w:rPr>
          <w:noProof/>
        </w:rPr>
        <w:t>тегловен коефициент, за да бъдат отразени присъщите опасни свойства на активните вещества в тях. За изчисляване на тези показатели е подходящо да се използва тригодишен базов период, тъй като количеството и естеството на използваните ПРЗ се променят през р</w:t>
      </w:r>
      <w:r>
        <w:rPr>
          <w:noProof/>
        </w:rPr>
        <w:t xml:space="preserve">азличните години поради различия в мащаба и сериозността на огнищата на вредители през годините. </w:t>
      </w:r>
    </w:p>
    <w:p w:rsidR="005D1B2D" w:rsidRDefault="005D1B2D">
      <w:pPr>
        <w:pStyle w:val="Default"/>
        <w:spacing w:line="276" w:lineRule="auto"/>
        <w:jc w:val="both"/>
        <w:rPr>
          <w:noProof/>
        </w:rPr>
      </w:pPr>
    </w:p>
    <w:p w:rsidR="005D1B2D" w:rsidRDefault="00E62D34">
      <w:pPr>
        <w:pStyle w:val="Default"/>
        <w:spacing w:after="120" w:line="276" w:lineRule="auto"/>
        <w:jc w:val="both"/>
        <w:rPr>
          <w:noProof/>
        </w:rPr>
      </w:pPr>
      <w:r>
        <w:rPr>
          <w:b/>
          <w:noProof/>
        </w:rPr>
        <w:t>Фигура 1.</w:t>
      </w:r>
      <w:r>
        <w:rPr>
          <w:noProof/>
        </w:rPr>
        <w:t xml:space="preserve"> Тенденция при хармонизиран показател за риска № 1 (ХПР № 1), с базово равнище 100, определено въз основа на средната стойност за 2011, 2012 и 2013 г.</w:t>
      </w:r>
    </w:p>
    <w:p w:rsidR="005D1B2D" w:rsidRDefault="00E62D34">
      <w:pPr>
        <w:pStyle w:val="Default"/>
        <w:spacing w:line="276" w:lineRule="auto"/>
        <w:jc w:val="center"/>
        <w:rPr>
          <w:noProof/>
        </w:rPr>
      </w:pPr>
      <w:r>
        <w:rPr>
          <w:noProof/>
          <w:lang w:val="fr-BE" w:eastAsia="fr-BE"/>
        </w:rPr>
        <w:drawing>
          <wp:inline distT="0" distB="0" distL="0" distR="0">
            <wp:extent cx="4229100" cy="241138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3616" cy="2425362"/>
                    </a:xfrm>
                    <a:prstGeom prst="rect">
                      <a:avLst/>
                    </a:prstGeom>
                    <a:noFill/>
                    <a:ln>
                      <a:noFill/>
                    </a:ln>
                  </pic:spPr>
                </pic:pic>
              </a:graphicData>
            </a:graphic>
          </wp:inline>
        </w:drawing>
      </w:r>
    </w:p>
    <w:p w:rsidR="005D1B2D" w:rsidRDefault="00E62D34">
      <w:pPr>
        <w:pStyle w:val="Default"/>
        <w:spacing w:line="276" w:lineRule="auto"/>
        <w:ind w:left="720" w:firstLine="720"/>
        <w:jc w:val="both"/>
        <w:rPr>
          <w:noProof/>
          <w:sz w:val="20"/>
          <w:szCs w:val="20"/>
        </w:rPr>
      </w:pPr>
      <w:r>
        <w:rPr>
          <w:noProof/>
          <w:sz w:val="20"/>
          <w:szCs w:val="20"/>
        </w:rPr>
        <w:t>Източник: Европейска комисия</w:t>
      </w:r>
      <w:r>
        <w:rPr>
          <w:noProof/>
        </w:rPr>
        <w:t xml:space="preserve"> </w:t>
      </w:r>
    </w:p>
    <w:p w:rsidR="005D1B2D" w:rsidRDefault="00E62D34">
      <w:pPr>
        <w:spacing w:before="240" w:after="240"/>
        <w:jc w:val="both"/>
        <w:rPr>
          <w:rFonts w:ascii="Times New Roman" w:hAnsi="Times New Roman" w:cs="Times New Roman"/>
          <w:noProof/>
          <w:sz w:val="24"/>
          <w:szCs w:val="24"/>
        </w:rPr>
      </w:pPr>
      <w:r>
        <w:rPr>
          <w:rFonts w:ascii="Times New Roman" w:hAnsi="Times New Roman"/>
          <w:noProof/>
        </w:rPr>
        <w:t>Хармонизираният показател за риска № 1 показва намаляване на риска с 20 %</w:t>
      </w:r>
      <w:r>
        <w:rPr>
          <w:rFonts w:ascii="Times New Roman" w:hAnsi="Times New Roman"/>
          <w:noProof/>
        </w:rPr>
        <w:t xml:space="preserve"> от базовия период до 2017 г., въпреки че през това време количеството ПРЗ, пуснати на пазара, е останало относително постоянно</w:t>
      </w:r>
      <w:r>
        <w:rPr>
          <w:rStyle w:val="FootnoteReference"/>
          <w:rFonts w:ascii="Times New Roman" w:hAnsi="Times New Roman" w:cs="Times New Roman"/>
          <w:noProof/>
        </w:rPr>
        <w:footnoteReference w:id="34"/>
      </w:r>
      <w:r>
        <w:rPr>
          <w:rFonts w:ascii="Times New Roman" w:hAnsi="Times New Roman"/>
          <w:noProof/>
        </w:rPr>
        <w:t>. Това изглежда показва преминаване към по-широко използване на по-малко опасни вещества. Въпреки това съществува потенциал за п</w:t>
      </w:r>
      <w:r>
        <w:rPr>
          <w:rFonts w:ascii="Times New Roman" w:hAnsi="Times New Roman"/>
          <w:noProof/>
        </w:rPr>
        <w:t xml:space="preserve">о-нататъшно намаляване на риска и на употребата чрез подобрено изпълнение на Директивата относно УУП и засилено прилагане на ИУВ, включително по-широкото прилагане на нехимични техники за контрол на вредителите. </w:t>
      </w:r>
    </w:p>
    <w:p w:rsidR="005D1B2D" w:rsidRDefault="005D1B2D">
      <w:pPr>
        <w:rPr>
          <w:rFonts w:ascii="Times New Roman" w:hAnsi="Times New Roman" w:cs="Times New Roman"/>
          <w:b/>
          <w:noProof/>
          <w:sz w:val="24"/>
          <w:szCs w:val="24"/>
        </w:rPr>
      </w:pPr>
    </w:p>
    <w:p w:rsidR="005D1B2D" w:rsidRDefault="00E62D34">
      <w:pPr>
        <w:spacing w:after="120"/>
        <w:jc w:val="both"/>
        <w:rPr>
          <w:rFonts w:ascii="Times New Roman" w:hAnsi="Times New Roman"/>
          <w:noProof/>
        </w:rPr>
      </w:pPr>
      <w:r>
        <w:rPr>
          <w:rFonts w:ascii="Times New Roman" w:hAnsi="Times New Roman"/>
          <w:b/>
          <w:noProof/>
        </w:rPr>
        <w:t>Фигура 2.</w:t>
      </w:r>
      <w:r>
        <w:rPr>
          <w:rFonts w:ascii="Times New Roman" w:hAnsi="Times New Roman"/>
          <w:noProof/>
        </w:rPr>
        <w:t xml:space="preserve"> Тенденция при хармонизиран показ</w:t>
      </w:r>
      <w:r>
        <w:rPr>
          <w:rFonts w:ascii="Times New Roman" w:hAnsi="Times New Roman"/>
          <w:noProof/>
        </w:rPr>
        <w:t>ател за риска № 2 (ХПР № 2), с базово равнище 100, определено въз основа на средната стойност за 2011, 2012 и 2013 г.</w:t>
      </w:r>
    </w:p>
    <w:p w:rsidR="005D1B2D" w:rsidRDefault="00E62D34">
      <w:pPr>
        <w:spacing w:after="0"/>
        <w:jc w:val="center"/>
        <w:rPr>
          <w:rFonts w:ascii="Times New Roman" w:hAnsi="Times New Roman" w:cs="Times New Roman"/>
          <w:noProof/>
          <w:sz w:val="24"/>
          <w:szCs w:val="24"/>
        </w:rPr>
      </w:pPr>
      <w:r>
        <w:rPr>
          <w:noProof/>
          <w:lang w:val="fr-BE" w:eastAsia="fr-BE"/>
        </w:rPr>
        <w:drawing>
          <wp:inline distT="0" distB="0" distL="0" distR="0">
            <wp:extent cx="4247255" cy="27241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0556" cy="2739095"/>
                    </a:xfrm>
                    <a:prstGeom prst="rect">
                      <a:avLst/>
                    </a:prstGeom>
                    <a:noFill/>
                    <a:ln>
                      <a:noFill/>
                    </a:ln>
                  </pic:spPr>
                </pic:pic>
              </a:graphicData>
            </a:graphic>
          </wp:inline>
        </w:drawing>
      </w:r>
    </w:p>
    <w:p w:rsidR="005D1B2D" w:rsidRDefault="00E62D34">
      <w:pPr>
        <w:pStyle w:val="Default"/>
        <w:spacing w:line="276" w:lineRule="auto"/>
        <w:ind w:left="720" w:firstLine="720"/>
        <w:jc w:val="both"/>
        <w:rPr>
          <w:b/>
          <w:noProof/>
          <w:sz w:val="20"/>
          <w:szCs w:val="20"/>
        </w:rPr>
      </w:pPr>
      <w:r>
        <w:rPr>
          <w:noProof/>
          <w:sz w:val="20"/>
          <w:szCs w:val="20"/>
        </w:rPr>
        <w:t xml:space="preserve">Източник: Европейска комисия </w:t>
      </w:r>
    </w:p>
    <w:p w:rsidR="005D1B2D" w:rsidRDefault="005D1B2D">
      <w:pPr>
        <w:pStyle w:val="Default"/>
        <w:spacing w:line="276" w:lineRule="auto"/>
        <w:jc w:val="both"/>
        <w:rPr>
          <w:noProof/>
        </w:rPr>
      </w:pPr>
    </w:p>
    <w:p w:rsidR="005D1B2D" w:rsidRDefault="00E62D34">
      <w:pPr>
        <w:jc w:val="both"/>
        <w:rPr>
          <w:rFonts w:ascii="Times New Roman" w:hAnsi="Times New Roman" w:cs="Times New Roman"/>
          <w:noProof/>
          <w:sz w:val="24"/>
          <w:szCs w:val="24"/>
        </w:rPr>
      </w:pPr>
      <w:r>
        <w:rPr>
          <w:rFonts w:ascii="Times New Roman" w:hAnsi="Times New Roman"/>
          <w:noProof/>
        </w:rPr>
        <w:t>Хармонизираният показател за риска № 2 показва увеличение с 50 % от базовия период до 2017 г. Този показа</w:t>
      </w:r>
      <w:r>
        <w:rPr>
          <w:rFonts w:ascii="Times New Roman" w:hAnsi="Times New Roman"/>
          <w:noProof/>
        </w:rPr>
        <w:t>тел се основава на броя на разрешенията при извънредни ситуации, към който е приложен тегловен коефициент въз основа на присъщите опасни свойства на активните вещества в ПРЗ. Мащабът при отделните разрешения при извънредни ситуации (и следователно количест</w:t>
      </w:r>
      <w:r>
        <w:rPr>
          <w:rFonts w:ascii="Times New Roman" w:hAnsi="Times New Roman"/>
          <w:noProof/>
        </w:rPr>
        <w:t xml:space="preserve">вата използвани ПРЗ) варира в широки граници, например от няколко хектара в случая на съвсем маловажни култури до широка употреба при широко разпространени полски култури в други случаи. Тъй като използваните количества ПРЗ или свързаната с тях информация </w:t>
      </w:r>
      <w:r>
        <w:rPr>
          <w:rFonts w:ascii="Times New Roman" w:hAnsi="Times New Roman"/>
          <w:noProof/>
        </w:rPr>
        <w:t>не са били регистрирани по един и същ начин от всички държави членки, предоставили тези разрешения при извънредни ситуации през периода 2011—2017 г., не беше възможно да се установи по-комплексен показател.</w:t>
      </w:r>
    </w:p>
    <w:p w:rsidR="005D1B2D" w:rsidRDefault="00E62D34">
      <w:pPr>
        <w:jc w:val="both"/>
        <w:rPr>
          <w:rFonts w:ascii="Times New Roman" w:hAnsi="Times New Roman" w:cs="Times New Roman"/>
          <w:noProof/>
          <w:sz w:val="24"/>
          <w:szCs w:val="24"/>
        </w:rPr>
      </w:pPr>
      <w:r>
        <w:rPr>
          <w:rFonts w:ascii="Times New Roman" w:hAnsi="Times New Roman"/>
          <w:noProof/>
        </w:rPr>
        <w:t>Тези разрешения се предоставят поради множество п</w:t>
      </w:r>
      <w:r>
        <w:rPr>
          <w:rFonts w:ascii="Times New Roman" w:hAnsi="Times New Roman"/>
          <w:noProof/>
        </w:rPr>
        <w:t>ричини, включително нововъзникващи проблеми със здравето на растенията и минимални употреби, както са определени в член 3, точка 26 от Регламент (ЕО) № 1107/2009. В някои случаи те могат да представляват важна част от стратегията на Европейския съюз за кон</w:t>
      </w:r>
      <w:r>
        <w:rPr>
          <w:rFonts w:ascii="Times New Roman" w:hAnsi="Times New Roman"/>
          <w:noProof/>
        </w:rPr>
        <w:t>трол на разпространението на нови вредители, тъй като държавите членки могат да предоставят такива разрешения сравнително бързо след откриването на вредителя. Значителното увеличение на броя на тези разрешения обаче може да се дължи на неуспеха на държавит</w:t>
      </w:r>
      <w:r>
        <w:rPr>
          <w:rFonts w:ascii="Times New Roman" w:hAnsi="Times New Roman"/>
          <w:noProof/>
        </w:rPr>
        <w:t>е членки да изпълнят изцяло както Директивата относно УУП, така и Регламент (ЕО) № 1107/2009 поради изложените по-долу причини.</w:t>
      </w:r>
    </w:p>
    <w:p w:rsidR="005D1B2D" w:rsidRDefault="00E62D34">
      <w:pPr>
        <w:jc w:val="both"/>
        <w:rPr>
          <w:rFonts w:ascii="Times New Roman" w:hAnsi="Times New Roman" w:cs="Times New Roman"/>
          <w:noProof/>
          <w:sz w:val="24"/>
          <w:szCs w:val="24"/>
        </w:rPr>
      </w:pPr>
      <w:r>
        <w:rPr>
          <w:rFonts w:ascii="Times New Roman" w:hAnsi="Times New Roman"/>
          <w:noProof/>
        </w:rPr>
        <w:t>Тенденцията при хармонизирания показател за риска № 2 показва, че или все още не са налични алтернативни техники за предотвратяв</w:t>
      </w:r>
      <w:r>
        <w:rPr>
          <w:rFonts w:ascii="Times New Roman" w:hAnsi="Times New Roman"/>
          <w:noProof/>
        </w:rPr>
        <w:t>ане на огнища на вредители, така че да се намали зависимостта от ПРЗ, или че тези техники не се прилагат в достатъчна степен. Тя също така показва необходимостта държавите членки да изпълняват своите правни задължения съгласно Регламент (ЕО) № 1107/2009 по</w:t>
      </w:r>
      <w:r>
        <w:rPr>
          <w:rFonts w:ascii="Times New Roman" w:hAnsi="Times New Roman"/>
          <w:noProof/>
        </w:rPr>
        <w:t xml:space="preserve"> отношение на спазването на крайните срокове за вземане на решения за разрешаване на ПРЗ и да използват в пълна степен възможностите за минимални употреби, предвидени в член 51 от същия регламент (разширяване на обхвата на разрешения за минимални употреби)</w:t>
      </w:r>
      <w:r>
        <w:rPr>
          <w:rFonts w:ascii="Times New Roman" w:hAnsi="Times New Roman"/>
          <w:noProof/>
        </w:rPr>
        <w:t xml:space="preserve">. Това би спомогнало за разширяване на обхвата на надлежно разрешените ПРЗ, достъпни за производителите, както е отбелязано в оценката по REFIT (Програма за пригодност и резултатност на регулаторната рамка) на законодателството на Европейския съюз относно </w:t>
      </w:r>
      <w:r>
        <w:rPr>
          <w:rFonts w:ascii="Times New Roman" w:hAnsi="Times New Roman"/>
          <w:noProof/>
        </w:rPr>
        <w:t>продуктите за растителна защита и остатъчните вещества от пестициди (Регламент (ЕО) № 1107/2009 и Регламент (ЕО) № 396/2005)</w:t>
      </w:r>
      <w:r>
        <w:rPr>
          <w:rStyle w:val="FootnoteReference"/>
          <w:rFonts w:ascii="Times New Roman" w:hAnsi="Times New Roman" w:cs="Times New Roman"/>
          <w:noProof/>
        </w:rPr>
        <w:footnoteReference w:id="35"/>
      </w:r>
      <w:r>
        <w:rPr>
          <w:rFonts w:ascii="Times New Roman" w:hAnsi="Times New Roman"/>
          <w:noProof/>
        </w:rPr>
        <w:t>.</w:t>
      </w:r>
    </w:p>
    <w:p w:rsidR="005D1B2D" w:rsidRDefault="00E62D34">
      <w:pPr>
        <w:pStyle w:val="CM4"/>
        <w:spacing w:line="276" w:lineRule="auto"/>
        <w:jc w:val="both"/>
        <w:rPr>
          <w:rFonts w:ascii="Times New Roman" w:hAnsi="Times New Roman"/>
          <w:noProof/>
        </w:rPr>
      </w:pPr>
      <w:r>
        <w:rPr>
          <w:rFonts w:ascii="Times New Roman" w:hAnsi="Times New Roman"/>
          <w:noProof/>
        </w:rPr>
        <w:t xml:space="preserve">От държавите членки се изисква да изчисляват хармонизираните показатели за риска № 1 и № 2, да установяват тенденциите в </w:t>
      </w:r>
      <w:r>
        <w:rPr>
          <w:rFonts w:ascii="Times New Roman" w:hAnsi="Times New Roman"/>
          <w:noProof/>
        </w:rPr>
        <w:t>употребата на определени активни вещества и да установяват приоритетни обекти, като например активни вещества, култури, региони или практики, които изискват особено внимание, или добри практики. Те трябва също така да съобщават резултатите от тези оценки н</w:t>
      </w:r>
      <w:r>
        <w:rPr>
          <w:rFonts w:ascii="Times New Roman" w:hAnsi="Times New Roman"/>
          <w:noProof/>
        </w:rPr>
        <w:t>а Комисията и на други държави членки, както и да предоставят тази информация на обществеността. До момента двадесет държави членки са изчислили и публикували хармонизираните показатели за риска № 1 и № 2, но само малък брой държави членки са установили те</w:t>
      </w:r>
      <w:r>
        <w:rPr>
          <w:rFonts w:ascii="Times New Roman" w:hAnsi="Times New Roman"/>
          <w:noProof/>
        </w:rPr>
        <w:t>нденциите в употребата на определени активни вещества, приоритетните обекти или добрите практики.</w:t>
      </w:r>
      <w:r>
        <w:rPr>
          <w:rStyle w:val="FootnoteReference"/>
          <w:rFonts w:ascii="Times New Roman" w:hAnsi="Times New Roman" w:cs="Times New Roman"/>
          <w:noProof/>
        </w:rPr>
        <w:footnoteReference w:id="36"/>
      </w:r>
      <w:r>
        <w:rPr>
          <w:rFonts w:ascii="Times New Roman" w:hAnsi="Times New Roman"/>
          <w:noProof/>
        </w:rPr>
        <w:t xml:space="preserve"> </w:t>
      </w:r>
    </w:p>
    <w:p w:rsidR="005D1B2D" w:rsidRDefault="005D1B2D">
      <w:pPr>
        <w:pStyle w:val="CM4"/>
        <w:spacing w:line="276" w:lineRule="auto"/>
        <w:jc w:val="both"/>
        <w:rPr>
          <w:rFonts w:ascii="Times New Roman" w:hAnsi="Times New Roman" w:cs="Times New Roman"/>
          <w:noProof/>
          <w:color w:val="000000"/>
        </w:rPr>
      </w:pPr>
    </w:p>
    <w:p w:rsidR="005D1B2D" w:rsidRDefault="00E62D34">
      <w:pPr>
        <w:pStyle w:val="CM4"/>
        <w:spacing w:line="276" w:lineRule="auto"/>
        <w:jc w:val="both"/>
        <w:rPr>
          <w:noProof/>
        </w:rPr>
      </w:pPr>
      <w:r>
        <w:rPr>
          <w:rFonts w:ascii="Times New Roman" w:hAnsi="Times New Roman"/>
          <w:noProof/>
        </w:rPr>
        <w:t xml:space="preserve">И двата хармонизирани показателя за риска № 1 и № 2 са показатели на високо равнище и в съответствие с член 15 от Директивата относно УУП държавите членки </w:t>
      </w:r>
      <w:r>
        <w:rPr>
          <w:rFonts w:ascii="Times New Roman" w:hAnsi="Times New Roman"/>
          <w:noProof/>
        </w:rPr>
        <w:t>могат да продължат да използват съществуващите национални показатели или да приемат други подходящи показатели в допълнение към тях, за да отразяват по-добре тенденциите при рисковете, които са от значение на тяхната територия.</w:t>
      </w:r>
    </w:p>
    <w:p w:rsidR="005D1B2D" w:rsidRDefault="00E62D34">
      <w:pPr>
        <w:spacing w:before="240"/>
        <w:jc w:val="both"/>
        <w:rPr>
          <w:noProof/>
        </w:rPr>
      </w:pPr>
      <w:r>
        <w:rPr>
          <w:rFonts w:ascii="Times New Roman" w:hAnsi="Times New Roman"/>
          <w:noProof/>
        </w:rPr>
        <w:t>И накрая, Комисията се ангаж</w:t>
      </w:r>
      <w:r>
        <w:rPr>
          <w:rFonts w:ascii="Times New Roman" w:hAnsi="Times New Roman"/>
          <w:noProof/>
        </w:rPr>
        <w:t>ира да работи за разработването на допълнителни хармонизирани показатели за риска съвместно с държавите членки, като взема предвид новите източници на данни, с цел по-добро измерване на развитието на рисковете, свързани с използването на ПРЗ, и зависимостт</w:t>
      </w:r>
      <w:r>
        <w:rPr>
          <w:rFonts w:ascii="Times New Roman" w:hAnsi="Times New Roman"/>
          <w:noProof/>
        </w:rPr>
        <w:t>а от тях. Като първи приоритет в тази област Комисията по-специално определи необходимостта от разработване на алтернатива на хармонизиран показател за риска № 2, за да бъдат отразени по-точно рисковете, свързани с разрешенията при извънредни ситуации. Тов</w:t>
      </w:r>
      <w:r>
        <w:rPr>
          <w:rFonts w:ascii="Times New Roman" w:hAnsi="Times New Roman"/>
          <w:noProof/>
        </w:rPr>
        <w:t xml:space="preserve">а би включвало разработване на нов показател въз основа на броя на тези разрешения, мащаба на употреба в резултат на отделните разрешения (например брой третирани хектари) и свойствата на използваните ПРЗ, който впоследствие би отразил по-добре рисковете, </w:t>
      </w:r>
      <w:r>
        <w:rPr>
          <w:rFonts w:ascii="Times New Roman" w:hAnsi="Times New Roman"/>
          <w:noProof/>
        </w:rPr>
        <w:t>произтичащи от разрешенията при извънредни ситуации.</w:t>
      </w:r>
    </w:p>
    <w:p w:rsidR="005D1B2D" w:rsidRDefault="00E62D34">
      <w:pPr>
        <w:spacing w:before="240"/>
        <w:jc w:val="both"/>
        <w:rPr>
          <w:rFonts w:ascii="Times New Roman" w:hAnsi="Times New Roman" w:cs="Times New Roman"/>
          <w:noProof/>
          <w:sz w:val="24"/>
          <w:szCs w:val="24"/>
        </w:rPr>
      </w:pPr>
      <w:r>
        <w:rPr>
          <w:rFonts w:ascii="Times New Roman" w:hAnsi="Times New Roman"/>
          <w:noProof/>
        </w:rPr>
        <w:t>По-подробен анализ на хармонизираните показатели за риска е на разположение на адрес</w:t>
      </w:r>
      <w:hyperlink r:id="rId19" w:history="1">
        <w:r>
          <w:rPr>
            <w:rStyle w:val="Hyperlink"/>
            <w:rFonts w:ascii="Times New Roman" w:hAnsi="Times New Roman"/>
            <w:noProof/>
          </w:rPr>
          <w:t>htt</w:t>
        </w:r>
        <w:r>
          <w:rPr>
            <w:rStyle w:val="Hyperlink"/>
            <w:rFonts w:ascii="Times New Roman" w:hAnsi="Times New Roman"/>
            <w:noProof/>
          </w:rPr>
          <w:t>ps://ec.europa.eu/food/plant/pesticides/sustainable_use_pesticides/harmonised-risk-indicators_en</w:t>
        </w:r>
      </w:hyperlink>
      <w:r>
        <w:rPr>
          <w:rFonts w:ascii="Times New Roman" w:hAnsi="Times New Roman"/>
          <w:noProof/>
        </w:rPr>
        <w:t xml:space="preserve">: </w:t>
      </w:r>
    </w:p>
    <w:p w:rsidR="005D1B2D" w:rsidRDefault="005D1B2D">
      <w:pPr>
        <w:spacing w:before="240"/>
        <w:jc w:val="both"/>
        <w:rPr>
          <w:rFonts w:ascii="Times New Roman" w:hAnsi="Times New Roman" w:cs="Times New Roman"/>
          <w:noProof/>
          <w:sz w:val="24"/>
          <w:szCs w:val="24"/>
        </w:rPr>
      </w:pPr>
    </w:p>
    <w:p w:rsidR="005D1B2D" w:rsidRDefault="00E62D34">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b/>
          <w:noProof/>
        </w:rPr>
        <w:t>ЦЯЛОСТНО ИЗПЪЛНЕНИЕ НА ДИРЕКТИВАТА</w:t>
      </w:r>
    </w:p>
    <w:p w:rsidR="005D1B2D" w:rsidRDefault="005D1B2D">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hAnsi="Times New Roman" w:cs="Times New Roman"/>
                <w:noProof/>
                <w:sz w:val="24"/>
                <w:szCs w:val="24"/>
              </w:rPr>
            </w:pPr>
            <w:r>
              <w:rPr>
                <w:rFonts w:ascii="Times New Roman" w:hAnsi="Times New Roman"/>
                <w:noProof/>
              </w:rPr>
              <w:t xml:space="preserve">Въпреки широко разпространените случаи на забавяния при преразглеждането на НПД и липсата в повечето от преразгледаните </w:t>
            </w:r>
            <w:r>
              <w:rPr>
                <w:rFonts w:ascii="Times New Roman" w:hAnsi="Times New Roman"/>
                <w:noProof/>
              </w:rPr>
              <w:t>НПД на високи цели, основани на резултатите, през последните две години държавите членки са постигнали напредък в изпълнението на Директивата относно УУП. Понастоящем Комисията обмисля редица действия, включително процедури за нарушения, които да предприем</w:t>
            </w:r>
            <w:r>
              <w:rPr>
                <w:rFonts w:ascii="Times New Roman" w:hAnsi="Times New Roman"/>
                <w:noProof/>
              </w:rPr>
              <w:t>е във връзка със случаите, в които напредъкът не е задоволителен.</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В доклада на Комисията от 2017 г.</w:t>
      </w:r>
      <w:r>
        <w:rPr>
          <w:rStyle w:val="FootnoteReference"/>
          <w:rFonts w:ascii="Times New Roman" w:eastAsia="Times New Roman" w:hAnsi="Times New Roman" w:cs="Times New Roman"/>
          <w:noProof/>
        </w:rPr>
        <w:footnoteReference w:id="37"/>
      </w:r>
      <w:r>
        <w:rPr>
          <w:rFonts w:ascii="Times New Roman" w:hAnsi="Times New Roman"/>
          <w:noProof/>
        </w:rPr>
        <w:t xml:space="preserve"> беше отчетен постигнатият значителен напредък, но бе направено заключението, че държавите членки трябва да положат повече усилия за изпълнението на Дирек</w:t>
      </w:r>
      <w:r>
        <w:rPr>
          <w:rFonts w:ascii="Times New Roman" w:hAnsi="Times New Roman"/>
          <w:noProof/>
        </w:rPr>
        <w:t>тивата относно УУП, за да постигнат планираните подобрения в областта на околната среда и здравето. Като конкретни области, в които се изисква подобрение, в доклада бях посочени проверките на оборудването за прилагане на пестициди, информацията за натравян</w:t>
      </w:r>
      <w:r>
        <w:rPr>
          <w:rFonts w:ascii="Times New Roman" w:hAnsi="Times New Roman"/>
          <w:noProof/>
        </w:rPr>
        <w:t>е с пестициди и оценката на прилагането на принципите на ИУВ.</w:t>
      </w: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 xml:space="preserve"> </w:t>
      </w:r>
    </w:p>
    <w:p w:rsidR="005D1B2D" w:rsidRDefault="00E62D34">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rPr>
        <w:t>В него беше заключено, че е необходимо държавите членки да преразгледат и усъвършенстват своите НПД, като установят конкретни и измерими цели и показатели като част от дългосрочна стратегия за намаляване на рисковете и въздействията от употребата на пестиц</w:t>
      </w:r>
      <w:r>
        <w:rPr>
          <w:rFonts w:ascii="Times New Roman" w:hAnsi="Times New Roman"/>
          <w:noProof/>
        </w:rPr>
        <w:t xml:space="preserve">иди. Тези цели впоследствие биха позволили на държавите членки да осъществяват мониторинг на напредъка в изпълнението на Директивата относно УУП и при необходимост да коригират своите стратегии. </w:t>
      </w:r>
    </w:p>
    <w:p w:rsidR="005D1B2D" w:rsidRDefault="005D1B2D">
      <w:pPr>
        <w:tabs>
          <w:tab w:val="left" w:pos="871"/>
        </w:tabs>
        <w:autoSpaceDE w:val="0"/>
        <w:autoSpaceDN w:val="0"/>
        <w:adjustRightInd w:val="0"/>
        <w:spacing w:after="0"/>
        <w:jc w:val="both"/>
        <w:rPr>
          <w:rFonts w:ascii="Times New Roman" w:hAnsi="Times New Roman" w:cs="Times New Roman"/>
          <w:noProof/>
          <w:sz w:val="24"/>
          <w:szCs w:val="24"/>
        </w:rPr>
      </w:pPr>
    </w:p>
    <w:p w:rsidR="005D1B2D" w:rsidRDefault="00E62D34">
      <w:pPr>
        <w:tabs>
          <w:tab w:val="left" w:pos="871"/>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rPr>
        <w:t>Комисията възприе многостранен подход за справяне с тези сл</w:t>
      </w:r>
      <w:r>
        <w:rPr>
          <w:rFonts w:ascii="Times New Roman" w:hAnsi="Times New Roman"/>
          <w:noProof/>
        </w:rPr>
        <w:t xml:space="preserve">абости при изпълнението от страна на държавите членки. През октомври 2017 г. Комисията изпрати до всички държави членки отделни писма, изготвени въз основа на подробен преглед на първоначалните им НПД и очертаващи конкретните им слабости. Държавите членки </w:t>
      </w:r>
      <w:r>
        <w:rPr>
          <w:rFonts w:ascii="Times New Roman" w:hAnsi="Times New Roman"/>
          <w:noProof/>
        </w:rPr>
        <w:t xml:space="preserve">бяха призовани да разгледат тези проблеми с оглед на евентуално преработване на своите НПД.  </w:t>
      </w:r>
    </w:p>
    <w:p w:rsidR="005D1B2D" w:rsidRDefault="005D1B2D">
      <w:pPr>
        <w:pStyle w:val="ListParagraph"/>
        <w:tabs>
          <w:tab w:val="left" w:pos="871"/>
        </w:tabs>
        <w:autoSpaceDE w:val="0"/>
        <w:autoSpaceDN w:val="0"/>
        <w:adjustRightInd w:val="0"/>
        <w:spacing w:after="0"/>
        <w:jc w:val="both"/>
        <w:rPr>
          <w:rFonts w:ascii="Times New Roman" w:hAnsi="Times New Roman" w:cs="Times New Roman"/>
          <w:noProof/>
          <w:color w:val="000000"/>
          <w:sz w:val="24"/>
          <w:szCs w:val="24"/>
        </w:rPr>
      </w:pPr>
    </w:p>
    <w:p w:rsidR="005D1B2D" w:rsidRDefault="00E62D34">
      <w:pPr>
        <w:tabs>
          <w:tab w:val="left" w:pos="871"/>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rPr>
        <w:t>Въз основа на отговорите на тези писма Комисията предприе серия от целеви одити, за да оцени изпълнението на Директивата относно УУП в единадесет държави членки, и в допълнение изпрати писма до четири държави членки, за да разясни някои аспекти от изпълнен</w:t>
      </w:r>
      <w:r>
        <w:rPr>
          <w:rFonts w:ascii="Times New Roman" w:hAnsi="Times New Roman"/>
          <w:noProof/>
        </w:rPr>
        <w:t xml:space="preserve">ието на Директивата относно УУП. </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И накрая, Комисията разработи индекс за мониторинг на съответствието, за да обобщи напредъка, постигнат от държавите членки в изпълнението на всеки член от Директивата относно УУП. Този индекс показва 10 % подобрение на ц</w:t>
      </w:r>
      <w:r>
        <w:rPr>
          <w:rFonts w:ascii="Times New Roman" w:hAnsi="Times New Roman"/>
          <w:noProof/>
        </w:rPr>
        <w:t xml:space="preserve">ялостното изпълнение на Директивата относно УУП през периода 2017—2019 г., както е посочено в приложението. </w:t>
      </w:r>
    </w:p>
    <w:p w:rsidR="005D1B2D" w:rsidRDefault="00E62D34">
      <w:pPr>
        <w:jc w:val="both"/>
        <w:rPr>
          <w:rFonts w:ascii="Times New Roman" w:hAnsi="Times New Roman" w:cs="Times New Roman"/>
          <w:noProof/>
          <w:sz w:val="24"/>
          <w:szCs w:val="24"/>
        </w:rPr>
      </w:pPr>
      <w:r>
        <w:rPr>
          <w:rFonts w:ascii="Times New Roman" w:hAnsi="Times New Roman"/>
          <w:noProof/>
        </w:rPr>
        <w:t>Въз основа на отговорите на тези две серии от писма, резултатите от одитите и напредъка, илюстриран чрез показателя, Комисията отбелязва, че от 201</w:t>
      </w:r>
      <w:r>
        <w:rPr>
          <w:rFonts w:ascii="Times New Roman" w:hAnsi="Times New Roman"/>
          <w:noProof/>
        </w:rPr>
        <w:t>7 г. насам е постигнат допълнителен напредък в изпълнението на Директивата относно УУП. Например площите, обработвани чрез въздушно пръскане, продължават да намаляват, по-голямата част от държавите членки са създали цялостни системи за обучение и сертифици</w:t>
      </w:r>
      <w:r>
        <w:rPr>
          <w:rFonts w:ascii="Times New Roman" w:hAnsi="Times New Roman"/>
          <w:noProof/>
        </w:rPr>
        <w:t xml:space="preserve">ране на оператори и за изпитване на оборудване за прилагане на пестициди и са установили мерки за опазване на водната среда и за гарантиране, че пестицидите се съхраняват и употребяват по безопасен начин. </w:t>
      </w:r>
    </w:p>
    <w:p w:rsidR="005D1B2D" w:rsidRDefault="00E62D34">
      <w:pPr>
        <w:jc w:val="both"/>
        <w:rPr>
          <w:rFonts w:ascii="Times New Roman" w:hAnsi="Times New Roman" w:cs="Times New Roman"/>
          <w:noProof/>
          <w:sz w:val="24"/>
          <w:szCs w:val="24"/>
        </w:rPr>
      </w:pPr>
      <w:r>
        <w:rPr>
          <w:rFonts w:ascii="Times New Roman" w:hAnsi="Times New Roman"/>
          <w:noProof/>
        </w:rPr>
        <w:t>Въпреки това в някои държави членки продължават да</w:t>
      </w:r>
      <w:r>
        <w:rPr>
          <w:rFonts w:ascii="Times New Roman" w:hAnsi="Times New Roman"/>
          <w:noProof/>
        </w:rPr>
        <w:t xml:space="preserve"> са налице конкретни слабости в прилагането на някои аспекти от Директивата относно УУП. Най-често срещаните слабости са свързани със забавяния при прегледа на НПД, забавяния при изпитването на оборудването за прилагане на пестициди и недостатъци в контрол</w:t>
      </w:r>
      <w:r>
        <w:rPr>
          <w:rFonts w:ascii="Times New Roman" w:hAnsi="Times New Roman"/>
          <w:noProof/>
        </w:rPr>
        <w:t>а, упражняван от държавите членки при оценката на изпълнението на Директивата относно УУП, например по отношение на ИУВ. Понастоящем Комисията обмисля редица действия, включително процедури за нарушения, които да предприеме във връзка със случаите, в които</w:t>
      </w:r>
      <w:r>
        <w:rPr>
          <w:rFonts w:ascii="Times New Roman" w:hAnsi="Times New Roman"/>
          <w:noProof/>
        </w:rPr>
        <w:t xml:space="preserve"> напредъкът не е задоволителен.</w:t>
      </w:r>
    </w:p>
    <w:p w:rsidR="005D1B2D" w:rsidRDefault="005D1B2D">
      <w:pPr>
        <w:jc w:val="both"/>
        <w:rPr>
          <w:rFonts w:ascii="Times New Roman" w:hAnsi="Times New Roman" w:cs="Times New Roman"/>
          <w:noProof/>
          <w:sz w:val="24"/>
          <w:szCs w:val="24"/>
        </w:rPr>
      </w:pPr>
    </w:p>
    <w:p w:rsidR="005D1B2D" w:rsidRDefault="00E62D34">
      <w:pPr>
        <w:pStyle w:val="ListParagraph"/>
        <w:numPr>
          <w:ilvl w:val="1"/>
          <w:numId w:val="15"/>
        </w:numPr>
        <w:ind w:left="426" w:hanging="426"/>
        <w:rPr>
          <w:rFonts w:ascii="Times New Roman" w:hAnsi="Times New Roman" w:cs="Times New Roman"/>
          <w:b/>
          <w:noProof/>
          <w:sz w:val="24"/>
          <w:szCs w:val="24"/>
        </w:rPr>
      </w:pPr>
      <w:r>
        <w:rPr>
          <w:rFonts w:ascii="Times New Roman" w:hAnsi="Times New Roman"/>
          <w:b/>
          <w:noProof/>
        </w:rPr>
        <w:t>ИНТЕГРИРАНО УПРАВЛЕНИЕ НА ВРЕДИТЕЛИТЕ</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Най-често срещаната слабост при изпълнението на Директивата относно УУП продължава да бъде оценяването от страна на държавите членки на прилагането на ИУВ.</w:t>
            </w:r>
          </w:p>
        </w:tc>
      </w:tr>
    </w:tbl>
    <w:p w:rsidR="005D1B2D" w:rsidRDefault="005D1B2D">
      <w:pPr>
        <w:autoSpaceDE w:val="0"/>
        <w:autoSpaceDN w:val="0"/>
        <w:adjustRightInd w:val="0"/>
        <w:spacing w:after="0"/>
        <w:jc w:val="both"/>
        <w:rPr>
          <w:rFonts w:ascii="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rPr>
        <w:t>Съгласно определението, дад</w:t>
      </w:r>
      <w:r>
        <w:rPr>
          <w:rFonts w:ascii="Times New Roman" w:hAnsi="Times New Roman"/>
          <w:noProof/>
        </w:rPr>
        <w:t>ено в член 3, точка 6 от Директивата относно УУП, ИУВ е: „внимателно проучване на всички налични методи за растителна защита и последващо интегриране на подходящи мерки за ограничаване на развитието на популациите от вредни организми, за поддържане на икон</w:t>
      </w:r>
      <w:r>
        <w:rPr>
          <w:rFonts w:ascii="Times New Roman" w:hAnsi="Times New Roman"/>
          <w:noProof/>
        </w:rPr>
        <w:t>омически и екологично обосновани равнища на употреба на продукти за растителна защита и на други форми на намеса и за намаляване или свеждане до минимум на рисковете за здравето на хората и околната среда“. Комисията счита, че ИУВ е един от крайъгълните ка</w:t>
      </w:r>
      <w:r>
        <w:rPr>
          <w:rFonts w:ascii="Times New Roman" w:hAnsi="Times New Roman"/>
          <w:noProof/>
        </w:rPr>
        <w:t>мъни на Директивата относно УУП и че цялостното му прилагане е необходимо, за да се намали зависимостта от употребата на пестициди.</w:t>
      </w:r>
    </w:p>
    <w:p w:rsidR="005D1B2D" w:rsidRDefault="005D1B2D">
      <w:pPr>
        <w:autoSpaceDE w:val="0"/>
        <w:autoSpaceDN w:val="0"/>
        <w:adjustRightInd w:val="0"/>
        <w:spacing w:after="0"/>
        <w:jc w:val="both"/>
        <w:rPr>
          <w:rFonts w:ascii="Times New Roman" w:hAnsi="Times New Roman" w:cs="Times New Roman"/>
          <w:noProof/>
          <w:color w:val="000000"/>
          <w:sz w:val="24"/>
          <w:szCs w:val="24"/>
        </w:rPr>
      </w:pPr>
    </w:p>
    <w:p w:rsidR="005D1B2D" w:rsidRDefault="00E62D34">
      <w:pPr>
        <w:autoSpaceDE w:val="0"/>
        <w:autoSpaceDN w:val="0"/>
        <w:adjustRightInd w:val="0"/>
        <w:spacing w:after="0"/>
        <w:jc w:val="both"/>
        <w:rPr>
          <w:rFonts w:ascii="Times New Roman" w:eastAsia="Times New Roman" w:hAnsi="Times New Roman" w:cs="Times New Roman"/>
          <w:noProof/>
          <w:color w:val="000000"/>
          <w:sz w:val="24"/>
          <w:szCs w:val="24"/>
        </w:rPr>
      </w:pPr>
      <w:r>
        <w:rPr>
          <w:rFonts w:ascii="Times New Roman" w:hAnsi="Times New Roman"/>
          <w:noProof/>
        </w:rPr>
        <w:t xml:space="preserve">Осемте общи принципа за интегрирано управление на вредителите са изброени в приложение III към Директивата относно УУП, но </w:t>
      </w:r>
      <w:r>
        <w:rPr>
          <w:rFonts w:ascii="Times New Roman" w:hAnsi="Times New Roman"/>
          <w:noProof/>
        </w:rPr>
        <w:t>в нея не се определя как тези принципи да се прилагат на практика, като определянето им е оставено на държавите членки. Чрез следване на принципа на субсидиарност тези критерии трябва да бъдат определени на национално или дори на поднационално равнище, кат</w:t>
      </w:r>
      <w:r>
        <w:rPr>
          <w:rFonts w:ascii="Times New Roman" w:hAnsi="Times New Roman"/>
          <w:noProof/>
        </w:rPr>
        <w:t>о се има предвид разнообразието в селското стопанство между и в рамките на държавите членки по отношение на климата, отглежданите култури и техниките на производство. Държавите членки обаче не са трансформирали общите принципи на ИУВ в нормативно установен</w:t>
      </w:r>
      <w:r>
        <w:rPr>
          <w:rFonts w:ascii="Times New Roman" w:hAnsi="Times New Roman"/>
          <w:noProof/>
        </w:rPr>
        <w:t>и и оценими критерии, които да се прилагат от потребителите. Следователно компетентните органи не разполагат с нормативно установени и оценими критерии, за да определят съответствието с ИУВ, и следователно има ограничени доказателства, че ИУВ се прилага си</w:t>
      </w:r>
      <w:r>
        <w:rPr>
          <w:rFonts w:ascii="Times New Roman" w:hAnsi="Times New Roman"/>
          <w:noProof/>
        </w:rPr>
        <w:t>стематично.</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rPr>
        <w:t>В настоящото и в предложеното бъдещо законодателство за ОСП се изисква държавите членки да създадат система за предоставяне на консултантски услуги на бенефициерите във връзка с управлението на земята и управлението на земеделските стопанства,</w:t>
      </w:r>
      <w:r>
        <w:rPr>
          <w:rFonts w:ascii="Times New Roman" w:hAnsi="Times New Roman"/>
          <w:noProof/>
        </w:rPr>
        <w:t xml:space="preserve"> и по-специално относно изискването за ИУВ, посочено в член 14 от Директивата относно УУП. В рамките на тази система бенефициерите и земеделските производители могат да получават консултации на доброволни начала във връзка с добрите земеделски практики, вк</w:t>
      </w:r>
      <w:r>
        <w:rPr>
          <w:rFonts w:ascii="Times New Roman" w:hAnsi="Times New Roman"/>
          <w:noProof/>
        </w:rPr>
        <w:t xml:space="preserve">лючително с ИУВ. </w:t>
      </w:r>
    </w:p>
    <w:p w:rsidR="005D1B2D" w:rsidRDefault="005D1B2D">
      <w:pPr>
        <w:autoSpaceDE w:val="0"/>
        <w:autoSpaceDN w:val="0"/>
        <w:adjustRightInd w:val="0"/>
        <w:spacing w:after="0"/>
        <w:jc w:val="both"/>
        <w:rPr>
          <w:rFonts w:ascii="Times New Roman" w:hAnsi="Times New Roman" w:cs="Times New Roman"/>
          <w:noProof/>
          <w:color w:val="000000" w:themeColor="text1"/>
          <w:sz w:val="24"/>
          <w:szCs w:val="24"/>
        </w:rPr>
      </w:pP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Всички държави членки предприемат действия за насърчаване на ИУВ, но мащабът на публично финансираните изследвания на приложното селско стопанство варира значително в различните държави членки. В много държави членки също така са слабора</w:t>
      </w:r>
      <w:r>
        <w:rPr>
          <w:rFonts w:ascii="Times New Roman" w:hAnsi="Times New Roman"/>
          <w:noProof/>
        </w:rPr>
        <w:t xml:space="preserve">звити структурите, осигуряващи връзката между изследователите и земеделските производители с цел улесняване предоставянето на практически съвети, от които се нуждаят земеделските стопани. </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spacing w:after="0"/>
        <w:jc w:val="both"/>
        <w:rPr>
          <w:rFonts w:ascii="Times New Roman" w:hAnsi="Times New Roman"/>
          <w:noProof/>
          <w:color w:val="000000"/>
          <w:sz w:val="24"/>
        </w:rPr>
      </w:pPr>
      <w:r>
        <w:rPr>
          <w:rFonts w:ascii="Times New Roman" w:hAnsi="Times New Roman"/>
          <w:noProof/>
        </w:rPr>
        <w:t>За да се справи със слабостите във връзка с оценяването на прилага</w:t>
      </w:r>
      <w:r>
        <w:rPr>
          <w:rFonts w:ascii="Times New Roman" w:hAnsi="Times New Roman"/>
          <w:noProof/>
        </w:rPr>
        <w:t>нето на ИУВ, както е подчертано в доклада на Комисията от 2017 г., Комисията организира серия от курсове в рамките на инициативата „По-добро обучение за по-безопасни храни“ и еднодневен семинар в областта на ИУВ, за да предостави на държавите членки рамка,</w:t>
      </w:r>
      <w:r>
        <w:rPr>
          <w:rFonts w:ascii="Times New Roman" w:hAnsi="Times New Roman"/>
          <w:noProof/>
        </w:rPr>
        <w:t xml:space="preserve"> в която могат да определят нормативно установени и оценими критерии, които да може да се използват за оценяване на прилагането на ИУВ. </w:t>
      </w:r>
    </w:p>
    <w:p w:rsidR="005D1B2D" w:rsidRDefault="005D1B2D">
      <w:pPr>
        <w:spacing w:after="0"/>
        <w:jc w:val="both"/>
        <w:rPr>
          <w:rFonts w:ascii="Times New Roman" w:hAnsi="Times New Roman" w:cs="Times New Roman"/>
          <w:noProof/>
          <w:sz w:val="24"/>
          <w:szCs w:val="24"/>
        </w:rPr>
      </w:pP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Независимо от това, въпреки големия брой добри примери за проучване и насърчаване на ИУВ от държавите членки, оценяван</w:t>
      </w:r>
      <w:r>
        <w:rPr>
          <w:rFonts w:ascii="Times New Roman" w:hAnsi="Times New Roman"/>
          <w:noProof/>
        </w:rPr>
        <w:t>ето на прилагането на ИУВ продължава да бъде най-често срещаната слабост при изпълнението на Директивата относно УУП. Следователно държавите членки не са успели да използват значителния потенциал за засилено прилагане на ИУВ, включително по-широкото прилаг</w:t>
      </w:r>
      <w:r>
        <w:rPr>
          <w:rFonts w:ascii="Times New Roman" w:hAnsi="Times New Roman"/>
          <w:noProof/>
        </w:rPr>
        <w:t>ане на нехимични техники за контрол на вредителите.</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5D1B2D">
      <w:pPr>
        <w:pStyle w:val="ListParagraph"/>
        <w:ind w:left="426"/>
        <w:rPr>
          <w:rFonts w:ascii="Times New Roman" w:hAnsi="Times New Roman"/>
          <w:b/>
          <w:noProof/>
          <w:sz w:val="24"/>
        </w:rPr>
      </w:pPr>
    </w:p>
    <w:p w:rsidR="005D1B2D" w:rsidRDefault="00E62D34">
      <w:pPr>
        <w:pStyle w:val="ListParagraph"/>
        <w:numPr>
          <w:ilvl w:val="0"/>
          <w:numId w:val="15"/>
        </w:numPr>
        <w:ind w:left="426" w:hanging="426"/>
        <w:rPr>
          <w:rFonts w:ascii="Times New Roman" w:eastAsia="Times New Roman" w:hAnsi="Times New Roman" w:cs="Times New Roman"/>
          <w:b/>
          <w:noProof/>
          <w:sz w:val="24"/>
          <w:szCs w:val="24"/>
        </w:rPr>
      </w:pPr>
      <w:r>
        <w:rPr>
          <w:rFonts w:ascii="Times New Roman" w:hAnsi="Times New Roman"/>
          <w:b/>
          <w:noProof/>
        </w:rPr>
        <w:t>ДЕЙСТВИЯ НА КОМИСИЯТА В ПОДКРЕПА НА ИЗПЪЛНЕНИЕТО НА ДИРЕКТИВАТА</w:t>
      </w: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 xml:space="preserve">В настоящия раздел се описват редица действия, предприети от Комисията в подкрепа на изпълнението на Директивата, включително в отговор на исканията, отправени от Европейския парламент. </w:t>
      </w: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 xml:space="preserve"> </w:t>
      </w:r>
    </w:p>
    <w:p w:rsidR="005D1B2D" w:rsidRDefault="00E62D34">
      <w:pPr>
        <w:jc w:val="both"/>
        <w:rPr>
          <w:rFonts w:ascii="Times New Roman" w:eastAsia="Times New Roman" w:hAnsi="Times New Roman" w:cs="Times New Roman"/>
          <w:noProof/>
          <w:sz w:val="24"/>
          <w:szCs w:val="24"/>
        </w:rPr>
      </w:pPr>
      <w:r>
        <w:rPr>
          <w:rFonts w:ascii="Times New Roman" w:hAnsi="Times New Roman"/>
          <w:noProof/>
        </w:rPr>
        <w:t>След представянето на доклада на Комисията от 2017 г. на заседаниет</w:t>
      </w:r>
      <w:r>
        <w:rPr>
          <w:rFonts w:ascii="Times New Roman" w:hAnsi="Times New Roman"/>
          <w:noProof/>
        </w:rPr>
        <w:t>о на Съвета по селско стопанство и рибарство на 6 ноември 2017 г.</w:t>
      </w:r>
      <w:r>
        <w:rPr>
          <w:rStyle w:val="FootnoteReference"/>
          <w:rFonts w:ascii="Times New Roman" w:eastAsia="Times New Roman" w:hAnsi="Times New Roman" w:cs="Times New Roman"/>
          <w:noProof/>
        </w:rPr>
        <w:footnoteReference w:id="38"/>
      </w:r>
      <w:r>
        <w:rPr>
          <w:rFonts w:ascii="Times New Roman" w:hAnsi="Times New Roman"/>
          <w:noProof/>
        </w:rPr>
        <w:t xml:space="preserve"> министрите отчетоха колко важно е да бъдат постигнати целите на Директивата относно УУП и да се ускори въвеждането на принципите за ИУВ. Като важни области по отношение на подобряването на </w:t>
      </w:r>
      <w:r>
        <w:rPr>
          <w:rFonts w:ascii="Times New Roman" w:hAnsi="Times New Roman"/>
          <w:noProof/>
        </w:rPr>
        <w:t xml:space="preserve">въвеждането на принципите за ИУВ те отбелязаха ПРЗ с нисък риск, системите за наблюдение на вредителите, финансовата подкрепа, нехимичните методи за контрол и хармонизираните показатели за риска. </w:t>
      </w:r>
    </w:p>
    <w:p w:rsidR="005D1B2D" w:rsidRDefault="00E62D34">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Наскоро, през февруари 2019 г., Европейският парламент прие</w:t>
      </w:r>
      <w:r>
        <w:rPr>
          <w:rFonts w:ascii="Times New Roman" w:hAnsi="Times New Roman"/>
          <w:noProof/>
        </w:rPr>
        <w:t xml:space="preserve"> незаконодателна резолюция относно прилагането на Директивата относно УУП</w:t>
      </w:r>
      <w:r>
        <w:rPr>
          <w:rStyle w:val="FootnoteReference"/>
          <w:rFonts w:ascii="Times New Roman" w:hAnsi="Times New Roman" w:cs="Times New Roman"/>
          <w:noProof/>
        </w:rPr>
        <w:footnoteReference w:id="39"/>
      </w:r>
      <w:r>
        <w:rPr>
          <w:rFonts w:ascii="Times New Roman" w:hAnsi="Times New Roman"/>
          <w:noProof/>
        </w:rPr>
        <w:t>. Той изрази съжаление, че общото ниво на изпълнение от държавите членки не е достатъчно за намаляване на рисковете, произтичащи от употребата на пестициди, и на зависимостта от тях.</w:t>
      </w:r>
      <w:r>
        <w:rPr>
          <w:rFonts w:ascii="Times New Roman" w:hAnsi="Times New Roman"/>
          <w:noProof/>
        </w:rPr>
        <w:t xml:space="preserve"> Европейският парламент насърчи поставянето на по-голям акцент върху намаляването на риска и подчерта, че прилагането на практики за ИУВ, като например нехимични алтернативи и ПРЗ с нисък риск, играе особено важна роля в усилията за постигане на цялостно и</w:t>
      </w:r>
      <w:r>
        <w:rPr>
          <w:rFonts w:ascii="Times New Roman" w:hAnsi="Times New Roman"/>
          <w:noProof/>
        </w:rPr>
        <w:t>зпълнение на Директивата относно УУП. В заключение той призова Комисията и държавите членки да предприемат редица действия за подобряване на изпълнението на Директивата относно УУП. Сред тези действия бяха определяне на насоки за оценяване на прилагането н</w:t>
      </w:r>
      <w:r>
        <w:rPr>
          <w:rFonts w:ascii="Times New Roman" w:hAnsi="Times New Roman"/>
          <w:noProof/>
        </w:rPr>
        <w:t xml:space="preserve">а ИУВ, защита на уязвимите групи и широката общественост, поставяне на по-голям акцент върху разработването на нискорискови алтернативи на пестицидите и насърчаване на прецизно и цифрово земеделие като средство за намаляване на риска от пестициди. </w:t>
      </w: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5D1B2D">
      <w:pPr>
        <w:autoSpaceDE w:val="0"/>
        <w:autoSpaceDN w:val="0"/>
        <w:adjustRightInd w:val="0"/>
        <w:spacing w:after="0"/>
        <w:jc w:val="both"/>
        <w:rPr>
          <w:rFonts w:ascii="Times New Roman" w:hAnsi="Times New Roman" w:cs="Times New Roman"/>
          <w:noProof/>
          <w:sz w:val="24"/>
          <w:szCs w:val="24"/>
        </w:rPr>
      </w:pPr>
    </w:p>
    <w:p w:rsidR="005D1B2D" w:rsidRDefault="00E62D34">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b/>
          <w:noProof/>
        </w:rPr>
        <w:t>ПО-ДО</w:t>
      </w:r>
      <w:r>
        <w:rPr>
          <w:rFonts w:ascii="Times New Roman" w:hAnsi="Times New Roman"/>
          <w:b/>
          <w:noProof/>
        </w:rPr>
        <w:t>БРО ОБУЧЕНИЕ ЗА ПО-БЕЗОПАСНИ ХРАНИ</w:t>
      </w:r>
      <w:r>
        <w:rPr>
          <w:rStyle w:val="FootnoteReference"/>
          <w:rFonts w:ascii="Times New Roman" w:hAnsi="Times New Roman" w:cs="Times New Roman"/>
          <w:b/>
          <w:noProof/>
        </w:rPr>
        <w:footnoteReference w:id="40"/>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Комисията подкрепя държавите членки в изпълнението на Директивата относно УУП чрез курсове в рамките на инициативата „По-добро обучение за по-безопасни храни“.</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 xml:space="preserve">В периода 2015—2018 г. Комисията организира серия от 12 </w:t>
      </w:r>
      <w:r>
        <w:rPr>
          <w:rFonts w:ascii="Times New Roman" w:hAnsi="Times New Roman"/>
          <w:noProof/>
        </w:rPr>
        <w:t>курса в рамките на инициативата „По-добро обучение за по-безопасни храни“ във връзка с оборудването за прилагане на пестициди, в които участваха над 200 длъжностни лица от всичките 28 държави членки. По време на тези курсове представителите на държавите чл</w:t>
      </w:r>
      <w:r>
        <w:rPr>
          <w:rFonts w:ascii="Times New Roman" w:hAnsi="Times New Roman"/>
          <w:noProof/>
        </w:rPr>
        <w:t>енки придобиха знания за изпълнението на задълженията, свързани с изпитването на оборудване за прилагане на пестициди.</w:t>
      </w:r>
    </w:p>
    <w:p w:rsidR="005D1B2D" w:rsidRDefault="00E62D34">
      <w:pPr>
        <w:jc w:val="both"/>
        <w:rPr>
          <w:rFonts w:ascii="Times New Roman" w:eastAsia="Times New Roman" w:hAnsi="Times New Roman" w:cs="Times New Roman"/>
          <w:noProof/>
          <w:sz w:val="24"/>
          <w:szCs w:val="24"/>
        </w:rPr>
      </w:pPr>
      <w:r>
        <w:rPr>
          <w:rFonts w:ascii="Times New Roman" w:hAnsi="Times New Roman"/>
          <w:noProof/>
        </w:rPr>
        <w:t>Комисията организира и втора серия от курсове в рамките на инициативата „По-добро обучение за по-безопасни храни“ във връзка с оборудване</w:t>
      </w:r>
      <w:r>
        <w:rPr>
          <w:rFonts w:ascii="Times New Roman" w:hAnsi="Times New Roman"/>
          <w:noProof/>
        </w:rPr>
        <w:t>то за прилагане на пестициди, които стартираха през третото тримесечие на 2019 г. Тези шест курса са с акцент върху техниките за проверка и калибриране и се очаква в тях да се включат около 120 участници.</w:t>
      </w:r>
    </w:p>
    <w:p w:rsidR="005D1B2D" w:rsidRDefault="00E62D34">
      <w:pPr>
        <w:jc w:val="both"/>
        <w:rPr>
          <w:rFonts w:ascii="Times New Roman" w:hAnsi="Times New Roman" w:cs="Times New Roman"/>
          <w:noProof/>
          <w:sz w:val="24"/>
          <w:szCs w:val="24"/>
        </w:rPr>
      </w:pPr>
      <w:r>
        <w:rPr>
          <w:rFonts w:ascii="Times New Roman" w:hAnsi="Times New Roman"/>
          <w:noProof/>
        </w:rPr>
        <w:t>Комисията организира и серия от курсове в рамките н</w:t>
      </w:r>
      <w:r>
        <w:rPr>
          <w:rFonts w:ascii="Times New Roman" w:hAnsi="Times New Roman"/>
          <w:noProof/>
        </w:rPr>
        <w:t>а инициативата „По-добро обучение за по-безопасни храни“, насочени към прилагането на ИУВ. Тези 14 курса стартираха през 2018 г. и ще продължат до 2020 г. Курсовете са разработени така, че да отразяват различните отглеждани култури и различните агрономичес</w:t>
      </w:r>
      <w:r>
        <w:rPr>
          <w:rFonts w:ascii="Times New Roman" w:hAnsi="Times New Roman"/>
          <w:noProof/>
        </w:rPr>
        <w:t>ки практики в целия Европейски съюз. Знанията, придобити чрез тези курсове, следва да осигурят на държавите членки необходимите инструменти за оценяване на прилагането на ИУВ на ниво земеделско стопанство.</w:t>
      </w:r>
    </w:p>
    <w:p w:rsidR="005D1B2D" w:rsidRDefault="005D1B2D">
      <w:pPr>
        <w:jc w:val="both"/>
        <w:rPr>
          <w:rFonts w:ascii="Times New Roman" w:hAnsi="Times New Roman" w:cs="Times New Roman"/>
          <w:noProof/>
          <w:sz w:val="24"/>
          <w:szCs w:val="24"/>
        </w:rPr>
      </w:pPr>
    </w:p>
    <w:p w:rsidR="005D1B2D" w:rsidRDefault="00E62D34">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b/>
          <w:noProof/>
        </w:rPr>
        <w:t>ОДОБРЯВАНЕ НА АКТИВНИ ВЕЩЕСТВА</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autoSpaceDE w:val="0"/>
              <w:autoSpaceDN w:val="0"/>
              <w:adjustRightInd w:val="0"/>
              <w:spacing w:line="276" w:lineRule="auto"/>
              <w:jc w:val="both"/>
              <w:rPr>
                <w:rFonts w:ascii="Times New Roman" w:eastAsia="Times New Roman" w:hAnsi="Times New Roman" w:cs="Times New Roman"/>
                <w:noProof/>
                <w:color w:val="000000"/>
                <w:sz w:val="24"/>
                <w:szCs w:val="24"/>
              </w:rPr>
            </w:pPr>
            <w:r>
              <w:rPr>
                <w:rFonts w:ascii="Times New Roman" w:hAnsi="Times New Roman"/>
                <w:noProof/>
              </w:rPr>
              <w:t>Налице е постоянна</w:t>
            </w:r>
            <w:r>
              <w:rPr>
                <w:rFonts w:ascii="Times New Roman" w:hAnsi="Times New Roman"/>
                <w:noProof/>
              </w:rPr>
              <w:t xml:space="preserve"> възходяща тенденция в броя на одобрените активни вещества, които са нехимични, с нисък риск или са основни.</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pStyle w:val="Brdtext"/>
        <w:spacing w:after="120" w:line="276" w:lineRule="auto"/>
        <w:rPr>
          <w:noProof/>
          <w:color w:val="auto"/>
        </w:rPr>
      </w:pPr>
      <w:r>
        <w:rPr>
          <w:noProof/>
        </w:rPr>
        <w:t>Комисията предприе редица действия за ускоряване на процедурите за пускане на пазара на ПРЗ с нисък риск. Тези действия включват отдаване на прио</w:t>
      </w:r>
      <w:r>
        <w:rPr>
          <w:noProof/>
        </w:rPr>
        <w:t>ритет на актуализирането на изискванията за данните и методологиите за оценка на микроорганизмите до края на 2020 г. и стартиране на обучение в рамките на инициативата „По-добро обучение за по-безопасни храни“ през 2020 г. с цел повишаване на експертния оп</w:t>
      </w:r>
      <w:r>
        <w:rPr>
          <w:noProof/>
        </w:rPr>
        <w:t xml:space="preserve">ит в държавите членки за оценка на заявленията за микроорганизми и за други биопестициди. </w:t>
      </w:r>
    </w:p>
    <w:p w:rsidR="005D1B2D" w:rsidRDefault="00E62D34">
      <w:pPr>
        <w:jc w:val="both"/>
        <w:rPr>
          <w:rFonts w:ascii="Times New Roman" w:hAnsi="Times New Roman" w:cs="Times New Roman"/>
          <w:noProof/>
          <w:sz w:val="24"/>
          <w:szCs w:val="24"/>
        </w:rPr>
      </w:pPr>
      <w:r>
        <w:rPr>
          <w:rFonts w:ascii="Times New Roman" w:hAnsi="Times New Roman"/>
          <w:noProof/>
        </w:rPr>
        <w:t>Налице е постоянна възходяща тенденция в броя на одобрените активни вещества, които са нехимични, с нисък риск или са основни: от по-малко от 60 през 2009 г. до близ</w:t>
      </w:r>
      <w:r>
        <w:rPr>
          <w:rFonts w:ascii="Times New Roman" w:hAnsi="Times New Roman"/>
          <w:noProof/>
        </w:rPr>
        <w:t>о 120 през 2019 г. Тези активни вещества дават на земеделските производители инструменти за контрол на вредителите, като същевременно намаляват рисковете, свързани с ПРЗ.</w:t>
      </w:r>
    </w:p>
    <w:p w:rsidR="005D1B2D" w:rsidRDefault="00E62D34">
      <w:pPr>
        <w:jc w:val="both"/>
        <w:rPr>
          <w:rFonts w:ascii="Times New Roman" w:hAnsi="Times New Roman" w:cs="Times New Roman"/>
          <w:noProof/>
          <w:sz w:val="24"/>
          <w:szCs w:val="24"/>
        </w:rPr>
      </w:pPr>
      <w:r>
        <w:rPr>
          <w:rFonts w:ascii="Times New Roman" w:hAnsi="Times New Roman"/>
          <w:noProof/>
        </w:rPr>
        <w:t>Освен това най-опасните активни вещества се премахват от набора от инструменти за рас</w:t>
      </w:r>
      <w:r>
        <w:rPr>
          <w:rFonts w:ascii="Times New Roman" w:hAnsi="Times New Roman"/>
          <w:noProof/>
        </w:rPr>
        <w:t>тителна защита, както е описано в оценката по REFIT на законодателството на Европейския съюз относно продуктите за растителна защита и относно остатъчни вещества от пестициди (Регламент (ЕО) № 1107/2009 и Регламент (ЕО) № 396/2005).</w:t>
      </w:r>
    </w:p>
    <w:p w:rsidR="005D1B2D" w:rsidRDefault="00E62D34">
      <w:pPr>
        <w:jc w:val="both"/>
        <w:rPr>
          <w:rFonts w:ascii="Times New Roman" w:hAnsi="Times New Roman" w:cs="Times New Roman"/>
          <w:noProof/>
          <w:sz w:val="24"/>
          <w:szCs w:val="24"/>
        </w:rPr>
      </w:pPr>
      <w:r>
        <w:rPr>
          <w:rFonts w:ascii="Times New Roman" w:hAnsi="Times New Roman"/>
          <w:noProof/>
        </w:rPr>
        <w:t>Признава се обаче, че е</w:t>
      </w:r>
      <w:r>
        <w:rPr>
          <w:rFonts w:ascii="Times New Roman" w:hAnsi="Times New Roman"/>
          <w:noProof/>
        </w:rPr>
        <w:t xml:space="preserve"> необходимо да се разшири наборът от одобрени активни вещества, които са нехимични, с нисък риск или са основни, за да се увеличат възможностите за контрол на вредителите, достъпни за земеделските производители, така че да се намали зависимостта им от най-</w:t>
      </w:r>
      <w:r>
        <w:rPr>
          <w:rFonts w:ascii="Times New Roman" w:hAnsi="Times New Roman"/>
          <w:noProof/>
        </w:rPr>
        <w:t>опасните активни вещества.</w:t>
      </w:r>
    </w:p>
    <w:p w:rsidR="005D1B2D" w:rsidRDefault="005D1B2D">
      <w:pPr>
        <w:jc w:val="both"/>
        <w:rPr>
          <w:rFonts w:ascii="Times New Roman" w:hAnsi="Times New Roman" w:cs="Times New Roman"/>
          <w:noProof/>
          <w:sz w:val="24"/>
          <w:szCs w:val="24"/>
        </w:rPr>
      </w:pPr>
    </w:p>
    <w:p w:rsidR="005D1B2D" w:rsidRDefault="00E62D34">
      <w:pPr>
        <w:pStyle w:val="ListParagraph"/>
        <w:keepNext/>
        <w:numPr>
          <w:ilvl w:val="1"/>
          <w:numId w:val="26"/>
        </w:numPr>
        <w:ind w:left="425" w:hanging="425"/>
        <w:rPr>
          <w:rFonts w:ascii="Times New Roman" w:hAnsi="Times New Roman" w:cs="Times New Roman"/>
          <w:b/>
          <w:noProof/>
          <w:sz w:val="24"/>
          <w:szCs w:val="24"/>
        </w:rPr>
      </w:pPr>
      <w:r>
        <w:rPr>
          <w:rFonts w:ascii="Times New Roman" w:hAnsi="Times New Roman"/>
          <w:b/>
          <w:noProof/>
        </w:rPr>
        <w:t>НАУЧНИ ИЗСЛЕДВАНИЯ И ИНОВАЦИИ</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keepNext/>
              <w:spacing w:line="276" w:lineRule="auto"/>
              <w:ind w:right="-28"/>
              <w:jc w:val="both"/>
              <w:rPr>
                <w:rFonts w:ascii="Times New Roman" w:hAnsi="Times New Roman"/>
                <w:noProof/>
                <w:sz w:val="24"/>
                <w:szCs w:val="24"/>
              </w:rPr>
            </w:pPr>
            <w:r>
              <w:rPr>
                <w:rFonts w:ascii="Times New Roman" w:hAnsi="Times New Roman"/>
                <w:noProof/>
              </w:rPr>
              <w:t xml:space="preserve">Комисията подкрепя редица изследователски проекти за разширяване на обхвата на алтернативните стратегии, инструменти и технологии за контрол на вредителите и за определяне на въздействието на </w:t>
            </w:r>
            <w:r>
              <w:rPr>
                <w:rFonts w:ascii="Times New Roman" w:hAnsi="Times New Roman"/>
                <w:noProof/>
              </w:rPr>
              <w:t>употребата на пестициди върху околната среда и здравето на хората.</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widowControl w:val="0"/>
        <w:ind w:right="-28"/>
        <w:jc w:val="both"/>
        <w:rPr>
          <w:rFonts w:ascii="Times New Roman" w:hAnsi="Times New Roman"/>
          <w:noProof/>
          <w:sz w:val="24"/>
          <w:szCs w:val="24"/>
        </w:rPr>
      </w:pPr>
      <w:r>
        <w:rPr>
          <w:rFonts w:ascii="Times New Roman" w:hAnsi="Times New Roman"/>
          <w:noProof/>
        </w:rPr>
        <w:t>Чрез рамковата програма за научни изследвания и иновации „Хоризонт 2020“ Комисията подкрепя научните изследвания и иновациите с цел разработване на по-устойчиви стратегии, инструменти и т</w:t>
      </w:r>
      <w:r>
        <w:rPr>
          <w:rFonts w:ascii="Times New Roman" w:hAnsi="Times New Roman"/>
          <w:noProof/>
        </w:rPr>
        <w:t>ехнологии за контрол на вредителите в подкрепа на ИУВ, като например нови продукти с нисък риск, биологичен контрол и инструменти за подкрепа на решения, и с цел определяне на въздействието на употребата на пестициди върху околната среда и здравето на хора</w:t>
      </w:r>
      <w:r>
        <w:rPr>
          <w:rFonts w:ascii="Times New Roman" w:hAnsi="Times New Roman"/>
          <w:noProof/>
        </w:rPr>
        <w:t>та</w:t>
      </w:r>
      <w:r>
        <w:rPr>
          <w:rStyle w:val="FootnoteReference"/>
          <w:rFonts w:ascii="Times New Roman" w:hAnsi="Times New Roman"/>
          <w:noProof/>
        </w:rPr>
        <w:footnoteReference w:id="41"/>
      </w:r>
      <w:r>
        <w:rPr>
          <w:rFonts w:ascii="Times New Roman" w:hAnsi="Times New Roman"/>
          <w:noProof/>
        </w:rPr>
        <w:t xml:space="preserve">. </w:t>
      </w:r>
    </w:p>
    <w:p w:rsidR="005D1B2D" w:rsidRDefault="00E62D34">
      <w:pPr>
        <w:widowControl w:val="0"/>
        <w:ind w:right="-28"/>
        <w:jc w:val="both"/>
        <w:rPr>
          <w:rFonts w:ascii="Times New Roman" w:hAnsi="Times New Roman"/>
          <w:noProof/>
          <w:sz w:val="24"/>
          <w:szCs w:val="24"/>
        </w:rPr>
      </w:pPr>
      <w:r>
        <w:rPr>
          <w:rFonts w:ascii="Times New Roman" w:hAnsi="Times New Roman"/>
          <w:noProof/>
        </w:rPr>
        <w:t>В рамките на обществено предизвикателство 2 Комисията предостави 159 милиона евро</w:t>
      </w:r>
      <w:r>
        <w:rPr>
          <w:rStyle w:val="FootnoteReference"/>
          <w:rFonts w:ascii="Times New Roman" w:hAnsi="Times New Roman"/>
          <w:noProof/>
        </w:rPr>
        <w:footnoteReference w:id="42"/>
      </w:r>
      <w:r>
        <w:rPr>
          <w:rFonts w:ascii="Times New Roman" w:hAnsi="Times New Roman"/>
          <w:noProof/>
        </w:rPr>
        <w:t xml:space="preserve"> за подпомагане на научните изследвания в областта на ИУВ, нововъзникващите рискове за здравето на растенията, алтернативите на химичните пестициди и системите за подкр</w:t>
      </w:r>
      <w:r>
        <w:rPr>
          <w:rFonts w:ascii="Times New Roman" w:hAnsi="Times New Roman"/>
          <w:noProof/>
        </w:rPr>
        <w:t>епа на решения. Освен това съгласно тази работна програма през 2020 г. се предвижда да се финансират действия за координация и подкрепа на общоевропейска мрежа от земеделски стопанства за демонстрация на техники за ИУВ, като за тази цел са заделени 6 милио</w:t>
      </w:r>
      <w:r>
        <w:rPr>
          <w:rFonts w:ascii="Times New Roman" w:hAnsi="Times New Roman"/>
          <w:noProof/>
        </w:rPr>
        <w:t>на евро</w:t>
      </w:r>
      <w:r>
        <w:rPr>
          <w:rStyle w:val="FootnoteReference"/>
          <w:rFonts w:ascii="Times New Roman" w:hAnsi="Times New Roman"/>
          <w:noProof/>
        </w:rPr>
        <w:footnoteReference w:id="43"/>
      </w:r>
      <w:r>
        <w:rPr>
          <w:rFonts w:ascii="Times New Roman" w:hAnsi="Times New Roman"/>
          <w:noProof/>
        </w:rPr>
        <w:t>. В допълнение към ИУВ и здравето на растенията Комисията подкрепя също така изследвания в областта на екологосъобразните подходи и биологичното земеделие с цел насърчаване на устойчивостта на селското стопанство</w:t>
      </w:r>
      <w:r>
        <w:rPr>
          <w:rStyle w:val="FootnoteReference"/>
          <w:rFonts w:ascii="Times New Roman" w:hAnsi="Times New Roman"/>
          <w:noProof/>
        </w:rPr>
        <w:footnoteReference w:id="44"/>
      </w:r>
      <w:r>
        <w:rPr>
          <w:rFonts w:ascii="Times New Roman" w:hAnsi="Times New Roman"/>
          <w:noProof/>
        </w:rPr>
        <w:t>.</w:t>
      </w:r>
    </w:p>
    <w:p w:rsidR="005D1B2D" w:rsidRDefault="00E62D34">
      <w:pPr>
        <w:widowControl w:val="0"/>
        <w:ind w:right="-28"/>
        <w:jc w:val="both"/>
        <w:rPr>
          <w:rFonts w:ascii="Times New Roman" w:hAnsi="Times New Roman"/>
          <w:noProof/>
          <w:sz w:val="24"/>
          <w:szCs w:val="24"/>
        </w:rPr>
      </w:pPr>
      <w:r>
        <w:rPr>
          <w:rFonts w:ascii="Times New Roman" w:hAnsi="Times New Roman"/>
          <w:noProof/>
        </w:rPr>
        <w:t>Освен това Европейското партньорс</w:t>
      </w:r>
      <w:r>
        <w:rPr>
          <w:rFonts w:ascii="Times New Roman" w:hAnsi="Times New Roman"/>
          <w:noProof/>
        </w:rPr>
        <w:t>тво за иновации за селскостопанска производителност и устойчивост</w:t>
      </w:r>
      <w:r>
        <w:rPr>
          <w:rStyle w:val="FootnoteReference"/>
          <w:rFonts w:ascii="Times New Roman" w:hAnsi="Times New Roman"/>
          <w:noProof/>
        </w:rPr>
        <w:footnoteReference w:id="45"/>
      </w:r>
      <w:r>
        <w:rPr>
          <w:rFonts w:ascii="Times New Roman" w:hAnsi="Times New Roman"/>
          <w:noProof/>
        </w:rPr>
        <w:t xml:space="preserve"> (ЕПИ за селскостопанска производителност и устойчивост) свързва европейските проекти за научни изследвания и иновации, финансирани по програма „Хоризонт 2020“, с по-малки оперативни групи</w:t>
      </w:r>
      <w:r>
        <w:rPr>
          <w:rStyle w:val="FootnoteReference"/>
          <w:rFonts w:ascii="Times New Roman" w:hAnsi="Times New Roman"/>
          <w:noProof/>
        </w:rPr>
        <w:footnoteReference w:id="46"/>
      </w:r>
      <w:r>
        <w:rPr>
          <w:rFonts w:ascii="Times New Roman" w:hAnsi="Times New Roman"/>
          <w:noProof/>
        </w:rPr>
        <w:t>,</w:t>
      </w:r>
      <w:r>
        <w:rPr>
          <w:rFonts w:ascii="Times New Roman" w:hAnsi="Times New Roman"/>
          <w:noProof/>
        </w:rPr>
        <w:t xml:space="preserve"> които работят на национално и регионално равнище в рамките на политиката за развитие на селските райони. Интерактивният подход за иновации, насърчаван чрез ЕПИ за селскостопанска производителност и устойчивост въз основа на така наречения подход с множест</w:t>
      </w:r>
      <w:r>
        <w:rPr>
          <w:rFonts w:ascii="Times New Roman" w:hAnsi="Times New Roman"/>
          <w:noProof/>
        </w:rPr>
        <w:t>во участници, насърчава сътрудничеството между участници с различни, но допълващи се видове знания (изследователи, земеделски стопани, консултанти, предприятия, неправителствени организации (НПО) и други), като по този начин спомага за изграждане на мостов</w:t>
      </w:r>
      <w:r>
        <w:rPr>
          <w:rFonts w:ascii="Times New Roman" w:hAnsi="Times New Roman"/>
          <w:noProof/>
        </w:rPr>
        <w:t xml:space="preserve">е между научните изследвания и практиката и за насърчаване на навлизането на иновации в практиката, по-специално в областта на растителната защита и интегрираното управление на вредителите. </w:t>
      </w:r>
    </w:p>
    <w:p w:rsidR="005D1B2D" w:rsidRDefault="005D1B2D">
      <w:pPr>
        <w:widowControl w:val="0"/>
        <w:ind w:right="-28"/>
        <w:jc w:val="both"/>
        <w:rPr>
          <w:rFonts w:ascii="Times New Roman" w:hAnsi="Times New Roman"/>
          <w:noProof/>
          <w:sz w:val="24"/>
          <w:szCs w:val="24"/>
        </w:rPr>
      </w:pPr>
    </w:p>
    <w:p w:rsidR="005D1B2D" w:rsidRDefault="00E62D34">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b/>
          <w:noProof/>
        </w:rPr>
        <w:t>РАБОТНА ГРУПА ЗА ДИРЕКТИВАТА ОТНОСНО УУП</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widowControl w:val="0"/>
              <w:spacing w:line="276" w:lineRule="auto"/>
              <w:ind w:right="-28"/>
              <w:jc w:val="both"/>
              <w:rPr>
                <w:rFonts w:ascii="Times New Roman" w:hAnsi="Times New Roman"/>
                <w:noProof/>
                <w:sz w:val="24"/>
                <w:szCs w:val="24"/>
              </w:rPr>
            </w:pPr>
            <w:r>
              <w:rPr>
                <w:rFonts w:ascii="Times New Roman" w:hAnsi="Times New Roman"/>
                <w:noProof/>
              </w:rPr>
              <w:t xml:space="preserve">На заседанията на </w:t>
            </w:r>
            <w:r>
              <w:rPr>
                <w:rFonts w:ascii="Times New Roman" w:hAnsi="Times New Roman"/>
                <w:noProof/>
              </w:rPr>
              <w:t>работната група за Директивата относно УУП, сформирана от Комисията, държавите членки могат да обсъждат изпълнението на Директивата относно УУП и да обменят най-добри практики.</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Комисията организира два пъти годишно заседания на работната група на държави</w:t>
      </w:r>
      <w:r>
        <w:rPr>
          <w:rFonts w:ascii="Times New Roman" w:hAnsi="Times New Roman"/>
          <w:noProof/>
        </w:rPr>
        <w:t>те членки за Директивата относно УУП с цел обсъждане на изпълнението на Директивата относно УУП и обмен на най-добри практики. Освен това на последните заседания на работната група своята работа представиха съответни заинтересовани страни, като например Мр</w:t>
      </w:r>
      <w:r>
        <w:rPr>
          <w:rFonts w:ascii="Times New Roman" w:hAnsi="Times New Roman"/>
          <w:noProof/>
        </w:rPr>
        <w:t>ежата за действие срещу пестициди „Европа“ (Pesticide Action Network (PAN) Europe), Европейската асоциация за защита на културите (European Crop Protection Association, ECPA) и работната група SPISE (Standardised Procedure for the Inspection of Sprayers in</w:t>
      </w:r>
      <w:r>
        <w:rPr>
          <w:rFonts w:ascii="Times New Roman" w:hAnsi="Times New Roman"/>
          <w:noProof/>
        </w:rPr>
        <w:t xml:space="preserve"> Europe — Стандартизирана процедура за проверка на пръскачки в Европа).</w:t>
      </w:r>
    </w:p>
    <w:p w:rsidR="005D1B2D" w:rsidRDefault="00E62D34">
      <w:pPr>
        <w:jc w:val="both"/>
        <w:rPr>
          <w:rFonts w:ascii="Times New Roman" w:hAnsi="Times New Roman" w:cs="Times New Roman"/>
          <w:noProof/>
          <w:sz w:val="24"/>
          <w:szCs w:val="24"/>
        </w:rPr>
      </w:pPr>
      <w:r>
        <w:rPr>
          <w:rFonts w:ascii="Times New Roman" w:hAnsi="Times New Roman"/>
          <w:noProof/>
        </w:rPr>
        <w:t>През май 2019 г. Комисията организира съвместно заседание на работните групи за Директивата относно УУП и за прилагане на ПРЗ с цел решаване на въпроси от взаимен интерес във връзка с работен семинар по въпросите на ИУВ. Целта на работния семинар беше да с</w:t>
      </w:r>
      <w:r>
        <w:rPr>
          <w:rFonts w:ascii="Times New Roman" w:hAnsi="Times New Roman"/>
          <w:noProof/>
        </w:rPr>
        <w:t xml:space="preserve">е помогне на държавите членки да оценят прилагането на ИУВ на ниво земеделско стопанство, като се основават на опита, придобит по време на курсовете относно ИУВ в рамките на инициативата „По-добро обучение за по-безопасни храни“. </w:t>
      </w:r>
    </w:p>
    <w:p w:rsidR="005D1B2D" w:rsidRDefault="00E62D34">
      <w:pPr>
        <w:jc w:val="both"/>
        <w:rPr>
          <w:rFonts w:ascii="Times New Roman" w:hAnsi="Times New Roman" w:cs="Times New Roman"/>
          <w:noProof/>
          <w:sz w:val="24"/>
          <w:szCs w:val="24"/>
        </w:rPr>
      </w:pPr>
      <w:r>
        <w:rPr>
          <w:rFonts w:ascii="Times New Roman" w:hAnsi="Times New Roman"/>
          <w:noProof/>
        </w:rPr>
        <w:t>Последното заседание на р</w:t>
      </w:r>
      <w:r>
        <w:rPr>
          <w:rFonts w:ascii="Times New Roman" w:hAnsi="Times New Roman"/>
          <w:noProof/>
        </w:rPr>
        <w:t>аботната група за Директивата относно УУП беше проведено съвместно с работната група за агроекологична статистика през ноември 2019 г., като на него бяха разгледани въпроси от взаимен интерес, по-специално във връзка с разработването на по-полезни хармониз</w:t>
      </w:r>
      <w:r>
        <w:rPr>
          <w:rFonts w:ascii="Times New Roman" w:hAnsi="Times New Roman"/>
          <w:noProof/>
        </w:rPr>
        <w:t xml:space="preserve">ирани показатели за риска. </w:t>
      </w:r>
    </w:p>
    <w:p w:rsidR="005D1B2D" w:rsidRDefault="005D1B2D">
      <w:pPr>
        <w:jc w:val="both"/>
        <w:rPr>
          <w:noProof/>
        </w:rPr>
      </w:pPr>
    </w:p>
    <w:p w:rsidR="005D1B2D" w:rsidRDefault="00E62D34">
      <w:pPr>
        <w:pStyle w:val="ListParagraph"/>
        <w:keepNext/>
        <w:numPr>
          <w:ilvl w:val="1"/>
          <w:numId w:val="26"/>
        </w:numPr>
        <w:ind w:left="425" w:hanging="425"/>
        <w:rPr>
          <w:rFonts w:ascii="Times New Roman" w:hAnsi="Times New Roman" w:cs="Times New Roman"/>
          <w:b/>
          <w:noProof/>
          <w:sz w:val="24"/>
          <w:szCs w:val="24"/>
        </w:rPr>
      </w:pPr>
      <w:r>
        <w:rPr>
          <w:rFonts w:ascii="Times New Roman" w:hAnsi="Times New Roman"/>
          <w:b/>
          <w:noProof/>
        </w:rPr>
        <w:t>УЕБПОРТАЛ ЗА ДИРЕКТИВАТА ОТНОСНО УУП</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widowControl w:val="0"/>
              <w:spacing w:line="276" w:lineRule="auto"/>
              <w:ind w:right="-28"/>
              <w:jc w:val="both"/>
              <w:rPr>
                <w:rFonts w:ascii="Times New Roman" w:hAnsi="Times New Roman"/>
                <w:noProof/>
                <w:sz w:val="24"/>
                <w:szCs w:val="24"/>
              </w:rPr>
            </w:pPr>
            <w:r>
              <w:rPr>
                <w:rFonts w:ascii="Times New Roman" w:hAnsi="Times New Roman"/>
                <w:noProof/>
              </w:rPr>
              <w:t>Уебпорталът за Директивата относно УУП улеснява обмена на съответната информация между държавите членки и други заинтересовани страни във връзка с Директивата относно УУП и ИУВ.</w:t>
            </w:r>
          </w:p>
        </w:tc>
      </w:tr>
    </w:tbl>
    <w:p w:rsidR="005D1B2D" w:rsidRDefault="005D1B2D">
      <w:pPr>
        <w:pStyle w:val="ListParagraph"/>
        <w:autoSpaceDE w:val="0"/>
        <w:autoSpaceDN w:val="0"/>
        <w:adjustRightInd w:val="0"/>
        <w:spacing w:after="0"/>
        <w:jc w:val="both"/>
        <w:rPr>
          <w:rFonts w:ascii="Times New Roman" w:eastAsia="Times New Roman" w:hAnsi="Times New Roman" w:cs="Times New Roman"/>
          <w:noProof/>
          <w:color w:val="000000"/>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През 2017 </w:t>
      </w:r>
      <w:r>
        <w:rPr>
          <w:rFonts w:ascii="Times New Roman" w:hAnsi="Times New Roman"/>
          <w:noProof/>
        </w:rPr>
        <w:t xml:space="preserve">г. Комисията създаде специализиран уебпортал за Директивата относно УУП </w:t>
      </w:r>
      <w:hyperlink r:id="rId20" w:history="1">
        <w:r>
          <w:rPr>
            <w:rStyle w:val="Hyperlink"/>
            <w:rFonts w:ascii="Times New Roman" w:hAnsi="Times New Roman"/>
            <w:noProof/>
          </w:rPr>
          <w:t>https://ec.europa.eu/food/plant/pesticides/sustainable_use_pesticides_en</w:t>
        </w:r>
      </w:hyperlink>
      <w:r>
        <w:rPr>
          <w:rFonts w:ascii="Times New Roman" w:hAnsi="Times New Roman"/>
          <w:noProof/>
        </w:rPr>
        <w:t>, както бе предложено о</w:t>
      </w:r>
      <w:r>
        <w:rPr>
          <w:rFonts w:ascii="Times New Roman" w:hAnsi="Times New Roman"/>
          <w:noProof/>
        </w:rPr>
        <w:t>т експертната група за устойчива защита на растенията, създадена по време на нидерландското председателство през 2016 г., с цел улесняване на обмена на съответната информация във връзка с Директивата относно УУП и ИУВ.</w:t>
      </w:r>
    </w:p>
    <w:p w:rsidR="005D1B2D" w:rsidRDefault="00E62D34">
      <w:pPr>
        <w:jc w:val="both"/>
        <w:rPr>
          <w:rFonts w:ascii="Times New Roman" w:hAnsi="Times New Roman" w:cs="Times New Roman"/>
          <w:noProof/>
          <w:sz w:val="24"/>
          <w:szCs w:val="24"/>
        </w:rPr>
      </w:pPr>
      <w:r>
        <w:rPr>
          <w:rFonts w:ascii="Times New Roman" w:hAnsi="Times New Roman"/>
          <w:noProof/>
        </w:rPr>
        <w:t>Двадесет и седем държави членки</w:t>
      </w:r>
      <w:r>
        <w:rPr>
          <w:rStyle w:val="FootnoteReference"/>
          <w:rFonts w:ascii="Times New Roman" w:hAnsi="Times New Roman" w:cs="Times New Roman"/>
          <w:noProof/>
        </w:rPr>
        <w:footnoteReference w:id="47"/>
      </w:r>
      <w:r>
        <w:rPr>
          <w:rFonts w:ascii="Times New Roman" w:hAnsi="Times New Roman"/>
          <w:noProof/>
        </w:rPr>
        <w:t xml:space="preserve"> са п</w:t>
      </w:r>
      <w:r>
        <w:rPr>
          <w:rFonts w:ascii="Times New Roman" w:hAnsi="Times New Roman"/>
          <w:noProof/>
        </w:rPr>
        <w:t xml:space="preserve">редоставили общо 240 връзки към уебсайтове, в които може да се търси както по теми, така и по държави членки, за да се улесни споделянето на съответната информация между заинтересованите страни. </w:t>
      </w:r>
    </w:p>
    <w:p w:rsidR="005D1B2D" w:rsidRDefault="005D1B2D">
      <w:pPr>
        <w:jc w:val="both"/>
        <w:rPr>
          <w:rFonts w:ascii="Times New Roman" w:hAnsi="Times New Roman" w:cs="Times New Roman"/>
          <w:noProof/>
          <w:sz w:val="24"/>
          <w:szCs w:val="24"/>
        </w:rPr>
      </w:pPr>
    </w:p>
    <w:p w:rsidR="005D1B2D" w:rsidRDefault="00E62D34">
      <w:pPr>
        <w:pStyle w:val="ListParagraph"/>
        <w:keepNext/>
        <w:numPr>
          <w:ilvl w:val="1"/>
          <w:numId w:val="26"/>
        </w:numPr>
        <w:ind w:left="425" w:hanging="425"/>
        <w:rPr>
          <w:rFonts w:ascii="Times New Roman" w:hAnsi="Times New Roman" w:cs="Times New Roman"/>
          <w:b/>
          <w:noProof/>
          <w:sz w:val="24"/>
          <w:szCs w:val="24"/>
        </w:rPr>
      </w:pPr>
      <w:r>
        <w:rPr>
          <w:rFonts w:ascii="Times New Roman" w:hAnsi="Times New Roman"/>
          <w:b/>
          <w:noProof/>
        </w:rPr>
        <w:t>УСТОЙЧИВА УПОТРЕБА НА ПЕСТИЦИДИ В РАМКИТЕ НА НАСТОЯЩАТА И Б</w:t>
      </w:r>
      <w:r>
        <w:rPr>
          <w:rFonts w:ascii="Times New Roman" w:hAnsi="Times New Roman"/>
          <w:b/>
          <w:noProof/>
        </w:rPr>
        <w:t xml:space="preserve">ЪДЕЩАТА ОБЩА СЕЛСКОСТОПАНСКА ПОЛИТИКА (ОСП) </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5D1B2D">
        <w:tc>
          <w:tcPr>
            <w:tcW w:w="9072" w:type="dxa"/>
            <w:shd w:val="clear" w:color="auto" w:fill="D9D9D9" w:themeFill="background1" w:themeFillShade="D9"/>
          </w:tcPr>
          <w:p w:rsidR="005D1B2D" w:rsidRDefault="00E62D34">
            <w:pPr>
              <w:pStyle w:val="Default"/>
              <w:spacing w:line="276" w:lineRule="auto"/>
              <w:jc w:val="both"/>
              <w:rPr>
                <w:noProof/>
              </w:rPr>
            </w:pPr>
            <w:r>
              <w:rPr>
                <w:noProof/>
              </w:rPr>
              <w:t xml:space="preserve">ОСП подкрепя редица аспекти на устойчивата употреба на пестициди, като бъдещите стратегически планове по ОСП ще продължат да подкрепят тези аспекти. </w:t>
            </w:r>
          </w:p>
        </w:tc>
      </w:tr>
    </w:tbl>
    <w:p w:rsidR="005D1B2D" w:rsidRDefault="005D1B2D">
      <w:pPr>
        <w:pStyle w:val="Default"/>
        <w:spacing w:line="276" w:lineRule="auto"/>
        <w:jc w:val="both"/>
        <w:rPr>
          <w:noProof/>
        </w:rPr>
      </w:pPr>
    </w:p>
    <w:p w:rsidR="005D1B2D" w:rsidRDefault="00E62D34">
      <w:pPr>
        <w:spacing w:after="0"/>
        <w:jc w:val="both"/>
        <w:rPr>
          <w:rFonts w:ascii="Times New Roman" w:hAnsi="Times New Roman" w:cs="Times New Roman"/>
          <w:noProof/>
          <w:sz w:val="24"/>
          <w:szCs w:val="24"/>
        </w:rPr>
      </w:pPr>
      <w:r>
        <w:rPr>
          <w:rFonts w:ascii="Times New Roman" w:hAnsi="Times New Roman"/>
          <w:noProof/>
        </w:rPr>
        <w:t xml:space="preserve">Настоящата ОСП съдържа няколко инструмента, които са </w:t>
      </w:r>
      <w:r>
        <w:rPr>
          <w:rFonts w:ascii="Times New Roman" w:hAnsi="Times New Roman"/>
          <w:noProof/>
        </w:rPr>
        <w:t xml:space="preserve">подходящи и ефективни и които ще бъдат дори още по-подходящи и ефективни в бъдеще по отношение на устойчивата употреба на пестициди и ИУВ. Ключов пример е как ОСП е допринесла за значително увеличаване на биологичното земеделие, така че през 2018 г. 7,5 % </w:t>
      </w:r>
      <w:r>
        <w:rPr>
          <w:rFonts w:ascii="Times New Roman" w:hAnsi="Times New Roman"/>
          <w:noProof/>
        </w:rPr>
        <w:t>от използваемата селскостопанска площ вече се е обработвала в рамките на системи за биологично производство — за сравнение: 2 % през 2000 г.</w:t>
      </w:r>
      <w:r>
        <w:rPr>
          <w:rStyle w:val="FootnoteReference"/>
          <w:rFonts w:ascii="Times New Roman" w:hAnsi="Times New Roman" w:cs="Times New Roman"/>
          <w:noProof/>
        </w:rPr>
        <w:footnoteReference w:id="48"/>
      </w:r>
      <w:r>
        <w:rPr>
          <w:rFonts w:ascii="Times New Roman" w:hAnsi="Times New Roman"/>
          <w:noProof/>
        </w:rPr>
        <w:t xml:space="preserve">. </w:t>
      </w:r>
    </w:p>
    <w:p w:rsidR="005D1B2D" w:rsidRDefault="005D1B2D">
      <w:pPr>
        <w:spacing w:after="0"/>
        <w:jc w:val="both"/>
        <w:rPr>
          <w:rFonts w:ascii="Times New Roman" w:hAnsi="Times New Roman" w:cs="Times New Roman"/>
          <w:noProof/>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Предложеното бъдещо предварително условие</w:t>
      </w:r>
      <w:r>
        <w:rPr>
          <w:rFonts w:ascii="Times New Roman" w:hAnsi="Times New Roman" w:cs="Times New Roman"/>
          <w:noProof/>
          <w:vertAlign w:val="superscript"/>
        </w:rPr>
        <w:footnoteReference w:id="49"/>
      </w:r>
      <w:r>
        <w:rPr>
          <w:rFonts w:ascii="Times New Roman" w:hAnsi="Times New Roman"/>
          <w:noProof/>
        </w:rPr>
        <w:t xml:space="preserve"> ще включва най-подходящите части от принципите за ИУВ, по-специално </w:t>
      </w:r>
      <w:r>
        <w:rPr>
          <w:rFonts w:ascii="Times New Roman" w:hAnsi="Times New Roman"/>
          <w:noProof/>
        </w:rPr>
        <w:t>ротация на културите и изисквания за минимален дял земеделска площ, предназначена за непроизводствени обекти, както и другите съответни разпоредби от Директивата относно УУП. Важно е, че Комисията предлага и по-добро интегриране на системата за консултиран</w:t>
      </w:r>
      <w:r>
        <w:rPr>
          <w:rFonts w:ascii="Times New Roman" w:hAnsi="Times New Roman"/>
          <w:noProof/>
        </w:rPr>
        <w:t>е на земеделските стопани и по-добро интегриране на научните изследвания и на трансфера на знания от мрежите по ОСП. Освен това в предложението се поддържат текущите плащания в областта на агроекологията и климата, с които се насърчават земеделските стопан</w:t>
      </w:r>
      <w:r>
        <w:rPr>
          <w:rFonts w:ascii="Times New Roman" w:hAnsi="Times New Roman"/>
          <w:noProof/>
        </w:rPr>
        <w:t>и да прилагат алтернативни (например биологични) методи за контрол на вредителите. Настоящата ОСП включва практики за екологизиране, подкрепени чрез директни плащания за земеделските стопани, като в бъдеще държавите членки ще разполагат с повече свобода за</w:t>
      </w:r>
      <w:r>
        <w:rPr>
          <w:rFonts w:ascii="Times New Roman" w:hAnsi="Times New Roman"/>
          <w:noProof/>
        </w:rPr>
        <w:t xml:space="preserve"> определяне на така наречените екосхеми, включително за насърчаване на алтернативи на пестицидите. Яснотата при определянето на задължителните принципи на ИУВ е ключова по отношение на тези стимулиращи плащания, които са свързани с надхвърляне на задължите</w:t>
      </w:r>
      <w:r>
        <w:rPr>
          <w:rFonts w:ascii="Times New Roman" w:hAnsi="Times New Roman"/>
          <w:noProof/>
        </w:rPr>
        <w:t>лните изисквания.</w:t>
      </w:r>
    </w:p>
    <w:p w:rsidR="005D1B2D" w:rsidRDefault="00E62D34">
      <w:pPr>
        <w:jc w:val="both"/>
        <w:rPr>
          <w:rFonts w:ascii="Times New Roman" w:hAnsi="Times New Roman" w:cs="Times New Roman"/>
          <w:noProof/>
          <w:sz w:val="24"/>
          <w:szCs w:val="24"/>
        </w:rPr>
      </w:pPr>
      <w:r>
        <w:rPr>
          <w:rFonts w:ascii="Times New Roman" w:hAnsi="Times New Roman"/>
          <w:noProof/>
        </w:rPr>
        <w:t>Важното е, че понастоящем държавите членки ще трябва да докажат в своите стратегически планове по ОСП как тези планове ще допринесат за дългосрочните национални цели, определени в контекста на законодателството в областта на околната сред</w:t>
      </w:r>
      <w:r>
        <w:rPr>
          <w:rFonts w:ascii="Times New Roman" w:hAnsi="Times New Roman"/>
          <w:noProof/>
        </w:rPr>
        <w:t>а и климата, включително в контекста на Директивата относно УУП. Това обхваща националните планове за действие по Директивата относно УУП с техните количествени цели, общи цели, мерки, графици и показатели, насочени към намаляване на рисковете и въздействи</w:t>
      </w:r>
      <w:r>
        <w:rPr>
          <w:rFonts w:ascii="Times New Roman" w:hAnsi="Times New Roman"/>
          <w:noProof/>
        </w:rPr>
        <w:t>ята от употребата на пестициди върху здравето на хората и околната среда. Резултатите от прилагането на плановете на държавите членки по ОСП ще бъдат наблюдавани и въздействието ще бъде измерено чрез установените показатели. Под надзора на Комисията това щ</w:t>
      </w:r>
      <w:r>
        <w:rPr>
          <w:rFonts w:ascii="Times New Roman" w:hAnsi="Times New Roman"/>
          <w:noProof/>
        </w:rPr>
        <w:t>е гарантира, че ОСП ще подкрепя селскостопанските практики за устойчива употреба на пестициди в съответствие с нуждите и съгласно насоките на Европейския зелен пакт.</w:t>
      </w:r>
    </w:p>
    <w:p w:rsidR="005D1B2D" w:rsidRDefault="005D1B2D">
      <w:pPr>
        <w:jc w:val="both"/>
        <w:rPr>
          <w:rFonts w:ascii="Times New Roman" w:hAnsi="Times New Roman" w:cs="Times New Roman"/>
          <w:b/>
          <w:noProof/>
          <w:sz w:val="24"/>
          <w:szCs w:val="24"/>
        </w:rPr>
      </w:pPr>
    </w:p>
    <w:p w:rsidR="005D1B2D" w:rsidRDefault="00E62D34">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b/>
          <w:noProof/>
        </w:rPr>
        <w:t xml:space="preserve">ПРЕГЛЕД НА ДИРЕКТИВАТА </w:t>
      </w:r>
    </w:p>
    <w:p w:rsidR="005D1B2D" w:rsidRDefault="00E62D34">
      <w:pPr>
        <w:pStyle w:val="Default"/>
        <w:spacing w:line="276" w:lineRule="auto"/>
        <w:jc w:val="both"/>
        <w:rPr>
          <w:noProof/>
        </w:rPr>
      </w:pPr>
      <w:r>
        <w:rPr>
          <w:noProof/>
        </w:rPr>
        <w:t>Предвид различните слабости, установени при изпълнението на Дирек</w:t>
      </w:r>
      <w:r>
        <w:rPr>
          <w:noProof/>
        </w:rPr>
        <w:t>тивата, както и значителните опасения, изразени от заинтересованите страни по отношение на употребата на пестициди, Комисията ще направи оценка на степента, в която са постигнати заложените в нея цели. Резултатите от оценката ще осигурят информация за бъде</w:t>
      </w:r>
      <w:r>
        <w:rPr>
          <w:noProof/>
        </w:rPr>
        <w:t>щите действия за намаляване на употребата и риска от химични пестициди съгласно стратегията „</w:t>
      </w:r>
      <w:r>
        <w:rPr>
          <w:rStyle w:val="subcontenttextbold"/>
          <w:noProof/>
        </w:rPr>
        <w:t>От</w:t>
      </w:r>
      <w:r>
        <w:rPr>
          <w:noProof/>
        </w:rPr>
        <w:t xml:space="preserve"> фермата до трапезата“ и стратегията за биологичното разнообразие и ще бъдат използвани като доказателствена база за определяне и оказване на подкрепа на бъдещите варианти на политиката, които ще включват преработване на Директивата относно УУП.</w:t>
      </w:r>
    </w:p>
    <w:p w:rsidR="005D1B2D" w:rsidRDefault="005D1B2D">
      <w:pPr>
        <w:pStyle w:val="Default"/>
        <w:spacing w:line="276" w:lineRule="auto"/>
        <w:jc w:val="both"/>
        <w:rPr>
          <w:noProof/>
        </w:rPr>
      </w:pPr>
    </w:p>
    <w:p w:rsidR="005D1B2D" w:rsidRDefault="005D1B2D">
      <w:pPr>
        <w:pStyle w:val="Default"/>
        <w:spacing w:line="276" w:lineRule="auto"/>
        <w:jc w:val="both"/>
        <w:rPr>
          <w:noProof/>
        </w:rPr>
      </w:pPr>
    </w:p>
    <w:p w:rsidR="005D1B2D" w:rsidRDefault="00E62D34">
      <w:pPr>
        <w:ind w:left="426" w:hanging="426"/>
        <w:rPr>
          <w:rFonts w:ascii="Times New Roman" w:hAnsi="Times New Roman" w:cs="Times New Roman"/>
          <w:b/>
          <w:noProof/>
          <w:sz w:val="24"/>
          <w:szCs w:val="24"/>
        </w:rPr>
      </w:pPr>
      <w:r>
        <w:rPr>
          <w:rFonts w:ascii="Times New Roman" w:hAnsi="Times New Roman"/>
          <w:b/>
          <w:noProof/>
        </w:rPr>
        <w:t xml:space="preserve">6. </w:t>
      </w:r>
      <w:r>
        <w:rPr>
          <w:rFonts w:ascii="Times New Roman" w:hAnsi="Times New Roman"/>
          <w:b/>
          <w:noProof/>
        </w:rPr>
        <w:tab/>
        <w:t>ЗАКЛ</w:t>
      </w:r>
      <w:r>
        <w:rPr>
          <w:rFonts w:ascii="Times New Roman" w:hAnsi="Times New Roman"/>
          <w:b/>
          <w:noProof/>
        </w:rPr>
        <w:t>ЮЧЕНИЯ</w:t>
      </w:r>
    </w:p>
    <w:p w:rsidR="005D1B2D" w:rsidRDefault="00E62D34">
      <w:pPr>
        <w:autoSpaceDE w:val="0"/>
        <w:autoSpaceDN w:val="0"/>
        <w:adjustRightInd w:val="0"/>
        <w:jc w:val="both"/>
        <w:rPr>
          <w:rFonts w:ascii="Times New Roman" w:hAnsi="Times New Roman" w:cs="Times New Roman"/>
          <w:noProof/>
          <w:sz w:val="24"/>
          <w:szCs w:val="24"/>
        </w:rPr>
      </w:pPr>
      <w:r>
        <w:rPr>
          <w:rFonts w:ascii="Times New Roman" w:hAnsi="Times New Roman"/>
          <w:noProof/>
        </w:rPr>
        <w:t>По-малко от една трета от държавите членки са завършили прегледа на своите НПД в рамките на законовия петгодишен срок. Повечето от държавите, които са извършили преглед на своите НПД, не са отстранили слабостите, установени от Комисията в първоначал</w:t>
      </w:r>
      <w:r>
        <w:rPr>
          <w:rFonts w:ascii="Times New Roman" w:hAnsi="Times New Roman"/>
          <w:noProof/>
        </w:rPr>
        <w:t>ните им НПД, като само в 20 % от преразгледаните НПД са определени високи цели, основани на резултатите, като част от по-дългосрочна стратегия за намаляване на рисковете и въздействията от употребата на пестициди. Въпреки тези слабости в НПД държавите член</w:t>
      </w:r>
      <w:r>
        <w:rPr>
          <w:rFonts w:ascii="Times New Roman" w:hAnsi="Times New Roman"/>
          <w:noProof/>
        </w:rPr>
        <w:t>ки са постигнали напредък в изпълнението на Директивата относно УУП. По-голямата част от държавите членки са установили цялостни системи за обучение и сертифициране на оператори, както и набор от мерки за опазване на водите и безопасно боравене със и съхра</w:t>
      </w:r>
      <w:r>
        <w:rPr>
          <w:rFonts w:ascii="Times New Roman" w:hAnsi="Times New Roman"/>
          <w:noProof/>
        </w:rPr>
        <w:t>нение на пестициди. От друга страна, прилагането на ИУВ е незадоволително и има ограничени доказателства, че принципите за ИУВ се прилагат системно.</w:t>
      </w:r>
    </w:p>
    <w:p w:rsidR="005D1B2D" w:rsidRDefault="00E62D34">
      <w:pPr>
        <w:tabs>
          <w:tab w:val="left" w:pos="871"/>
        </w:tabs>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 xml:space="preserve">Хармонизираният показател за риска № 1 показва, че след влизането в сила на Директивата относно УУП е постигнато намаляване на риска за здравето на хората и околната среда, произтичащ от продадените в Европейския съюз ПРЗ. Освен това посоченото намаляване </w:t>
      </w:r>
      <w:r>
        <w:rPr>
          <w:rFonts w:ascii="Times New Roman" w:hAnsi="Times New Roman"/>
          <w:noProof/>
        </w:rPr>
        <w:t>на риска е настъпило, въпреки че количествата продадени и използвани ПРЗ са останали относително постоянни, което отразява променящия се профил на пестицидите, продавани и използвани в Европейския съюз. Независимо от това хармонизираният показател за риска</w:t>
      </w:r>
      <w:r>
        <w:rPr>
          <w:rFonts w:ascii="Times New Roman" w:hAnsi="Times New Roman"/>
          <w:noProof/>
        </w:rPr>
        <w:t xml:space="preserve"> № 2 същевременно показва увеличаване на издаваните разрешения при извънредни ситуации. Съществува обаче значителен потенциал за по-нататъшно намаляване на риска чрез по-цялостно изпълнение на Директивата относно УУП, и по-специално чрез засилено прилагане</w:t>
      </w:r>
      <w:r>
        <w:rPr>
          <w:rFonts w:ascii="Times New Roman" w:hAnsi="Times New Roman"/>
          <w:noProof/>
        </w:rPr>
        <w:t xml:space="preserve"> на ИУВ, включително по-широкото прилагане на нехимични техники за контрол на вредителите. В съответствие с последните препоръки на Сметната палата Комисията също така се ангажира да разработи допълнителни показатели с цел по-добро отразяване на развитието</w:t>
      </w:r>
      <w:r>
        <w:rPr>
          <w:rFonts w:ascii="Times New Roman" w:hAnsi="Times New Roman"/>
          <w:noProof/>
        </w:rPr>
        <w:t xml:space="preserve"> на употребата на пестициди и свързаните с тях рискове, по-специално във връзка с разрешенията при извънредни ситуации. </w:t>
      </w:r>
    </w:p>
    <w:p w:rsidR="005D1B2D" w:rsidRDefault="005D1B2D">
      <w:pPr>
        <w:tabs>
          <w:tab w:val="left" w:pos="871"/>
        </w:tabs>
        <w:autoSpaceDE w:val="0"/>
        <w:autoSpaceDN w:val="0"/>
        <w:adjustRightInd w:val="0"/>
        <w:spacing w:after="0"/>
        <w:jc w:val="both"/>
        <w:rPr>
          <w:rFonts w:ascii="Times New Roman" w:hAnsi="Times New Roman" w:cs="Times New Roman"/>
          <w:noProof/>
          <w:sz w:val="24"/>
          <w:szCs w:val="24"/>
        </w:rPr>
      </w:pPr>
    </w:p>
    <w:p w:rsidR="005D1B2D" w:rsidRDefault="00E62D34">
      <w:pPr>
        <w:tabs>
          <w:tab w:val="left" w:pos="871"/>
        </w:tabs>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rPr>
        <w:t xml:space="preserve">Текущата работа на Комисията, осъществявана посредством гореописаните действия и посредством одита, мониторинга и обучението, успешно </w:t>
      </w:r>
      <w:r>
        <w:rPr>
          <w:rFonts w:ascii="Times New Roman" w:hAnsi="Times New Roman"/>
          <w:noProof/>
        </w:rPr>
        <w:t xml:space="preserve">гарантира, че ако не качеството на НПД, то изпълнението на Директивата относно УУП се подобрява. По отношение на случаите, в които държавите членки не изпълняват задълженията си съгласно Директивата относно УУП, Комисията понастоящем обмисля да предприеме </w:t>
      </w:r>
      <w:r>
        <w:rPr>
          <w:rFonts w:ascii="Times New Roman" w:hAnsi="Times New Roman"/>
          <w:noProof/>
        </w:rPr>
        <w:t>допълнителни стъпки, включително евентуални процедури за нарушения.  Във връзка с оценката Комисията ще подготви законодателно предложение за преразглеждане на Директивата относно УУП.</w:t>
      </w:r>
    </w:p>
    <w:p w:rsidR="005D1B2D" w:rsidRDefault="005D1B2D">
      <w:pPr>
        <w:tabs>
          <w:tab w:val="left" w:pos="871"/>
        </w:tabs>
        <w:autoSpaceDE w:val="0"/>
        <w:autoSpaceDN w:val="0"/>
        <w:adjustRightInd w:val="0"/>
        <w:spacing w:after="0"/>
        <w:jc w:val="both"/>
        <w:rPr>
          <w:rFonts w:ascii="Times New Roman" w:hAnsi="Times New Roman" w:cs="Times New Roman"/>
          <w:noProof/>
          <w:sz w:val="24"/>
          <w:szCs w:val="24"/>
        </w:rPr>
      </w:pPr>
    </w:p>
    <w:p w:rsidR="005D1B2D" w:rsidRDefault="00E62D34">
      <w:pPr>
        <w:jc w:val="both"/>
        <w:rPr>
          <w:rFonts w:ascii="Times New Roman" w:hAnsi="Times New Roman" w:cs="Times New Roman"/>
          <w:noProof/>
          <w:sz w:val="24"/>
          <w:szCs w:val="24"/>
        </w:rPr>
      </w:pPr>
      <w:r>
        <w:rPr>
          <w:rFonts w:ascii="Times New Roman" w:hAnsi="Times New Roman"/>
          <w:noProof/>
        </w:rPr>
        <w:t>И накрая, съгласно стратегията „От фермата до трапезата“ и стратегията</w:t>
      </w:r>
      <w:r>
        <w:rPr>
          <w:rFonts w:ascii="Times New Roman" w:hAnsi="Times New Roman"/>
          <w:noProof/>
        </w:rPr>
        <w:t xml:space="preserve"> за биологичното разнообразие Комисията ще предприеме действия за намаляване до 2030 г. на употребата на химични пестициди и свързания с тях риск с 50 % и за намаляване до 2030 г. на употребата на по-опасните пестициди с 50 %. За тази цел Комисията ще прер</w:t>
      </w:r>
      <w:r>
        <w:rPr>
          <w:rFonts w:ascii="Times New Roman" w:hAnsi="Times New Roman"/>
          <w:noProof/>
        </w:rPr>
        <w:t xml:space="preserve">азгледа Директивата относно УУП, ще подобри разпоредбите относно ИУВ и ще насърчи по-широкото използване на алтернативни начини за защита на реколтата от вредители и болести. </w:t>
      </w:r>
    </w:p>
    <w:sectPr w:rsidR="005D1B2D">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E9FF9" w16cid:durableId="1D0788BB"/>
  <w16cid:commentId w16cid:paraId="5FFBF9BC" w16cid:durableId="1D0788BC"/>
  <w16cid:commentId w16cid:paraId="60A878D0" w16cid:durableId="1D0788BD"/>
  <w16cid:commentId w16cid:paraId="3A2FA365" w16cid:durableId="1D0788BE"/>
  <w16cid:commentId w16cid:paraId="509C3FBE" w16cid:durableId="1D0788BF"/>
  <w16cid:commentId w16cid:paraId="15464500" w16cid:durableId="1D0788C0"/>
  <w16cid:commentId w16cid:paraId="642B8E4E" w16cid:durableId="1D0788C1"/>
  <w16cid:commentId w16cid:paraId="75FF39DF" w16cid:durableId="1D0788C2"/>
  <w16cid:commentId w16cid:paraId="5B5C23A9" w16cid:durableId="1D0788C3"/>
  <w16cid:commentId w16cid:paraId="78D0E9C6" w16cid:durableId="1D0788C4"/>
  <w16cid:commentId w16cid:paraId="01A559E7" w16cid:durableId="1D0788C5"/>
  <w16cid:commentId w16cid:paraId="3F76A7E5" w16cid:durableId="1D0788C6"/>
  <w16cid:commentId w16cid:paraId="7EB11473" w16cid:durableId="1D0788C7"/>
  <w16cid:commentId w16cid:paraId="6A6A73D7" w16cid:durableId="1D0788C8"/>
  <w16cid:commentId w16cid:paraId="10EAE6E2" w16cid:durableId="1D0788C9"/>
  <w16cid:commentId w16cid:paraId="1EA83589" w16cid:durableId="1D0788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2D" w:rsidRDefault="00E62D34">
      <w:pPr>
        <w:spacing w:after="0" w:line="240" w:lineRule="auto"/>
      </w:pPr>
      <w:r>
        <w:separator/>
      </w:r>
    </w:p>
  </w:endnote>
  <w:endnote w:type="continuationSeparator" w:id="0">
    <w:p w:rsidR="005D1B2D" w:rsidRDefault="00E62D34">
      <w:pPr>
        <w:spacing w:after="0" w:line="240" w:lineRule="auto"/>
      </w:pPr>
      <w:r>
        <w:continuationSeparator/>
      </w:r>
    </w:p>
  </w:endnote>
  <w:endnote w:type="continuationNotice" w:id="1">
    <w:p w:rsidR="005D1B2D" w:rsidRDefault="005D1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E62D34">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14164"/>
      <w:docPartObj>
        <w:docPartGallery w:val="Page Numbers (Bottom of Page)"/>
        <w:docPartUnique/>
      </w:docPartObj>
    </w:sdtPr>
    <w:sdtEndPr>
      <w:rPr>
        <w:noProof/>
      </w:rPr>
    </w:sdtEndPr>
    <w:sdtContent>
      <w:p w:rsidR="005D1B2D" w:rsidRDefault="00E62D34">
        <w:pPr>
          <w:pStyle w:val="Footer"/>
          <w:jc w:val="center"/>
        </w:pPr>
        <w:r>
          <w:fldChar w:fldCharType="begin"/>
        </w:r>
        <w:r>
          <w:instrText xml:space="preserve"> PAGE   \* MERGEFORMAT </w:instrText>
        </w:r>
        <w:r>
          <w:fldChar w:fldCharType="separate"/>
        </w:r>
        <w:r>
          <w:rPr>
            <w:noProof/>
          </w:rPr>
          <w:t>1</w:t>
        </w:r>
        <w:r>
          <w:fldChar w:fldCharType="end"/>
        </w:r>
      </w:p>
    </w:sdtContent>
  </w:sdt>
  <w:p w:rsidR="005D1B2D" w:rsidRDefault="005D1B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2D" w:rsidRDefault="00E62D34">
      <w:pPr>
        <w:spacing w:after="0" w:line="240" w:lineRule="auto"/>
      </w:pPr>
      <w:r>
        <w:separator/>
      </w:r>
    </w:p>
  </w:footnote>
  <w:footnote w:type="continuationSeparator" w:id="0">
    <w:p w:rsidR="005D1B2D" w:rsidRDefault="00E62D34">
      <w:pPr>
        <w:spacing w:after="0" w:line="240" w:lineRule="auto"/>
      </w:pPr>
      <w:r>
        <w:continuationSeparator/>
      </w:r>
    </w:p>
  </w:footnote>
  <w:footnote w:type="continuationNotice" w:id="1">
    <w:p w:rsidR="005D1B2D" w:rsidRDefault="005D1B2D">
      <w:pPr>
        <w:spacing w:after="0" w:line="240" w:lineRule="auto"/>
      </w:pPr>
    </w:p>
  </w:footnote>
  <w:footnote w:id="2">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Терминът „пестициди“ в контекста на</w:t>
      </w:r>
      <w:r>
        <w:rPr>
          <w:rFonts w:ascii="Times New Roman" w:hAnsi="Times New Roman"/>
        </w:rPr>
        <w:t xml:space="preserve"> настоящия доклад се отнася до продукти за растителна защита (ПРЗ), както е определено в член 3, параграф 10, буква а) от Директива 2009/128/ЕО.</w:t>
      </w:r>
    </w:p>
  </w:footnote>
  <w:footnote w:id="3">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2009/128/ЕО на Европейския парламент и на Съвета от 21 октомври 2009 г. за създаване на рамка за де</w:t>
      </w:r>
      <w:r>
        <w:rPr>
          <w:rFonts w:ascii="Times New Roman" w:hAnsi="Times New Roman"/>
        </w:rPr>
        <w:t>йствие на Общността за постигане на устойчива употреба на пестициди (ОВ L 309, 24.11.2009 г., стр. 71—86).</w:t>
      </w:r>
    </w:p>
  </w:footnote>
  <w:footnote w:id="4">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(ЕО) № 1107/2009 на Европейския парламент и на Съвета от 21 октомври 2009 г. относно пускането на пазара на продукти за растителна защит</w:t>
      </w:r>
      <w:r>
        <w:rPr>
          <w:rFonts w:ascii="Times New Roman" w:hAnsi="Times New Roman"/>
        </w:rPr>
        <w:t xml:space="preserve">а и за отмяна на директиви 79/117/ЕИО и 91/414/ЕИО на Съвета </w:t>
      </w:r>
      <w:r>
        <w:rPr>
          <w:rFonts w:ascii="Times New Roman" w:hAnsi="Times New Roman"/>
          <w:iCs/>
        </w:rPr>
        <w:t>(ОВ L 309, 24.11.2009 г., стр. 1—50)</w:t>
      </w:r>
      <w:r>
        <w:rPr>
          <w:rFonts w:ascii="Times New Roman" w:hAnsi="Times New Roman"/>
          <w:i/>
          <w:iCs/>
        </w:rPr>
        <w:t>.</w:t>
      </w:r>
    </w:p>
  </w:footnote>
  <w:footnote w:id="5">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(ЕО) № 396/2005 на Европейския парламент и на Съвета от 23 февруари 2005 г. относно максимално допустимите граници на остатъчни вещества от пест</w:t>
      </w:r>
      <w:r>
        <w:rPr>
          <w:rFonts w:ascii="Times New Roman" w:hAnsi="Times New Roman"/>
        </w:rPr>
        <w:t xml:space="preserve">ициди във и върху храни или фуражи от растителен или животински произход и за изменение на Директива 91/414/ЕИО на Съвета </w:t>
      </w:r>
      <w:r>
        <w:rPr>
          <w:rFonts w:ascii="Times New Roman" w:hAnsi="Times New Roman"/>
          <w:iCs/>
        </w:rPr>
        <w:t>(ОВ L 70, 16.3.2005 г., стр. 1—16).</w:t>
      </w:r>
    </w:p>
  </w:footnote>
  <w:footnote w:id="6">
    <w:p w:rsidR="005D1B2D" w:rsidRDefault="00E62D34">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(EС) 2017/625 на Европейския парламент и на Съвета от 15 март 2017 г. относно официал</w:t>
      </w:r>
      <w:r>
        <w:rPr>
          <w:rFonts w:ascii="Times New Roman" w:hAnsi="Times New Roman"/>
        </w:rPr>
        <w:t>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w:t>
      </w:r>
      <w:r>
        <w:rPr>
          <w:rFonts w:ascii="Times New Roman" w:hAnsi="Times New Roman"/>
        </w:rPr>
        <w:t xml:space="preserve">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w:t>
      </w:r>
      <w:r>
        <w:rPr>
          <w:rFonts w:ascii="Times New Roman" w:hAnsi="Times New Roman"/>
        </w:rPr>
        <w:t>№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w:t>
      </w:r>
      <w:r>
        <w:rPr>
          <w:rFonts w:ascii="Times New Roman" w:hAnsi="Times New Roman"/>
        </w:rPr>
        <w:t>ЕИО, 96/23/EО, 96/93/EО и 97/78/EО на Съвета и Решение 92/438/EИО на Съвета (Регламент относно официалния контрол) (ОВ L 95, 7.4.2017 г., стр. 1–142).</w:t>
      </w:r>
    </w:p>
  </w:footnote>
  <w:footnote w:id="7">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(ЕО) № 1185/2009 на Европейския парламент и на Съвета от 25 ноември 2009 г. относно статисти</w:t>
      </w:r>
      <w:r>
        <w:rPr>
          <w:rFonts w:ascii="Times New Roman" w:hAnsi="Times New Roman"/>
        </w:rPr>
        <w:t>ката за пестициди (</w:t>
      </w:r>
      <w:r>
        <w:rPr>
          <w:rFonts w:ascii="Times New Roman" w:hAnsi="Times New Roman"/>
          <w:iCs/>
        </w:rPr>
        <w:t>ОВ L 324, 10.12.2009 г., стр. 1—22</w:t>
      </w:r>
      <w:r>
        <w:rPr>
          <w:rFonts w:ascii="Times New Roman" w:hAnsi="Times New Roman"/>
        </w:rPr>
        <w:t>).</w:t>
      </w:r>
    </w:p>
  </w:footnote>
  <w:footnote w:id="8">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 1303/2013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w:t>
      </w:r>
      <w:r>
        <w:rPr>
          <w:rFonts w:ascii="Times New Roman" w:hAnsi="Times New Roman"/>
        </w:rPr>
        <w:t xml:space="preserve">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w:t>
      </w:r>
    </w:p>
    <w:p w:rsidR="005D1B2D" w:rsidRDefault="00E62D34">
      <w:pPr>
        <w:pStyle w:val="FootnoteText"/>
        <w:ind w:left="284"/>
        <w:jc w:val="both"/>
        <w:rPr>
          <w:rFonts w:ascii="Times New Roman" w:hAnsi="Times New Roman" w:cs="Times New Roman"/>
        </w:rPr>
      </w:pPr>
      <w:r>
        <w:rPr>
          <w:rFonts w:ascii="Times New Roman" w:hAnsi="Times New Roman"/>
        </w:rPr>
        <w:t xml:space="preserve">Регламент ЕС </w:t>
      </w:r>
      <w:r>
        <w:rPr>
          <w:rFonts w:ascii="Times New Roman" w:hAnsi="Times New Roman"/>
        </w:rPr>
        <w:t>(№) 1305/2013 относно подпомагане на развитието на селските райони от Европейския земеделски фонд за развитие на селските райони.</w:t>
      </w:r>
    </w:p>
    <w:p w:rsidR="005D1B2D" w:rsidRDefault="00E62D34">
      <w:pPr>
        <w:pStyle w:val="FootnoteText"/>
        <w:ind w:left="284"/>
        <w:jc w:val="both"/>
        <w:rPr>
          <w:rFonts w:ascii="Times New Roman" w:hAnsi="Times New Roman" w:cs="Times New Roman"/>
        </w:rPr>
      </w:pPr>
      <w:r>
        <w:rPr>
          <w:rFonts w:ascii="Times New Roman" w:hAnsi="Times New Roman"/>
        </w:rPr>
        <w:t>Регламент (ЕС) № 1306/2013 относно финансирането, управлението и мониторинга на общата селскостопанска политика.</w:t>
      </w:r>
    </w:p>
    <w:p w:rsidR="005D1B2D" w:rsidRDefault="00E62D34">
      <w:pPr>
        <w:pStyle w:val="FootnoteText"/>
        <w:ind w:left="284"/>
        <w:jc w:val="both"/>
        <w:rPr>
          <w:rFonts w:ascii="Times New Roman" w:hAnsi="Times New Roman" w:cs="Times New Roman"/>
        </w:rPr>
      </w:pPr>
      <w:r>
        <w:rPr>
          <w:rFonts w:ascii="Times New Roman" w:hAnsi="Times New Roman"/>
        </w:rPr>
        <w:t>COM(2018) 392</w:t>
      </w:r>
      <w:r>
        <w:rPr>
          <w:rFonts w:ascii="Times New Roman" w:hAnsi="Times New Roman"/>
        </w:rPr>
        <w:t>, Предложение за регламент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w:t>
      </w:r>
    </w:p>
  </w:footnote>
  <w:footnote w:id="9">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1" w:history="1">
        <w:r>
          <w:rPr>
            <w:rStyle w:val="Hyperlink"/>
            <w:rFonts w:ascii="Times New Roman" w:hAnsi="Times New Roman"/>
          </w:rPr>
          <w:t>https://www.un.org/ga/search/view_doc.asp?symbol=A/RES/70/1&amp;Lang=E</w:t>
        </w:r>
      </w:hyperlink>
    </w:p>
    <w:p w:rsidR="005D1B2D" w:rsidRDefault="005D1B2D">
      <w:pPr>
        <w:pStyle w:val="FootnoteText"/>
        <w:ind w:left="284" w:hanging="284"/>
        <w:jc w:val="both"/>
        <w:rPr>
          <w:rFonts w:ascii="Times New Roman" w:hAnsi="Times New Roman" w:cs="Times New Roman"/>
        </w:rPr>
      </w:pPr>
    </w:p>
  </w:footnote>
  <w:footnote w:id="10">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2" w:history="1">
        <w:r>
          <w:rPr>
            <w:rStyle w:val="Hyperlink"/>
            <w:rFonts w:ascii="Times New Roman" w:hAnsi="Times New Roman"/>
          </w:rPr>
          <w:t>https://ec.europa.eu/commission/files/reflection-paper-towards-sustainable-europe_bg</w:t>
        </w:r>
      </w:hyperlink>
    </w:p>
  </w:footnote>
  <w:footnote w:id="11">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3" w:history="1">
        <w:r>
          <w:rPr>
            <w:rStyle w:val="Hyperlink"/>
            <w:rFonts w:ascii="Times New Roman" w:hAnsi="Times New Roman"/>
          </w:rPr>
          <w:t>https://eur</w:t>
        </w:r>
        <w:r>
          <w:rPr>
            <w:rStyle w:val="Hyperlink"/>
            <w:rFonts w:ascii="Times New Roman" w:hAnsi="Times New Roman"/>
          </w:rPr>
          <w:t>opa.eu/citizens-initiative/initiatives/details/2017/000002_bg</w:t>
        </w:r>
      </w:hyperlink>
    </w:p>
  </w:footnote>
  <w:footnote w:id="12">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4" w:history="1">
        <w:r>
          <w:rPr>
            <w:rStyle w:val="Hyperlink"/>
            <w:rFonts w:ascii="Times New Roman" w:hAnsi="Times New Roman"/>
          </w:rPr>
          <w:t>https://ec.europa.eu/transparency/regdoc/rep/3/2017/BG/C-201</w:t>
        </w:r>
        <w:r>
          <w:rPr>
            <w:rStyle w:val="Hyperlink"/>
            <w:rFonts w:ascii="Times New Roman" w:hAnsi="Times New Roman"/>
          </w:rPr>
          <w:t>7-8414-F1-BG-MAIN-PART-1.PDF</w:t>
        </w:r>
      </w:hyperlink>
    </w:p>
  </w:footnote>
  <w:footnote w:id="13">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5" w:history="1">
        <w:r>
          <w:rPr>
            <w:rStyle w:val="Hyperlink"/>
            <w:rFonts w:ascii="Times New Roman" w:hAnsi="Times New Roman"/>
          </w:rPr>
          <w:t>https://www.eca.europa.eu/Lists/ECADocuments/SR20_05/SR_Pesticides_BG.pdf</w:t>
        </w:r>
      </w:hyperlink>
    </w:p>
  </w:footnote>
  <w:footnote w:id="14">
    <w:p w:rsidR="005D1B2D" w:rsidRDefault="00E62D34">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COM(2019) 640 final, Европейски</w:t>
      </w:r>
      <w:r>
        <w:rPr>
          <w:rFonts w:ascii="Times New Roman" w:hAnsi="Times New Roman"/>
        </w:rPr>
        <w:t>ят зелен пакт.</w:t>
      </w:r>
    </w:p>
  </w:footnote>
  <w:footnote w:id="15">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Белгия, Чехия, Дания, Ирландия, Испания, Франция, Кипър, Литва, Люксембург, Малта, Австрия, Полша, Португалия, Словения и Финландия.</w:t>
      </w:r>
    </w:p>
  </w:footnote>
  <w:footnote w:id="16">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България, Испания, Франция и Унгария.</w:t>
      </w:r>
    </w:p>
  </w:footnote>
  <w:footnote w:id="17">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Ирландия, Гърция, Кипър, Литва, Австрия, Португалия и Румъния</w:t>
      </w:r>
      <w:r>
        <w:rPr>
          <w:rFonts w:ascii="Times New Roman" w:hAnsi="Times New Roman"/>
        </w:rPr>
        <w:t>.</w:t>
      </w:r>
    </w:p>
  </w:footnote>
  <w:footnote w:id="18">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Кипър, Люксембург, Малта и Румъния.</w:t>
      </w:r>
    </w:p>
  </w:footnote>
  <w:footnote w:id="19">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Австрия, България, Германия, Дания, Естония, Ирландия, Италия, Латвия, Литва, Люксембург, Малта, Нидерландия, Обединеното кралство, Полша, Португалия, Румъния, Словакия, Словения, Унгария, Финландия, Франция, Хър</w:t>
      </w:r>
      <w:r>
        <w:rPr>
          <w:rFonts w:ascii="Times New Roman" w:hAnsi="Times New Roman"/>
        </w:rPr>
        <w:t>ватия, Чехия и Швеция.</w:t>
      </w:r>
    </w:p>
  </w:footnote>
  <w:footnote w:id="20">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Белгия, Дания, Германия, Испания, Франция, Литва, Люксембург и Австрия.</w:t>
      </w:r>
    </w:p>
  </w:footnote>
  <w:footnote w:id="21">
    <w:p w:rsidR="005D1B2D" w:rsidRDefault="00E62D34">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Чехия, Естония, Ирландия, Кипър, Латвия, Унгария, Малта, Полша, Португалия, Румъния, Словения, Финландия и Швеция.</w:t>
      </w:r>
    </w:p>
  </w:footnote>
  <w:footnote w:id="22">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Германия, Дания и Франция.</w:t>
      </w:r>
    </w:p>
  </w:footnote>
  <w:footnote w:id="23">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 датск</w:t>
      </w:r>
      <w:r>
        <w:rPr>
          <w:rFonts w:ascii="Times New Roman" w:hAnsi="Times New Roman"/>
        </w:rPr>
        <w:t>ия НПД ППТ е определен въз основа на данните за продажбите като показател за потенциалния общ товар върху здравето и околната среда на базата на свързаните със здравето и околната среда характеристики на пестицидите.</w:t>
      </w:r>
    </w:p>
  </w:footnote>
  <w:footnote w:id="24">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Дания, Германия и Швеция.</w:t>
      </w:r>
    </w:p>
  </w:footnote>
  <w:footnote w:id="25">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Показат</w:t>
      </w:r>
      <w:r>
        <w:rPr>
          <w:rFonts w:ascii="Times New Roman" w:hAnsi="Times New Roman"/>
        </w:rPr>
        <w:t xml:space="preserve">елят за риска SYNOPS представлява модел за оценка на потенциалния риск от ПРЗ в околната среда </w:t>
      </w:r>
      <w:hyperlink r:id="rId6" w:history="1">
        <w:r>
          <w:rPr>
            <w:rStyle w:val="Hyperlink"/>
            <w:rFonts w:ascii="Times New Roman" w:hAnsi="Times New Roman"/>
          </w:rPr>
          <w:t>https://www.nap-pflanzenschutz.de/en/practice/assessment-of-pesticide-use/risk-analysis-synops/</w:t>
        </w:r>
      </w:hyperlink>
      <w:r>
        <w:rPr>
          <w:rFonts w:ascii="Times New Roman" w:hAnsi="Times New Roman"/>
        </w:rPr>
        <w:t xml:space="preserve"> </w:t>
      </w:r>
    </w:p>
  </w:footnote>
  <w:footnote w:id="26">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Показателят е описан в шведския НПД, достъпен на адрес: </w:t>
      </w:r>
      <w:hyperlink r:id="rId7" w:history="1">
        <w:r>
          <w:rPr>
            <w:rStyle w:val="Hyperlink"/>
            <w:rFonts w:ascii="Times New Roman" w:hAnsi="Times New Roman"/>
          </w:rPr>
          <w:t>https://ec.europa.eu/food/sites/food/files/plant/docs/pesticides_sup_nap_swe_en.pdf</w:t>
        </w:r>
      </w:hyperlink>
      <w:r>
        <w:rPr>
          <w:rFonts w:ascii="Times New Roman" w:hAnsi="Times New Roman"/>
        </w:rPr>
        <w:t xml:space="preserve"> </w:t>
      </w:r>
    </w:p>
  </w:footnote>
  <w:footnote w:id="27">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Style w:val="tlid-translation"/>
          <w:rFonts w:ascii="Times New Roman" w:hAnsi="Times New Roman"/>
        </w:rPr>
        <w:t>БДЕ се изчислява въз основа на данните за продажбите и съответства на редица средни обработки, които се прилагат ежегодно за всички култури на национално равнище във Фр</w:t>
      </w:r>
      <w:r>
        <w:rPr>
          <w:rStyle w:val="tlid-translation"/>
          <w:rFonts w:ascii="Times New Roman" w:hAnsi="Times New Roman"/>
        </w:rPr>
        <w:t xml:space="preserve">анция </w:t>
      </w:r>
      <w:hyperlink r:id="rId8" w:history="1">
        <w:r>
          <w:rPr>
            <w:rStyle w:val="Hyperlink"/>
            <w:rFonts w:ascii="Times New Roman" w:hAnsi="Times New Roman"/>
          </w:rPr>
          <w:t>https://agriculture.gouv.fr/quest-ce-que-le-nodu</w:t>
        </w:r>
      </w:hyperlink>
      <w:r>
        <w:rPr>
          <w:rFonts w:ascii="Times New Roman" w:hAnsi="Times New Roman"/>
        </w:rPr>
        <w:t xml:space="preserve"> </w:t>
      </w:r>
    </w:p>
  </w:footnote>
  <w:footnote w:id="28">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Белгия, Чехия, Дания, Ирландия, Испания, Кипър, Литва, Малта, Австрия, Полша, Португалия, Словения и Финландия.</w:t>
      </w:r>
    </w:p>
  </w:footnote>
  <w:footnote w:id="29">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Дания, Франция и </w:t>
      </w:r>
      <w:r>
        <w:rPr>
          <w:rFonts w:ascii="Times New Roman" w:hAnsi="Times New Roman"/>
        </w:rPr>
        <w:t>Люксембург.</w:t>
      </w:r>
    </w:p>
  </w:footnote>
  <w:footnote w:id="30">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9" w:history="1">
        <w:r>
          <w:rPr>
            <w:rStyle w:val="Hyperlink"/>
            <w:rFonts w:ascii="Times New Roman" w:hAnsi="Times New Roman"/>
          </w:rPr>
          <w:t>https://ec.europa.eu/food/sites/food/files/plant/docs/pesticides_sup_nap_pol-rev-2018_en.pdf</w:t>
        </w:r>
      </w:hyperlink>
      <w:r>
        <w:rPr>
          <w:rFonts w:ascii="Times New Roman" w:hAnsi="Times New Roman"/>
        </w:rPr>
        <w:t xml:space="preserve"> </w:t>
      </w:r>
    </w:p>
  </w:footnote>
  <w:footnote w:id="31">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На разположение на адрес: </w:t>
      </w:r>
      <w:hyperlink r:id="rId10" w:history="1">
        <w:r>
          <w:rPr>
            <w:rStyle w:val="Hyperlink"/>
            <w:rFonts w:ascii="Times New Roman" w:hAnsi="Times New Roman"/>
          </w:rPr>
          <w:t>https://appsso.eurostat.ec.europa.eu/nui/show.do?dataset=ef_m_farmleg&amp;lang=en</w:t>
        </w:r>
      </w:hyperlink>
      <w:r>
        <w:rPr>
          <w:rFonts w:ascii="Times New Roman" w:hAnsi="Times New Roman"/>
        </w:rPr>
        <w:t xml:space="preserve"> </w:t>
      </w:r>
    </w:p>
  </w:footnote>
  <w:footnote w:id="32">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Style w:val="st"/>
          <w:rFonts w:ascii="Times New Roman" w:hAnsi="Times New Roman"/>
        </w:rPr>
        <w:t>Б</w:t>
      </w:r>
      <w:r>
        <w:rPr>
          <w:rFonts w:ascii="Times New Roman" w:hAnsi="Times New Roman"/>
        </w:rPr>
        <w:t>елгия,</w:t>
      </w:r>
      <w:r>
        <w:rPr>
          <w:rStyle w:val="st"/>
          <w:rFonts w:ascii="Times New Roman" w:hAnsi="Times New Roman"/>
        </w:rPr>
        <w:t xml:space="preserve"> </w:t>
      </w:r>
      <w:r>
        <w:rPr>
          <w:rFonts w:ascii="Times New Roman" w:hAnsi="Times New Roman"/>
        </w:rPr>
        <w:t xml:space="preserve">Дания, Франция, </w:t>
      </w:r>
      <w:r>
        <w:rPr>
          <w:rStyle w:val="st"/>
          <w:rFonts w:ascii="Times New Roman" w:hAnsi="Times New Roman"/>
        </w:rPr>
        <w:t>Люксембург и</w:t>
      </w:r>
      <w:r>
        <w:rPr>
          <w:rFonts w:ascii="Times New Roman" w:hAnsi="Times New Roman"/>
        </w:rPr>
        <w:t xml:space="preserve"> Словения.</w:t>
      </w:r>
      <w:r>
        <w:rPr>
          <w:rStyle w:val="st"/>
          <w:rFonts w:ascii="Times New Roman" w:hAnsi="Times New Roman"/>
        </w:rPr>
        <w:t xml:space="preserve"> </w:t>
      </w:r>
    </w:p>
  </w:footnote>
  <w:footnote w:id="33">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Дир</w:t>
      </w:r>
      <w:r>
        <w:rPr>
          <w:rFonts w:ascii="Times New Roman" w:hAnsi="Times New Roman"/>
        </w:rPr>
        <w:t xml:space="preserve">ектива (ЕС) 2019/782 на Комисията от 15 май 2019 г. за изменение на Директива 2009/128/ЕО на Европейския парламент и на Съвета по отношение на установяването на хармонизирани показатели за риска (C/2019/3580), </w:t>
      </w:r>
      <w:r>
        <w:rPr>
          <w:rStyle w:val="Emphasis"/>
          <w:rFonts w:ascii="Times New Roman" w:hAnsi="Times New Roman"/>
        </w:rPr>
        <w:t>(ОВ L 127, 16.5.2019 г., стр. 4–10)</w:t>
      </w:r>
      <w:r>
        <w:rPr>
          <w:rFonts w:ascii="Times New Roman" w:hAnsi="Times New Roman"/>
        </w:rPr>
        <w:t>.</w:t>
      </w:r>
    </w:p>
  </w:footnote>
  <w:footnote w:id="34">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 раз</w:t>
      </w:r>
      <w:r>
        <w:rPr>
          <w:rFonts w:ascii="Times New Roman" w:hAnsi="Times New Roman"/>
        </w:rPr>
        <w:t xml:space="preserve">положение на адрес: </w:t>
      </w:r>
      <w:hyperlink r:id="rId11" w:history="1">
        <w:r>
          <w:rPr>
            <w:rStyle w:val="Hyperlink"/>
            <w:rFonts w:ascii="Times New Roman" w:hAnsi="Times New Roman"/>
          </w:rPr>
          <w:t>http://appsso.eurostat.ec.europa.eu/nui/show.do?dataset=aei_fm_salpest09&amp;lang=en</w:t>
        </w:r>
      </w:hyperlink>
      <w:r>
        <w:rPr>
          <w:rFonts w:ascii="Times New Roman" w:hAnsi="Times New Roman"/>
        </w:rPr>
        <w:t xml:space="preserve"> </w:t>
      </w:r>
    </w:p>
  </w:footnote>
  <w:footnote w:id="35">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 разположение на адрес: https://ec.europa.eu/food/pl</w:t>
      </w:r>
      <w:r>
        <w:rPr>
          <w:rFonts w:ascii="Times New Roman" w:hAnsi="Times New Roman"/>
        </w:rPr>
        <w:t xml:space="preserve">ant/pesticides/refit_en  </w:t>
      </w:r>
      <w:hyperlink w:history="1"/>
      <w:r>
        <w:rPr>
          <w:rFonts w:ascii="Times New Roman" w:hAnsi="Times New Roman"/>
        </w:rPr>
        <w:t xml:space="preserve">  </w:t>
      </w:r>
    </w:p>
  </w:footnote>
  <w:footnote w:id="36">
    <w:p w:rsidR="005D1B2D" w:rsidRDefault="00E62D34">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Съответната информация за всяка държава членка е достъпна на адрес </w:t>
      </w:r>
      <w:hyperlink r:id="rId12" w:history="1">
        <w:r>
          <w:rPr>
            <w:rStyle w:val="Hyperlink"/>
            <w:rFonts w:ascii="Times New Roman" w:hAnsi="Times New Roman"/>
          </w:rPr>
          <w:t>https://ec.europa.eu/food/plant/pesticides/sustainable_use_pesticides/harmonised-risk-indicators/trends-hri-ms_en</w:t>
        </w:r>
      </w:hyperlink>
      <w:r>
        <w:rPr>
          <w:rFonts w:ascii="Times New Roman" w:hAnsi="Times New Roman"/>
        </w:rPr>
        <w:t xml:space="preserve"> </w:t>
      </w:r>
    </w:p>
  </w:footnote>
  <w:footnote w:id="37">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Докладът на Комисията до Европейския парламент и Съвета относно националните планове за действие на държавите членки и напредъка, постигна</w:t>
      </w:r>
      <w:r>
        <w:rPr>
          <w:rFonts w:ascii="Times New Roman" w:hAnsi="Times New Roman"/>
        </w:rPr>
        <w:t xml:space="preserve">т в изпълнението на Директива 2009/128/ЕС за постигане на устойчива употреба на пестициди, COM(2017) 587, може да бъде намерен на адрес: </w:t>
      </w:r>
      <w:hyperlink r:id="rId13" w:history="1">
        <w:r>
          <w:rPr>
            <w:rStyle w:val="Hyperlink"/>
            <w:rFonts w:ascii="Times New Roman" w:hAnsi="Times New Roman"/>
          </w:rPr>
          <w:t>https://ec.</w:t>
        </w:r>
        <w:r>
          <w:rPr>
            <w:rStyle w:val="Hyperlink"/>
            <w:rFonts w:ascii="Times New Roman" w:hAnsi="Times New Roman"/>
          </w:rPr>
          <w:t>europa.eu/food/sites/food/files/plant/docs/pesticides_sup_report-overview_en.pdf</w:t>
        </w:r>
      </w:hyperlink>
      <w:r>
        <w:rPr>
          <w:rFonts w:ascii="Times New Roman" w:hAnsi="Times New Roman"/>
        </w:rPr>
        <w:t xml:space="preserve"> </w:t>
      </w:r>
    </w:p>
  </w:footnote>
  <w:footnote w:id="38">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14" w:history="1">
        <w:r>
          <w:rPr>
            <w:rStyle w:val="Hyperlink"/>
            <w:rFonts w:ascii="Times New Roman" w:hAnsi="Times New Roman"/>
          </w:rPr>
          <w:t>https://www.consilium.europa.eu/bg/meetings/agrifish/2017/11/06/</w:t>
        </w:r>
      </w:hyperlink>
      <w:r>
        <w:rPr>
          <w:rFonts w:ascii="Times New Roman" w:hAnsi="Times New Roman"/>
        </w:rPr>
        <w:t xml:space="preserve"> </w:t>
      </w:r>
    </w:p>
  </w:footnote>
  <w:footnote w:id="39">
    <w:p w:rsidR="005D1B2D" w:rsidRDefault="00E62D34">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bCs/>
        </w:rPr>
        <w:t>Резолюция на Европейския парламент от 12 февруари 2019 г. относно прилагането на Директива 2009/128/ЕО за постигане на устойчива употреба на пестициди (</w:t>
      </w:r>
      <w:hyperlink r:id="rId15" w:history="1">
        <w:r>
          <w:rPr>
            <w:rStyle w:val="Hyperlink"/>
            <w:rFonts w:ascii="Times New Roman" w:hAnsi="Times New Roman"/>
            <w:bCs/>
          </w:rPr>
          <w:t>2017/2284(INI)</w:t>
        </w:r>
      </w:hyperlink>
      <w:r>
        <w:rPr>
          <w:rFonts w:ascii="Times New Roman" w:hAnsi="Times New Roman"/>
          <w:bCs/>
        </w:rPr>
        <w:t>),</w:t>
      </w:r>
      <w:r>
        <w:rPr>
          <w:rFonts w:ascii="Times New Roman" w:hAnsi="Times New Roman"/>
          <w:b/>
          <w:bCs/>
          <w:sz w:val="19"/>
          <w:szCs w:val="19"/>
        </w:rPr>
        <w:t xml:space="preserve"> </w:t>
      </w:r>
      <w:r>
        <w:rPr>
          <w:rFonts w:ascii="Times New Roman" w:hAnsi="Times New Roman"/>
        </w:rPr>
        <w:t xml:space="preserve">на разположение на адрес: </w:t>
      </w:r>
      <w:hyperlink r:id="rId16" w:history="1">
        <w:r>
          <w:rPr>
            <w:rStyle w:val="Hyperlink"/>
            <w:rFonts w:ascii="Times New Roman" w:hAnsi="Times New Roman"/>
          </w:rPr>
          <w:t>https://www.europarl.europa.eu/sides/getDoc.do?pubRef=-//EP//TEXT+TA+P8-TA-2019-0082+</w:t>
        </w:r>
        <w:r>
          <w:rPr>
            <w:rStyle w:val="Hyperlink"/>
            <w:rFonts w:ascii="Times New Roman" w:hAnsi="Times New Roman"/>
          </w:rPr>
          <w:t>0+DOC+XML+V0//BG</w:t>
        </w:r>
      </w:hyperlink>
      <w:r>
        <w:rPr>
          <w:rFonts w:ascii="Times New Roman" w:hAnsi="Times New Roman"/>
        </w:rPr>
        <w:t xml:space="preserve"> </w:t>
      </w:r>
    </w:p>
  </w:footnote>
  <w:footnote w:id="40">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„По-добро обучение за по-безопасни храни“ е инициатива за обучение на Комисията, която обхваща законодателството в областта на храните и фуражите и правилата относно здравето на животните и хуманното отношение към тях и относно здравет</w:t>
      </w:r>
      <w:r>
        <w:rPr>
          <w:rFonts w:ascii="Times New Roman" w:hAnsi="Times New Roman"/>
        </w:rPr>
        <w:t xml:space="preserve">о на растенията. За повече информация, моля, посетете </w:t>
      </w:r>
      <w:hyperlink r:id="rId17" w:history="1">
        <w:r>
          <w:rPr>
            <w:rStyle w:val="Hyperlink"/>
            <w:rFonts w:ascii="Times New Roman" w:hAnsi="Times New Roman"/>
          </w:rPr>
          <w:t>https://ec.europa.eu/food/safety/btsf_en</w:t>
        </w:r>
      </w:hyperlink>
    </w:p>
  </w:footnote>
  <w:footnote w:id="41">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 разположение на адрес:  Работна програма за 2016—2017 г., обществено предизвикателство 2: https://</w:t>
      </w:r>
      <w:r>
        <w:rPr>
          <w:rFonts w:ascii="Times New Roman" w:hAnsi="Times New Roman"/>
        </w:rPr>
        <w:t xml:space="preserve">ec.europa.eu/research/participants/data/ref/h2020/wp/2016_2017/main/h2020-wp1617-food_en.pdf и Работна програма за 2018—2020 г., обществено предизвикателство 2 (SFS-04, SFS-05 и SFS-6): </w:t>
      </w:r>
      <w:hyperlink r:id="rId18" w:history="1">
        <w:r>
          <w:rPr>
            <w:rStyle w:val="Hyperlink"/>
            <w:rFonts w:ascii="Times New Roman" w:hAnsi="Times New Roman"/>
          </w:rPr>
          <w:t>https://ec.europa.eu/research/participants/data/ref/h2020/wp/2018-2020/main/h2020-wp1820-food_en.pdf</w:t>
        </w:r>
      </w:hyperlink>
    </w:p>
  </w:footnote>
  <w:footnote w:id="42">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19" w:history="1">
        <w:r>
          <w:rPr>
            <w:rStyle w:val="Hyperlink"/>
            <w:rFonts w:ascii="Times New Roman" w:hAnsi="Times New Roman"/>
          </w:rPr>
          <w:t>https://ec.europa.eu/info/sites/info/files/food-farming-fisheries/farming/documents/factsheet-agri-plant-health_en.pdf</w:t>
        </w:r>
      </w:hyperlink>
      <w:r>
        <w:rPr>
          <w:rFonts w:ascii="Times New Roman" w:hAnsi="Times New Roman"/>
        </w:rPr>
        <w:t xml:space="preserve"> </w:t>
      </w:r>
    </w:p>
  </w:footnote>
  <w:footnote w:id="43">
    <w:p w:rsidR="005D1B2D" w:rsidRDefault="00E62D34">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SFS-06-2018-2020 в </w:t>
      </w:r>
      <w:hyperlink r:id="rId20" w:history="1">
        <w:r>
          <w:rPr>
            <w:rStyle w:val="Hyperlink"/>
            <w:rFonts w:ascii="Times New Roman" w:hAnsi="Times New Roman"/>
          </w:rPr>
          <w:t>https://ec.europa.eu/research/participants/data/ref/h2020/wp/2018-2020/main/h2020-wp1820-food_en.pdf</w:t>
        </w:r>
      </w:hyperlink>
      <w:r>
        <w:t xml:space="preserve"> </w:t>
      </w:r>
    </w:p>
  </w:footnote>
  <w:footnote w:id="44">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Налично под номер </w:t>
      </w:r>
      <w:hyperlink r:id="rId21" w:history="1">
        <w:r>
          <w:rPr>
            <w:rStyle w:val="Hyperlink"/>
            <w:rFonts w:ascii="Times New Roman" w:hAnsi="Times New Roman"/>
          </w:rPr>
          <w:t>https://ec.europa.eu/information_society/newsroom/image/document/2018-18/agri_factsheets_07_ecological-approaches_ok_1545C778-C5D7-AA24-163D1DD06A4CDF2F_51894.pdf</w:t>
        </w:r>
      </w:hyperlink>
      <w:r>
        <w:rPr>
          <w:rFonts w:ascii="Times New Roman" w:hAnsi="Times New Roman"/>
        </w:rPr>
        <w:t xml:space="preserve"> `</w:t>
      </w:r>
    </w:p>
  </w:footnote>
  <w:footnote w:id="45">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22" w:history="1">
        <w:r>
          <w:rPr>
            <w:rStyle w:val="Hyperlink"/>
            <w:rFonts w:ascii="Times New Roman" w:hAnsi="Times New Roman"/>
          </w:rPr>
          <w:t>https:</w:t>
        </w:r>
        <w:r>
          <w:rPr>
            <w:rStyle w:val="Hyperlink"/>
            <w:rFonts w:ascii="Times New Roman" w:hAnsi="Times New Roman"/>
          </w:rPr>
          <w:t>//ec.europa.eu/eip/agriculture/en</w:t>
        </w:r>
      </w:hyperlink>
      <w:r>
        <w:rPr>
          <w:rFonts w:ascii="Times New Roman" w:hAnsi="Times New Roman"/>
        </w:rPr>
        <w:t xml:space="preserve"> </w:t>
      </w:r>
    </w:p>
  </w:footnote>
  <w:footnote w:id="46">
    <w:p w:rsidR="005D1B2D" w:rsidRDefault="00E62D34">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23" w:history="1">
        <w:r>
          <w:rPr>
            <w:rStyle w:val="Hyperlink"/>
            <w:rFonts w:ascii="Times New Roman" w:hAnsi="Times New Roman"/>
          </w:rPr>
          <w:t>https://ec.europa.eu/eip/agriculture/en/about/operational-groups</w:t>
        </w:r>
      </w:hyperlink>
      <w:r>
        <w:rPr>
          <w:rFonts w:ascii="Times New Roman" w:hAnsi="Times New Roman"/>
        </w:rPr>
        <w:t xml:space="preserve"> </w:t>
      </w:r>
    </w:p>
  </w:footnote>
  <w:footnote w:id="47">
    <w:p w:rsidR="005D1B2D" w:rsidRDefault="00E62D3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България все още не е предоставила връзки,</w:t>
      </w:r>
      <w:r>
        <w:rPr>
          <w:rFonts w:ascii="Times New Roman" w:hAnsi="Times New Roman"/>
        </w:rPr>
        <w:t xml:space="preserve"> които да бъдат споделени в уебпортала за Директивата относно УУП.</w:t>
      </w:r>
    </w:p>
  </w:footnote>
  <w:footnote w:id="48">
    <w:p w:rsidR="005D1B2D" w:rsidRDefault="00E62D34">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24" w:history="1">
        <w:r>
          <w:rPr>
            <w:rStyle w:val="Hyperlink"/>
            <w:rFonts w:ascii="Times New Roman" w:hAnsi="Times New Roman"/>
          </w:rPr>
          <w:t>https://ec.europa.eu/eurostat/statistics-explained/index</w:t>
        </w:r>
        <w:r>
          <w:rPr>
            <w:rStyle w:val="Hyperlink"/>
            <w:rFonts w:ascii="Times New Roman" w:hAnsi="Times New Roman"/>
          </w:rPr>
          <w:t>.php/Organic_farming_statistics</w:t>
        </w:r>
      </w:hyperlink>
      <w:r>
        <w:rPr>
          <w:rFonts w:ascii="Times New Roman" w:hAnsi="Times New Roman"/>
        </w:rPr>
        <w:t xml:space="preserve"> </w:t>
      </w:r>
    </w:p>
  </w:footnote>
  <w:footnote w:id="49">
    <w:p w:rsidR="005D1B2D" w:rsidRDefault="00E62D34">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Чрез настоящото кръстосано съответствие и предложените бъдещи системи на предварителни условия е създадена връзка между получаването на пълна подкрепа по ОСП за земеделските стопани и спазването на основните правила в об</w:t>
      </w:r>
      <w:r>
        <w:rPr>
          <w:rFonts w:ascii="Times New Roman" w:hAnsi="Times New Roman"/>
        </w:rPr>
        <w:t>ластта на околната среда и общественото здраве.</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rsidP="00E62D34">
    <w:pPr>
      <w:pStyle w:val="HeaderCoverPage"/>
      <w:numPr>
        <w:ilvl w:val="0"/>
        <w:numId w:val="0"/>
      </w:numPr>
      <w:ind w:lef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2D" w:rsidRDefault="005D1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346"/>
    <w:multiLevelType w:val="hybridMultilevel"/>
    <w:tmpl w:val="E5520AF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C21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640FA8"/>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710ED5"/>
    <w:multiLevelType w:val="hybridMultilevel"/>
    <w:tmpl w:val="8B1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A1DBC"/>
    <w:multiLevelType w:val="multilevel"/>
    <w:tmpl w:val="C94860C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38724B6"/>
    <w:multiLevelType w:val="multilevel"/>
    <w:tmpl w:val="448AD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646D87"/>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B27E63"/>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35468F"/>
    <w:multiLevelType w:val="hybridMultilevel"/>
    <w:tmpl w:val="199A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C4C0C"/>
    <w:multiLevelType w:val="multilevel"/>
    <w:tmpl w:val="6270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6343F"/>
    <w:multiLevelType w:val="multilevel"/>
    <w:tmpl w:val="45E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C2B50"/>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C8238C"/>
    <w:multiLevelType w:val="hybridMultilevel"/>
    <w:tmpl w:val="BE44D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055B8"/>
    <w:multiLevelType w:val="hybridMultilevel"/>
    <w:tmpl w:val="609A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84F71"/>
    <w:multiLevelType w:val="multilevel"/>
    <w:tmpl w:val="C22CA53C"/>
    <w:lvl w:ilvl="0">
      <w:start w:val="1"/>
      <w:numFmt w:val="decimal"/>
      <w:pStyle w:val="HeaderCoverPage"/>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3F16DB"/>
    <w:multiLevelType w:val="hybridMultilevel"/>
    <w:tmpl w:val="EF08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855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D75BA"/>
    <w:multiLevelType w:val="multilevel"/>
    <w:tmpl w:val="71A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20510"/>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404106"/>
    <w:multiLevelType w:val="hybridMultilevel"/>
    <w:tmpl w:val="C03A1B74"/>
    <w:lvl w:ilvl="0" w:tplc="C96CE556">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96039"/>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F65899"/>
    <w:multiLevelType w:val="hybridMultilevel"/>
    <w:tmpl w:val="40D8F5CC"/>
    <w:lvl w:ilvl="0" w:tplc="2C40F784">
      <w:start w:val="1"/>
      <w:numFmt w:val="bullet"/>
      <w:pStyle w:val="Defensives-Answers-Bulletpoints1"/>
      <w:lvlText w:val=""/>
      <w:lvlJc w:val="left"/>
      <w:pPr>
        <w:ind w:left="2636" w:hanging="360"/>
      </w:pPr>
      <w:rPr>
        <w:rFonts w:ascii="Symbol" w:hAnsi="Symbol" w:hint="default"/>
      </w:rPr>
    </w:lvl>
    <w:lvl w:ilvl="1" w:tplc="04150003">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24" w15:restartNumberingAfterBreak="0">
    <w:nsid w:val="7C646855"/>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5"/>
  </w:num>
  <w:num w:numId="3">
    <w:abstractNumId w:val="21"/>
  </w:num>
  <w:num w:numId="4">
    <w:abstractNumId w:val="20"/>
  </w:num>
  <w:num w:numId="5">
    <w:abstractNumId w:val="9"/>
  </w:num>
  <w:num w:numId="6">
    <w:abstractNumId w:val="23"/>
  </w:num>
  <w:num w:numId="7">
    <w:abstractNumId w:val="10"/>
  </w:num>
  <w:num w:numId="8">
    <w:abstractNumId w:val="17"/>
  </w:num>
  <w:num w:numId="9">
    <w:abstractNumId w:val="15"/>
  </w:num>
  <w:num w:numId="10">
    <w:abstractNumId w:val="3"/>
  </w:num>
  <w:num w:numId="11">
    <w:abstractNumId w:val="8"/>
  </w:num>
  <w:num w:numId="12">
    <w:abstractNumId w:val="13"/>
  </w:num>
  <w:num w:numId="13">
    <w:abstractNumId w:val="19"/>
  </w:num>
  <w:num w:numId="14">
    <w:abstractNumId w:val="12"/>
  </w:num>
  <w:num w:numId="15">
    <w:abstractNumId w:val="18"/>
  </w:num>
  <w:num w:numId="16">
    <w:abstractNumId w:val="7"/>
  </w:num>
  <w:num w:numId="17">
    <w:abstractNumId w:val="24"/>
  </w:num>
  <w:num w:numId="18">
    <w:abstractNumId w:val="6"/>
  </w:num>
  <w:num w:numId="19">
    <w:abstractNumId w:val="11"/>
  </w:num>
  <w:num w:numId="20">
    <w:abstractNumId w:val="22"/>
  </w:num>
  <w:num w:numId="21">
    <w:abstractNumId w:val="2"/>
  </w:num>
  <w:num w:numId="22">
    <w:abstractNumId w:val="1"/>
  </w:num>
  <w:num w:numId="23">
    <w:abstractNumId w:val="16"/>
  </w:num>
  <w:num w:numId="24">
    <w:abstractNumId w:val="0"/>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6D4FCE-319C-411E-8060-A4F73D9C1A3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86?\u1087?\u1080?\u1090?\u1072?, \u1085?\u1072?\u1090?\u1088?\u1091?\u1087?\u1072?\u1085? \u1086?\u1090? \u1076?\u1098?\u1088?\u1078?\u1072?\u1074?\u1080?\u1090?\u1077? \u1095?\u1083?\u1077?\u1085?\u1082?\u1080? \u1087?\u1088?\u1080? \u1080?\u1079?\u1087?\u1098?\u1083?\u1085?\u1077?\u1085?\u1080?\u1077?\u1090?\u1086? \u1085?\u1072? \u1085?\u1072?\u1094?\u1080?\u1086?\u1085?\u1072?\u1083?\u1085?\u1080?\u1090?\u1077? \u1094?\u1077?\u1083?\u1080?, \u1091?\u1089?\u1090?\u1072?\u1085?\u1086?\u1074?\u1077?\u1085?\u1080? \u1074? \u1085?\u1072?\u1094?\u1080?\u1086?\u1085?\u1072?\u1083?\u1085?\u1080?\u1090?\u1077? \u1080?\u1084? \u1087?\u1083?\u1072?\u1085?\u1086?\u1074?\u1077? \u1079?\u1072? \u1076?\u1077?\u1081?\u1089?\u1090?\u1074?\u1080?\u1077?, \u1080? \u1086?\u1090?\u1085?\u1086?\u1089?\u1085?\u1086? \u1085?\u1072?\u1087?\u1088?\u1077?\u1076?\u1098?\u1082?\u1072? \u1074? \u1080?\u1079?\u1087?\u1098?\u1083?\u1085?\u1077?\u1085?\u1080?\u1077?\u1090?\u1086? \u1085?\u1072? \u1044?\u1080?\u1088?\u1077?\u1082?\u1090?\u1080?\u1074?\u1072? 2009/128/\u1045?\u1054? \u1086?\u1090?\u1085?\u1086?\u1089?\u1085?\u1086? \u1091?\u1089?\u1090?\u1086?\u1081?\u1095?\u1080?\u1074?\u1072?\u1090?\u1072? \u1091?\u1087?\u1086?\u1090?\u1088?\u1077?\u1073?\u1072? \u1085?\u1072? \u1087?\u1077?\u1089?\u1090?\u1080?\u1094?\u1080?\u1076?\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5D1B2D"/>
    <w:rsid w:val="005D1B2D"/>
    <w:rsid w:val="00E62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D420067-3376-4A7A-9C1F-9420342B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imes New Roman"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1"/>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shd w:val="clear" w:color="auto" w:fill="auto"/>
      <w:vertAlign w:val="superscript"/>
    </w:rPr>
  </w:style>
  <w:style w:type="character" w:styleId="Hyperlink">
    <w:name w:val="Hyperlink"/>
    <w:aliases w:val="Char1"/>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lang w:eastAsia="en-GB"/>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rPr>
  </w:style>
  <w:style w:type="character" w:customStyle="1" w:styleId="Heading2Char">
    <w:name w:val="Heading 2 Char"/>
    <w:basedOn w:val="DefaultParagraphFont"/>
    <w:link w:val="Heading2"/>
    <w:uiPriority w:val="9"/>
    <w:rPr>
      <w:rFonts w:asciiTheme="majorHAnsi" w:eastAsia="Times New Roman" w:hAnsiTheme="majorHAnsi" w:cstheme="majorBidi"/>
      <w:b/>
      <w:bCs/>
      <w:color w:val="4F81BD" w:themeColor="accent1"/>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bg-BG"/>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qFormat/>
    <w:pPr>
      <w:tabs>
        <w:tab w:val="left" w:pos="1320"/>
        <w:tab w:val="right" w:leader="dot" w:pos="8641"/>
      </w:tabs>
      <w:spacing w:before="60" w:after="60" w:line="240" w:lineRule="auto"/>
      <w:ind w:left="1797" w:right="720" w:hanging="720"/>
    </w:pPr>
    <w:rPr>
      <w:rFonts w:ascii="Times New Roman" w:eastAsia="Calibri" w:hAnsi="Times New Roman" w:cs="Times New Roman"/>
      <w:i/>
      <w:noProof/>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ensives-Answers-Bulletpoints1">
    <w:name w:val="Defensives - Answers - Bullet points 1"/>
    <w:basedOn w:val="Normal"/>
    <w:autoRedefine/>
    <w:uiPriority w:val="9"/>
    <w:qFormat/>
    <w:pPr>
      <w:numPr>
        <w:numId w:val="6"/>
      </w:numPr>
      <w:spacing w:after="120" w:line="240" w:lineRule="auto"/>
      <w:jc w:val="both"/>
    </w:pPr>
    <w:rPr>
      <w:rFonts w:ascii="Times New Roman" w:eastAsia="Times New Roman" w:hAnsi="Times New Roman" w:cs="Times New Roman"/>
      <w:sz w:val="32"/>
      <w:szCs w:val="20"/>
      <w:lang w:eastAsia="pl-PL"/>
    </w:rPr>
  </w:style>
  <w:style w:type="paragraph" w:customStyle="1" w:styleId="Normal12">
    <w:name w:val="Normal12"/>
    <w:basedOn w:val="Normal"/>
    <w:qFormat/>
    <w:pPr>
      <w:widowControl w:val="0"/>
      <w:spacing w:after="24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uiPriority w:val="99"/>
    <w:rPr>
      <w:rFonts w:ascii="Courier New" w:hAnsi="Courier New"/>
      <w:lang w:val="bg-BG"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ilfuvd">
    <w:name w:val="ilfuvd"/>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st">
    <w:name w:val="st"/>
    <w:basedOn w:val="DefaultParagraphFont"/>
  </w:style>
  <w:style w:type="character" w:customStyle="1" w:styleId="tlid-translation">
    <w:name w:val="tlid-translation"/>
    <w:basedOn w:val="DefaultParagraphFont"/>
  </w:style>
  <w:style w:type="paragraph" w:customStyle="1" w:styleId="CM4">
    <w:name w:val="CM4"/>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ubcontenttextbold">
    <w:name w:val="subcontenttextbold"/>
    <w:basedOn w:val="DefaultParagraphFont"/>
  </w:style>
  <w:style w:type="character" w:customStyle="1" w:styleId="subcontenttext">
    <w:name w:val="subcontenttext"/>
    <w:basedOn w:val="DefaultParagraphFont"/>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Brdtext">
    <w:name w:val="Brödtext"/>
    <w:basedOn w:val="Normal"/>
    <w:pPr>
      <w:spacing w:after="0" w:line="240" w:lineRule="auto"/>
      <w:jc w:val="both"/>
    </w:pPr>
    <w:rPr>
      <w:rFonts w:ascii="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7310">
      <w:bodyDiv w:val="1"/>
      <w:marLeft w:val="0"/>
      <w:marRight w:val="0"/>
      <w:marTop w:val="0"/>
      <w:marBottom w:val="0"/>
      <w:divBdr>
        <w:top w:val="none" w:sz="0" w:space="0" w:color="auto"/>
        <w:left w:val="none" w:sz="0" w:space="0" w:color="auto"/>
        <w:bottom w:val="none" w:sz="0" w:space="0" w:color="auto"/>
        <w:right w:val="none" w:sz="0" w:space="0" w:color="auto"/>
      </w:divBdr>
    </w:div>
    <w:div w:id="168066933">
      <w:bodyDiv w:val="1"/>
      <w:marLeft w:val="0"/>
      <w:marRight w:val="0"/>
      <w:marTop w:val="0"/>
      <w:marBottom w:val="0"/>
      <w:divBdr>
        <w:top w:val="none" w:sz="0" w:space="0" w:color="auto"/>
        <w:left w:val="none" w:sz="0" w:space="0" w:color="auto"/>
        <w:bottom w:val="none" w:sz="0" w:space="0" w:color="auto"/>
        <w:right w:val="none" w:sz="0" w:space="0" w:color="auto"/>
      </w:divBdr>
    </w:div>
    <w:div w:id="234702581">
      <w:bodyDiv w:val="1"/>
      <w:marLeft w:val="0"/>
      <w:marRight w:val="0"/>
      <w:marTop w:val="0"/>
      <w:marBottom w:val="0"/>
      <w:divBdr>
        <w:top w:val="none" w:sz="0" w:space="0" w:color="auto"/>
        <w:left w:val="none" w:sz="0" w:space="0" w:color="auto"/>
        <w:bottom w:val="none" w:sz="0" w:space="0" w:color="auto"/>
        <w:right w:val="none" w:sz="0" w:space="0" w:color="auto"/>
      </w:divBdr>
    </w:div>
    <w:div w:id="240255457">
      <w:bodyDiv w:val="1"/>
      <w:marLeft w:val="0"/>
      <w:marRight w:val="0"/>
      <w:marTop w:val="0"/>
      <w:marBottom w:val="0"/>
      <w:divBdr>
        <w:top w:val="none" w:sz="0" w:space="0" w:color="auto"/>
        <w:left w:val="none" w:sz="0" w:space="0" w:color="auto"/>
        <w:bottom w:val="none" w:sz="0" w:space="0" w:color="auto"/>
        <w:right w:val="none" w:sz="0" w:space="0" w:color="auto"/>
      </w:divBdr>
    </w:div>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6774557">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440536607">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729039881">
      <w:bodyDiv w:val="1"/>
      <w:marLeft w:val="0"/>
      <w:marRight w:val="0"/>
      <w:marTop w:val="0"/>
      <w:marBottom w:val="0"/>
      <w:divBdr>
        <w:top w:val="none" w:sz="0" w:space="0" w:color="auto"/>
        <w:left w:val="none" w:sz="0" w:space="0" w:color="auto"/>
        <w:bottom w:val="none" w:sz="0" w:space="0" w:color="auto"/>
        <w:right w:val="none" w:sz="0" w:space="0" w:color="auto"/>
      </w:divBdr>
    </w:div>
    <w:div w:id="916207702">
      <w:bodyDiv w:val="1"/>
      <w:marLeft w:val="0"/>
      <w:marRight w:val="0"/>
      <w:marTop w:val="0"/>
      <w:marBottom w:val="0"/>
      <w:divBdr>
        <w:top w:val="none" w:sz="0" w:space="0" w:color="auto"/>
        <w:left w:val="none" w:sz="0" w:space="0" w:color="auto"/>
        <w:bottom w:val="none" w:sz="0" w:space="0" w:color="auto"/>
        <w:right w:val="none" w:sz="0" w:space="0" w:color="auto"/>
      </w:divBdr>
    </w:div>
    <w:div w:id="1156266811">
      <w:bodyDiv w:val="1"/>
      <w:marLeft w:val="0"/>
      <w:marRight w:val="0"/>
      <w:marTop w:val="0"/>
      <w:marBottom w:val="0"/>
      <w:divBdr>
        <w:top w:val="none" w:sz="0" w:space="0" w:color="auto"/>
        <w:left w:val="none" w:sz="0" w:space="0" w:color="auto"/>
        <w:bottom w:val="none" w:sz="0" w:space="0" w:color="auto"/>
        <w:right w:val="none" w:sz="0" w:space="0" w:color="auto"/>
      </w:divBdr>
    </w:div>
    <w:div w:id="1262764205">
      <w:bodyDiv w:val="1"/>
      <w:marLeft w:val="0"/>
      <w:marRight w:val="0"/>
      <w:marTop w:val="0"/>
      <w:marBottom w:val="0"/>
      <w:divBdr>
        <w:top w:val="none" w:sz="0" w:space="0" w:color="auto"/>
        <w:left w:val="none" w:sz="0" w:space="0" w:color="auto"/>
        <w:bottom w:val="none" w:sz="0" w:space="0" w:color="auto"/>
        <w:right w:val="none" w:sz="0" w:space="0" w:color="auto"/>
      </w:divBdr>
    </w:div>
    <w:div w:id="1525242444">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 w:id="20866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ec.europa.eu/food/audits-analysis/audit_reports/" TargetMode="External"/><Relationship Id="rId20" Type="http://schemas.openxmlformats.org/officeDocument/2006/relationships/hyperlink" Target="https://ec.europa.eu/food/plant/pesticides/sustainable_use_pesticide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c.europa.eu/food/plant/pesticides/sustainable_use_pesticides/nap_en" TargetMode="External"/><Relationship Id="rId23" Type="http://schemas.openxmlformats.org/officeDocument/2006/relationships/footer" Target="footer4.xml"/><Relationship Id="rId28" Type="http://schemas.openxmlformats.org/officeDocument/2006/relationships/theme" Target="theme/theme1.xml"/><Relationship Id="rId49"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s://ec.europa.eu/food/plant/pesticides/sustainable_use_pesticides/harmonised-risk-indicators_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griculture.gouv.fr/quest-ce-que-le-nodu" TargetMode="External"/><Relationship Id="rId13" Type="http://schemas.openxmlformats.org/officeDocument/2006/relationships/hyperlink" Target="https://ec.europa.eu/food/sites/food/files/plant/docs/pesticides_sup_report-overview_bg.pdf" TargetMode="External"/><Relationship Id="rId18" Type="http://schemas.openxmlformats.org/officeDocument/2006/relationships/hyperlink" Target="https://ec.europa.eu/research/participants/data/ref/h2020/wp/2018-2020/main/h2020-wp1820-food_en.pdf" TargetMode="External"/><Relationship Id="rId3" Type="http://schemas.openxmlformats.org/officeDocument/2006/relationships/hyperlink" Target="https://ec.europa.eu/citizens-initiative/public/initiatives/successful/details/2017/000002" TargetMode="External"/><Relationship Id="rId21" Type="http://schemas.openxmlformats.org/officeDocument/2006/relationships/hyperlink" Target="https://ec.europa.eu/information_society/newsroom/image/document/2018-18/agri_factsheets_07_ecological-approaches_ok_1545C778-C5D7-AA24-163D1DD06A4CDF2F_51894.pdf" TargetMode="External"/><Relationship Id="rId7" Type="http://schemas.openxmlformats.org/officeDocument/2006/relationships/hyperlink" Target="https://ec.europa.eu/food/sites/food/files/plant/docs/pesticides_sup_nap_swe_en.pdf" TargetMode="External"/><Relationship Id="rId12" Type="http://schemas.openxmlformats.org/officeDocument/2006/relationships/hyperlink" Target="https://ec.europa.eu/food/plant/pesticides/sustainable_use_pesticides/harmonised-risk-indicators/trends-hri-ms_en" TargetMode="External"/><Relationship Id="rId17" Type="http://schemas.openxmlformats.org/officeDocument/2006/relationships/hyperlink" Target="https://ec.europa.eu/food/safety/btsf_en" TargetMode="External"/><Relationship Id="rId2" Type="http://schemas.openxmlformats.org/officeDocument/2006/relationships/hyperlink" Target="https://ec.europa.eu/commission/files/reflection-paper-towards-sustainable-europe_bg" TargetMode="External"/><Relationship Id="rId16" Type="http://schemas.openxmlformats.org/officeDocument/2006/relationships/hyperlink" Target="https://www.europarl.europa.eu/sides/getDoc.do?pubRef=-//EP//TEXT+TA+P8-TA-2019-0082+0+DOC+XML+V0//BG" TargetMode="External"/><Relationship Id="rId20" Type="http://schemas.openxmlformats.org/officeDocument/2006/relationships/hyperlink" Target="https://ec.europa.eu/research/participants/data/ref/h2020/wp/2018-2020/main/h2020-wp1820-food_en.pdf" TargetMode="External"/><Relationship Id="rId1" Type="http://schemas.openxmlformats.org/officeDocument/2006/relationships/hyperlink" Target="https://www.un.org/ga/search/view_doc.asp?symbol=A/RES/70/1&amp;Lang=E" TargetMode="External"/><Relationship Id="rId6" Type="http://schemas.openxmlformats.org/officeDocument/2006/relationships/hyperlink" Target="https://www.nap-pflanzenschutz.de/en/practice/assessment-of-pesticide-use/risk-analysis-synops/" TargetMode="External"/><Relationship Id="rId11" Type="http://schemas.openxmlformats.org/officeDocument/2006/relationships/hyperlink" Target="http://appsso.eurostat.ec.europa.eu/nui/show.do?dataset=aei_fm_salpest09&amp;lang=en" TargetMode="External"/><Relationship Id="rId24" Type="http://schemas.openxmlformats.org/officeDocument/2006/relationships/hyperlink" Target="https://ec.europa.eu/eurostat/statistics-explained/index.php/Organic_farming_statistics" TargetMode="External"/><Relationship Id="rId5" Type="http://schemas.openxmlformats.org/officeDocument/2006/relationships/hyperlink" Target="https://www.eca.europa.eu/Lists/ECADocuments/SR20_05/SR_Pesticides_BG.pdf" TargetMode="External"/><Relationship Id="rId15" Type="http://schemas.openxmlformats.org/officeDocument/2006/relationships/hyperlink" Target="http://www.europarl.europa.eu/oeil/popups/ficheprocedure.do?lang=en&amp;reference=2017/2284(INI)" TargetMode="External"/><Relationship Id="rId23" Type="http://schemas.openxmlformats.org/officeDocument/2006/relationships/hyperlink" Target="https://ec.europa.eu/eip/agriculture/en/about/operational-groups" TargetMode="External"/><Relationship Id="rId10" Type="http://schemas.openxmlformats.org/officeDocument/2006/relationships/hyperlink" Target="https://appsso.eurostat.ec.europa.eu/nui/show.do?dataset=ef_m_farmleg&amp;lang=en" TargetMode="External"/><Relationship Id="rId19" Type="http://schemas.openxmlformats.org/officeDocument/2006/relationships/hyperlink" Target="https://ec.europa.eu/info/sites/info/files/food-farming-fisheries/farming/documents/factsheet-agri-plant-health_en.pdf" TargetMode="External"/><Relationship Id="rId4" Type="http://schemas.openxmlformats.org/officeDocument/2006/relationships/hyperlink" Target="https://ec.europa.eu/transparency/regdoc/rep/3/2017/BG/C-2017-8414-F1-BG-MAIN-PART-1.PDF" TargetMode="External"/><Relationship Id="rId9" Type="http://schemas.openxmlformats.org/officeDocument/2006/relationships/hyperlink" Target="https://ec.europa.eu/food/sites/food/files/plant/docs/pesticides_sup_nap_pol-rev-2018_en.pdf" TargetMode="External"/><Relationship Id="rId14" Type="http://schemas.openxmlformats.org/officeDocument/2006/relationships/hyperlink" Target="https://www.consilium.europa.eu/bg/meetings/agrifish/2017/11/06/" TargetMode="External"/><Relationship Id="rId22" Type="http://schemas.openxmlformats.org/officeDocument/2006/relationships/hyperlink" Target="https://ec.europa.eu/eip/agricultu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F18E-519F-402C-ACE8-23537060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6886</Words>
  <Characters>40423</Characters>
  <Application>Microsoft Office Word</Application>
  <DocSecurity>0</DocSecurity>
  <Lines>685</Lines>
  <Paragraphs>140</Paragraphs>
  <ScaleCrop>false</ScaleCrop>
  <HeadingPairs>
    <vt:vector size="2" baseType="variant">
      <vt:variant>
        <vt:lpstr>Title</vt:lpstr>
      </vt:variant>
      <vt:variant>
        <vt:i4>1</vt:i4>
      </vt:variant>
    </vt:vector>
  </HeadingPairs>
  <TitlesOfParts>
    <vt:vector size="1" baseType="lpstr">
      <vt:lpstr>SANTE/11319/2017-EN CIS</vt:lpstr>
    </vt:vector>
  </TitlesOfParts>
  <Manager/>
  <Company/>
  <LinksUpToDate>false</LinksUpToDate>
  <CharactersWithSpaces>47169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
  <cp:keywords>11319</cp:keywords>
  <dc:description>OUTLOOK - 28.7.2017    
no layout, no time - just general check</dc:description>
  <cp:lastModifiedBy>LAGES CARVALHO Patrick (SG)</cp:lastModifiedBy>
  <cp:revision>30</cp:revision>
  <cp:lastPrinted>2020-01-23T15:06:00Z</cp:lastPrinted>
  <dcterms:created xsi:type="dcterms:W3CDTF">2020-03-24T09:24:00Z</dcterms:created>
  <dcterms:modified xsi:type="dcterms:W3CDTF">2020-05-19T10:41:00Z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