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B76C4F-025F-4600-91B8-6608C4D34111" style="width:450.7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France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Cette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françaises le 31 mars 2020 et validées ensuite par Eurostat,</w:t>
      </w:r>
      <w:r>
        <w:rPr>
          <w:noProof/>
          <w:sz w:val="24"/>
          <w:szCs w:val="24"/>
        </w:rPr>
        <w:t xml:space="preserve"> </w:t>
      </w:r>
      <w:r>
        <w:rPr>
          <w:rStyle w:val="FootnoteReference"/>
          <w:rFonts w:eastAsiaTheme="minorHAnsi"/>
          <w:noProof/>
          <w:sz w:val="24"/>
          <w:szCs w:val="24"/>
        </w:rPr>
        <w:footnoteReference w:id="2"/>
      </w:r>
      <w:r>
        <w:rPr>
          <w:rFonts w:ascii="Times New Roman" w:hAnsi="Times New Roman"/>
          <w:noProof/>
          <w:sz w:val="24"/>
          <w:szCs w:val="24"/>
        </w:rPr>
        <w:t xml:space="preserve">le déficit public de la France a atteint 3,0 % du PIB en 2019, tandis que sa dette publique brute s’est établie à 98,1 % du PIB, c’est-à-dire au même niveau qu’en 2018. D'après son programme de stabilité pour 2020, la France s'attend à enregistrer cette année un déficit de 9,0 % du PIB et une dette de 115,2 % du PIB.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Ce déficit attendu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plus, les données pour 2018 et 2019 font apparaître des progrès insuffisants vers le respect de la référence d'ajustement du ratio de la dette, ce qui constitue aussi, à première vue, un signe de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la France des critères de déficit et de dette prévus par le traité. Il tient compte de tous les facteurs pertinents et prend dûment en considération le choc économique majeur lié à la pandémie de COVID-19. </w:t>
      </w:r>
    </w:p>
    <w:p>
      <w:pPr>
        <w:pStyle w:val="ManualHeading1"/>
        <w:rPr>
          <w:noProof/>
        </w:rPr>
      </w:pPr>
      <w:r>
        <w:rPr>
          <w:smallCaps w:val="0"/>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la France devrait enregistrer cette année un déficit public de 9,0 % du PIB, ce qui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Ce dépassement de la valeur de référence du traité attendu pour 2020 est exceptionnel, car il résulte d’une récession économique grave. Plus précisément, alors que les mesures adoptées pour lutter contre la pandémie de COVID-19 s'élèvent à 1,9 % du PIB, la détérioration de la situation macroéconomique devrait contribuer à hauteur de 5,3 points de PIB au déficit attendu. Les prévisions de la Commission du printemps 2020, qui tiennent compte de l’impact de la pandémie de COVID-19, annoncent pour 2020 une contraction du PIB réel de 8,2 %, entraînant un déficit public de 9,9 % du PIB. L’effet d’accroissement du déficit des mesures adoptées pour atténuer les effets de la pandémie est identique à ce que prévoit le gouvernement.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attendu de la valeur de référence du traité ne serait pas temporaire si l’on se base sur les prévisions du printemps 2020 de la Commission, selon lesquelles le déficit restera supérieur à 3 % du PIB en 2021.</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attendu pour 2020 est supérieur à la valeur de référence de 3 % du PIB prévue par le traité, et n'en est pas proche. Ce dépassement attendu est considéré comme exceptionnel, mais pas comme temporaire, au sens du traité et du pacte de stabilité et de croissance. L’analyse effectuée suggère donc, à première vue, que le critère du déficit au sens du traité et du règlement (CE) nº 1467/97 n’est pas rempli.</w:t>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p>
      <w:pPr>
        <w:keepNext/>
        <w:spacing w:before="240" w:after="120" w:line="240" w:lineRule="auto"/>
        <w:jc w:val="center"/>
        <w:rPr>
          <w:rFonts w:ascii="Times New Roman" w:eastAsia="Times New Roman" w:hAnsi="Times New Roman" w:cs="Calibri"/>
          <w:noProof/>
          <w:sz w:val="24"/>
        </w:rPr>
      </w:pPr>
      <w:r>
        <w:rPr>
          <w:noProof/>
          <w:lang w:val="en-GB" w:eastAsia="en-GB"/>
        </w:rPr>
        <w:drawing>
          <wp:inline distT="0" distB="0" distL="0" distR="0">
            <wp:extent cx="5731510" cy="19253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925320"/>
                    </a:xfrm>
                    <a:prstGeom prst="rect">
                      <a:avLst/>
                    </a:prstGeom>
                  </pic:spPr>
                </pic:pic>
              </a:graphicData>
            </a:graphic>
          </wp:inline>
        </w:drawing>
      </w:r>
    </w:p>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Remarque: ASLM est l’abréviation d’«ajustement structurel linéaire minimal»; source: Eurostat, prévisions de la Commission du printemps 2020</w:t>
      </w:r>
    </w:p>
    <w:p>
      <w:pPr>
        <w:pStyle w:val="ManualHeading1"/>
        <w:rPr>
          <w:noProof/>
        </w:rPr>
      </w:pPr>
      <w:r>
        <w:rPr>
          <w:noProof/>
        </w:rPr>
        <w:t>3.</w:t>
      </w:r>
      <w:r>
        <w:rPr>
          <w:noProof/>
        </w:rPr>
        <w:tab/>
        <w:t xml:space="preserve">Critère de la dette </w:t>
      </w:r>
    </w:p>
    <w:p>
      <w:pPr>
        <w:spacing w:before="120" w:after="120" w:line="240" w:lineRule="auto"/>
        <w:jc w:val="both"/>
        <w:rPr>
          <w:rFonts w:ascii="Times New Roman" w:eastAsia="Calibri" w:hAnsi="Times New Roman" w:cs="Times New Roman"/>
          <w:noProof/>
          <w:sz w:val="24"/>
          <w:szCs w:val="24"/>
          <w:highlight w:val="lightGray"/>
        </w:rPr>
      </w:pPr>
      <w:r>
        <w:rPr>
          <w:rFonts w:ascii="Times New Roman" w:hAnsi="Times New Roman"/>
          <w:noProof/>
          <w:sz w:val="24"/>
          <w:szCs w:val="24"/>
        </w:rPr>
        <w:t xml:space="preserve">Le ratio de la dette publique au PIB s’est stabilisé à 98,1 % en 2018 et en 2019. L’effet d’accroissement de la dette découlant du déficit primaire nominal et des dépenses d’intérêt a été compensé principalement par la croissance du PIB réel et par l’augmentation du déflateur du PIB, à travers l’«effet dénominateur», ainsi que par un léger effet de réduction de la dette exercé par les ajustements stock-flux. </w:t>
      </w:r>
    </w:p>
    <w:p>
      <w:pPr>
        <w:pStyle w:val="ListDash"/>
        <w:numPr>
          <w:ilvl w:val="0"/>
          <w:numId w:val="0"/>
        </w:numPr>
        <w:rPr>
          <w:noProof/>
        </w:rPr>
      </w:pPr>
      <w:r>
        <w:rPr>
          <w:noProof/>
        </w:rPr>
        <w:t>À la suite de l’abrogation, en juin 2018, de la procédure pour déficit excessif dont elle faisait l’objet, la France dispose d’une période de transition de trois ans pour accomplir des progrès suffisants vers le respect de la référence d'ajustement du ratio de la dette. Cette période de transition a débuté en 2018 et prendra fin en 2020. Afin d'accomplir, pendant la période de transition, des progrès continus et effectifs vers la conformité avec cette référence, la France doit respecter simultanément les deux conditions ci-dessous en ce qui concerne l'ajustement du solde structurel:</w:t>
      </w:r>
    </w:p>
    <w:p>
      <w:pPr>
        <w:pStyle w:val="ListDash"/>
        <w:numPr>
          <w:ilvl w:val="1"/>
          <w:numId w:val="39"/>
        </w:numPr>
        <w:rPr>
          <w:noProof/>
        </w:rPr>
      </w:pPr>
      <w:r>
        <w:rPr>
          <w:noProof/>
        </w:rPr>
        <w:t xml:space="preserve">premièrement, l’ajustement structurel annuel ne doit pas s’écarter de plus de ¼ % du PIB de l'ajustement structurel linéaire minimal (ASLM) requis pour que la référence d'ajustement du ratio de la dette soit respectée avant la fin de la période de transition; </w:t>
      </w:r>
    </w:p>
    <w:p>
      <w:pPr>
        <w:pStyle w:val="ListDash"/>
        <w:numPr>
          <w:ilvl w:val="1"/>
          <w:numId w:val="39"/>
        </w:numPr>
        <w:rPr>
          <w:rFonts w:cs="Calibri"/>
          <w:bCs/>
          <w:noProof/>
        </w:rPr>
      </w:pPr>
      <w:r>
        <w:rPr>
          <w:noProof/>
        </w:rPr>
        <w:t>deuxièmement, l’ajustement structurel annuel restant ne doit à aucun moment de la période de transition dépasser ¾ % du PIB (à moins que la première condition n'implique un effort annuel de plus de ¾ % du PIB).</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données communiquées montrent que la France n’a pas accompli de progrès suffisants vers le respect de la référence d’ajustement du ratio de la dette en 2019 (voir tableau 1), l’écart par rapport à l’ASLM ayant atteint 2,0 % du PIB. </w:t>
      </w:r>
    </w:p>
    <w:p>
      <w:pPr>
        <w:pStyle w:val="ListDash"/>
        <w:numPr>
          <w:ilvl w:val="0"/>
          <w:numId w:val="0"/>
        </w:numPr>
        <w:rPr>
          <w:noProof/>
        </w:rPr>
      </w:pPr>
      <w:r>
        <w:rPr>
          <w:noProof/>
        </w:rPr>
        <w:t>L’analyse suggère donc, à première vue, que le critère de la dette n’est pas rempli, si l’on se base sur les chiffres effectifs de 2019.</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Facteurs pertinents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En ce qui concerne le non-respect apparent du critère de la dette, l’analyse des facteurs pertinents se justifie d’autant plus que la dynamique de la dette est davantage influencée que le déficit par des facteurs échappant au contrôle du gouvernement. C’est ce que reconnaît l’article 2, paragraphe 4, du règlement (CE) nº 1467/97 du Conseil, qui dispose que les facteurs pertinents doivent être pris en compte lors de l’évaluation du respect du critère de la dette, quelle que soit l’importance de la violation. À cet égard, il convient de tenir compte au minimum des trois principaux aspects suivants lors de l’évaluation du respect du critère de la dette, compte tenu de leur incidence sur la dynamique et le caractère soutenable ou non de la dette: i) le respect de l’OMT ou de la trajectoire d’ajustement qui doit conduire à sa réalisation, ii) la mise en œuvre de réformes structurelles et iii) les conditions économiques existantes. </w:t>
      </w:r>
    </w:p>
    <w:p>
      <w:pPr>
        <w:spacing w:before="120" w:after="120" w:line="240" w:lineRule="auto"/>
        <w:jc w:val="both"/>
        <w:rPr>
          <w:rFonts w:ascii="Times New Roman" w:eastAsia="Times New Roman" w:hAnsi="Times New Roman" w:cs="Times New Roman"/>
          <w:noProof/>
          <w:color w:val="000000" w:themeColor="text1"/>
          <w:sz w:val="24"/>
        </w:rPr>
      </w:pPr>
      <w:r>
        <w:rPr>
          <w:rFonts w:ascii="Times New Roman" w:hAnsi="Times New Roman"/>
          <w:noProof/>
          <w:color w:val="000000" w:themeColor="text1"/>
          <w:sz w:val="24"/>
        </w:rPr>
        <w:t xml:space="preserve">Conformément à </w:t>
      </w:r>
      <w:r>
        <w:rPr>
          <w:rFonts w:ascii="Times New Roman" w:hAnsi="Times New Roman"/>
          <w:noProof/>
          <w:color w:val="000000" w:themeColor="text1"/>
          <w:sz w:val="24"/>
          <w:szCs w:val="24"/>
        </w:rPr>
        <w:t>l’article 2, paragraphe 4, du règlement (CE) n° 1467/97</w:t>
      </w:r>
      <w:r>
        <w:rPr>
          <w:rFonts w:ascii="Times New Roman" w:hAnsi="Times New Roman"/>
          <w:noProof/>
          <w:color w:val="000000" w:themeColor="text1"/>
          <w:sz w:val="24"/>
        </w:rPr>
        <w:t>, en ce qui concerne le critère du déficit en 2020, puisque le ratio de la dette publique au PIB dépasse la valeur de référence de 60 % et que la double condition à respecter pour cette prise en compte – à savoir que le déficit reste proche de la valeur de référence et que le dépassement de cette valeur soit temporaire – n’est pas remplie, ces facteurs pertinents ne peuvent pas être pris en compte au cours des étapes conduisant à la décision sur l’existence d’un déficit excessif en France sur la base du critère du déficit.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color w:val="000000" w:themeColor="text1"/>
          <w:sz w:val="24"/>
        </w:rPr>
        <w:t xml:space="preserve">Dans la situation actuelle, un élément supplémentaire fondamental à prendre en considération pour l’année 2020 est </w:t>
      </w:r>
      <w:r>
        <w:rPr>
          <w:rFonts w:ascii="Times New Roman" w:hAnsi="Times New Roman"/>
          <w:noProof/>
          <w:color w:val="000000" w:themeColor="text1"/>
          <w:sz w:val="24"/>
          <w:szCs w:val="24"/>
        </w:rPr>
        <w:t>l’impact économique</w:t>
      </w:r>
      <w:r>
        <w:rPr>
          <w:rFonts w:ascii="Times New Roman" w:hAnsi="Times New Roman"/>
          <w:noProof/>
          <w:color w:val="000000" w:themeColor="text1"/>
          <w:sz w:val="24"/>
        </w:rPr>
        <w:t xml:space="preserve"> de la pandémie de COVID-19, </w:t>
      </w:r>
      <w:r>
        <w:rPr>
          <w:rFonts w:ascii="Times New Roman" w:hAnsi="Times New Roman"/>
          <w:noProof/>
          <w:color w:val="000000" w:themeColor="text1"/>
          <w:sz w:val="24"/>
          <w:szCs w:val="24"/>
        </w:rPr>
        <w:t>qui pèse très lourdement sur la situation budgétaire et rend les perspectives très incertaines. La pandémie a également mené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contribuent à une augmentation substantielle du déficit et de la dette publics.</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lang w:val="fr-BE"/>
        </w:rPr>
        <w:t>4.2</w:t>
      </w:r>
      <w:r>
        <w:rPr>
          <w:noProof/>
          <w:lang w:val="fr-BE"/>
        </w:rPr>
        <w:tab/>
      </w:r>
      <w:r>
        <w:rPr>
          <w:rFonts w:ascii="Times New Roman" w:hAnsi="Times New Roman"/>
          <w:b/>
          <w:noProof/>
          <w:sz w:val="24"/>
        </w:rPr>
        <w:t>Situation économique à moyen terme (réformes structurelles incluses)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Depuis 2016, la croissance du PIB réel est supérieure à son potentiel, tirée, dans un contexte de faible consommation des ménages, par le dynamisme des investissements et l’amélioration des exportations nettes. La croissance du PIB nominal a redémarré en 2017 et, malgré le ralentissement de l’activité économique, est restée soutenue en 2018 et 2019, à la faveur d’une hausse du déflateur du PIB. On ne saurait donc invoquer les conditions macroéconomiques comme circonstances atténuantes pour expliquer que la France n’a pas accompli de progrès suffisants vers le respect de la référence d’ajustement du ratio de la dette en 2019.</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Selon les projections, l’activité économique devrait être profondément affectée par la pandémie de COVID-19 et les mesures de confinement mises en œuvre pour y faire face.</w:t>
      </w:r>
      <w:r>
        <w:rPr>
          <w:rFonts w:ascii="Times New Roman" w:hAnsi="Times New Roman"/>
          <w:noProof/>
          <w:sz w:val="24"/>
          <w:szCs w:val="24"/>
        </w:rPr>
        <w:t xml:space="preserve"> </w:t>
      </w:r>
      <w:r>
        <w:rPr>
          <w:rFonts w:ascii="Times New Roman" w:hAnsi="Times New Roman"/>
          <w:bCs/>
          <w:noProof/>
          <w:sz w:val="24"/>
        </w:rPr>
        <w:t xml:space="preserve">Les prévisions de la Commission du printemps 2020 anticipent une diminution du PIB de 8,2 % en 2020, avec une contribution négative de la demande intérieure à la croissance de 7,4 points de pourcentage, du fait de la chute brutale de la consommation privée et des investissements, et une contribution négative des stocks. La contribution des exportations nettes à la croissance devrait être, quant à elle, globalement neutre. </w:t>
      </w:r>
      <w:r>
        <w:rPr>
          <w:rFonts w:ascii="Times New Roman" w:hAnsi="Times New Roman"/>
          <w:noProof/>
          <w:sz w:val="24"/>
        </w:rPr>
        <w:t>Les perspectives macroéconomiques sont marquées par un degré exceptionnel d’incertitude quant à la durée de la pandémie et à son impact économique.</w:t>
      </w:r>
      <w:r>
        <w:rPr>
          <w:rFonts w:ascii="Times New Roman" w:hAnsi="Times New Roman"/>
          <w:noProof/>
          <w:sz w:val="24"/>
          <w:szCs w:val="24"/>
        </w:rPr>
        <w:t xml:space="preserve"> Cela constitue une circonstance atténuante à prendre en considération dans l’évaluation du respect par la France du critère du déficit en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son rapport 2020 sur la France</w:t>
      </w:r>
      <w:r>
        <w:rPr>
          <w:rStyle w:val="FootnoteReference"/>
          <w:rFonts w:eastAsiaTheme="minorHAnsi"/>
          <w:noProof/>
          <w:sz w:val="24"/>
        </w:rPr>
        <w:footnoteReference w:id="3"/>
      </w:r>
      <w:r>
        <w:rPr>
          <w:rFonts w:ascii="Times New Roman" w:hAnsi="Times New Roman"/>
          <w:noProof/>
          <w:sz w:val="24"/>
        </w:rPr>
        <w:t>, la Commission a conclu que celle-ci avait enregistré certains progrès dans la mise en œuvre des recommandations par pays de 2019. Plus précisément, la France a accompli des progrès substantiels pour ce qui est de favoriser la croissance des entreprises, et elle a enregistré certains progrès pour ce qui est de remédier aux pénuries et aux inadéquations de compétences, de simplifier le système fiscal, d’investir dans la transition énergétique et d’améliorer les infrastructures numériques. Elle a aussi réalisé des progrès limités pour ce qui est de favoriser l’intégration sur le marché du travail et de garantir l’égalité des chances, d’améliorer les performances en matière de recherche et d’innovation et de réduire les restrictions réglementaires. Enfin, s’agissant des réformes budgétaires structurelles, si elle a accompli des progrès limités dans la réforme du système des retraites, la France n’a accompli aucun progrès pour ce qui est de détailler davantage et de mettre en œuvre une revue des dépenses dans le cadre du programme Action publique 2022.</w:t>
      </w:r>
      <w:r>
        <w:rPr>
          <w:rFonts w:ascii="Times New Roman" w:hAnsi="Times New Roman"/>
          <w:noProof/>
          <w:sz w:val="24"/>
          <w:szCs w:val="24"/>
        </w:rPr>
        <w:t xml:space="preserv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Position budgétaire à moyen terme (investissements publics inclus)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déficit nominal s’est creusé, passant de 2,3 % du PIB en 2018 à 3,0 % en 2019, en raison principalement de l’incidence statistique de la transformation du crédit d’impôt pour la compétitivité et l’emploi (CICE) en un allègement immédiat et pérenne de cotisations sociales patronales, qui a représenté quelque 0,9 % du PIB. Selon les estimations, le taux d’investissement public a augmenté, pour passer de 3,4 % du PIB en 2018 à 3,6 % en 2019, ce qui est supérieur au déficit public en 2019.</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Le 13 juillet 2018, la France a reçu la recommandation de veiller à ce que le taux de croissance nominale des dépenses publiques primaires, déduction faite des mesures discrétionnaires en matière de recettes et des mesures ponctuelles, (ci-après dénommé «critère des dépenses»), ne dépasse pas 1,4 % en 2019, ce qui correspond à un ajustement structurel de 0,6 % du PIB</w:t>
      </w:r>
      <w:r>
        <w:rPr>
          <w:rStyle w:val="FootnoteReference"/>
          <w:rFonts w:eastAsiaTheme="minorHAnsi"/>
          <w:noProof/>
        </w:rPr>
        <w:footnoteReference w:id="4"/>
      </w:r>
      <w:r>
        <w:rPr>
          <w:rFonts w:ascii="Times New Roman" w:hAnsi="Times New Roman"/>
          <w:noProof/>
          <w:sz w:val="24"/>
          <w:szCs w:val="24"/>
        </w:rPr>
        <w:t xml:space="preserve">. </w:t>
      </w:r>
      <w:r>
        <w:rPr>
          <w:rFonts w:ascii="Times New Roman" w:hAnsi="Times New Roman"/>
          <w:noProof/>
          <w:sz w:val="24"/>
        </w:rPr>
        <w:t xml:space="preserve">Sur la base des données définitives et des prévisions de la Commission, le critère des dépenses n’a pas été respecté, l’écart par rapport à la trajectoire d’ajustement recommandée en vue de la réalisation de l’objectif budgétaire à moyen terme atteignant 1,0 % du PIB en 2019, ce qui correspond à un écart important. </w:t>
      </w:r>
      <w:r>
        <w:rPr>
          <w:rFonts w:ascii="Times New Roman" w:hAnsi="Times New Roman"/>
          <w:noProof/>
        </w:rPr>
        <w:t>Le solde structurel n’a enregistré aucune amélioration en 2019</w:t>
      </w:r>
      <w:r>
        <w:rPr>
          <w:rStyle w:val="FootnoteReference"/>
          <w:rFonts w:eastAsiaTheme="minorHAnsi"/>
          <w:noProof/>
          <w:sz w:val="24"/>
          <w:szCs w:val="24"/>
        </w:rPr>
        <w:footnoteReference w:id="5"/>
      </w:r>
      <w:r>
        <w:rPr>
          <w:rFonts w:ascii="Times New Roman" w:hAnsi="Times New Roman"/>
          <w:noProof/>
        </w:rPr>
        <w:t>, ce qui correspond là aussi à un écart important, de 0,6 % du PIB.</w:t>
      </w:r>
      <w:r>
        <w:rPr>
          <w:rFonts w:ascii="Times New Roman" w:hAnsi="Times New Roman"/>
          <w:noProof/>
          <w:sz w:val="24"/>
        </w:rPr>
        <w:t xml:space="preserve"> La conclusion est similaire si l’on évalue ensemble les années 2018 et 2019. Le non-respect des exigences du volet préventif constitue une circonstance aggravante à prendre en considération dans l’évaluation du non-respect apparent par la France du critère de la dette en 2019.</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rPr>
        <w:t xml:space="preserve">Le programme de stabilité fournit des informations sur les mesures importantes qui ont été prises pour enrayer la pandémie et soutenir l’économie. Il estime que ces mesures de soutien auront pour effet d’accroître le déficit de 1,9 % du PIB en 2020. Elles comprennent des dépenses additionnelles de santé (8 milliards d’EUR), des transferts destinés à financer les dispositifs de chômage partiel (24 milliards d’EUR), des subventions au titre du fonds de compensation sectoriel en faveur des PME (7 milliards d’EUR) et la création d’un fonds d’urgence (2,5 milliards d’EUR). Par ailleurs, les mesures de trésorerie et les garanties publiques destinées à soutenir les entreprises représentent environ 385 milliards d’EUR (17,1 % du PIB). Sous réserve d’informations plus détaillées, les autorités statistiques compétentes doivent examiner si ces mesures ont ou non un impact immédiat sur le budget. Quoi qu’il en soit, les perspectives budgétaires à moyen terme restent très incertaines.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4.4.</w:t>
      </w:r>
      <w:r>
        <w:rPr>
          <w:noProof/>
        </w:rPr>
        <w:tab/>
      </w:r>
      <w:r>
        <w:rPr>
          <w:rFonts w:ascii="Times New Roman" w:hAnsi="Times New Roman"/>
          <w:b/>
          <w:noProof/>
          <w:sz w:val="24"/>
          <w:szCs w:val="24"/>
        </w:rPr>
        <w:t>Situation de la dette publique à moyen terme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Après avoir augmenté régulièrement à partir de 2013, la dette publique est restée globalement stable – autour de 98 % du PIB – entre 2016 et 2018, en raison de la persistance de déficits publics élevés sur la même période ainsi que de la croissance relativement faible du PIB nominal au cours de la plupart de ces années. En 2019, le ratio d’endettement s’est stabilisé à 98,1 %, en raison de l’effet d’accroissement de la dette exercé par le déficit primaire et, malgré leur baisse, par les dépenses d’intérêts. Cette évolution a été compensée par la croissance du PIB réel, par l’augmentation des prix (effet de l’inflation) et par un léger effet de réduction de la dette provenant des ajustements stocks-flux.</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2020, la Commission s’attend à ce que la dette publique passe de 98,1 % du PIB en 2019 à 116,5 % en 2020.</w:t>
      </w:r>
    </w:p>
    <w:p>
      <w:pPr>
        <w:spacing w:before="120" w:after="120" w:line="240" w:lineRule="auto"/>
        <w:jc w:val="both"/>
        <w:rPr>
          <w:rFonts w:ascii="Times New Roman" w:hAnsi="Times New Roman"/>
          <w:iCs/>
          <w:noProof/>
          <w:sz w:val="24"/>
        </w:rPr>
      </w:pPr>
      <w:r>
        <w:rPr>
          <w:rFonts w:ascii="Times New Roman" w:hAnsi="Times New Roman"/>
          <w:iCs/>
          <w:noProof/>
          <w:sz w:val="24"/>
        </w:rPr>
        <w:t>L’évaluation de la soutenabilité de la dette actualisée pour tenir compte des prévisions du printemps 2020 de la Commission confirme que, malgré les risques, la dette de la France demeure soutenable à moyen terme, compte tenu de circonstances atténuantes importantes (notamment le profil de la dette). En effet, s’il est vrai que la situation d’endettement public s’est détériorée par suite de la crise liée à la pandémie de COVID-19, le ratio de la dette publique au PIB devrait, dans le scénario de référence, suivre une trajectoire (baissière) soutenable à moyen terme</w:t>
      </w:r>
      <w:r>
        <w:rPr>
          <w:rStyle w:val="FootnoteReference"/>
          <w:rFonts w:eastAsiaTheme="minorHAnsi"/>
          <w:iCs/>
          <w:noProof/>
        </w:rPr>
        <w:footnoteReference w:id="6"/>
      </w:r>
      <w:r>
        <w:rPr>
          <w:rFonts w:ascii="Times New Roman" w:hAnsi="Times New Roman"/>
          <w:iCs/>
          <w:noProof/>
          <w:sz w:val="24"/>
        </w:rPr>
        <w:t xml:space="preserve"> (graphique 1). </w:t>
      </w:r>
    </w:p>
    <w:p>
      <w:pPr>
        <w:rPr>
          <w:rFonts w:ascii="Times New Roman" w:hAnsi="Times New Roman"/>
          <w:iCs/>
          <w:noProof/>
          <w:sz w:val="24"/>
        </w:rPr>
      </w:pPr>
      <w:r>
        <w:rPr>
          <w:rFonts w:ascii="Times New Roman" w:hAnsi="Times New Roman"/>
          <w:iCs/>
          <w:noProof/>
          <w:sz w:val="24"/>
        </w:rPr>
        <w:br w:type="page"/>
      </w:r>
    </w:p>
    <w:p>
      <w:pPr>
        <w:spacing w:before="120" w:after="120" w:line="240" w:lineRule="auto"/>
        <w:jc w:val="both"/>
        <w:rPr>
          <w:rFonts w:ascii="Times New Roman" w:eastAsia="Times New Roman" w:hAnsi="Times New Roman" w:cs="Times New Roman"/>
          <w:iCs/>
          <w:noProof/>
          <w:sz w:val="24"/>
        </w:rPr>
      </w:pPr>
    </w:p>
    <w:p>
      <w:pPr>
        <w:spacing w:before="120" w:after="120" w:line="240" w:lineRule="auto"/>
        <w:jc w:val="center"/>
        <w:rPr>
          <w:rFonts w:ascii="Times New Roman" w:eastAsia="Times New Roman" w:hAnsi="Times New Roman" w:cs="Times New Roman"/>
          <w:b/>
          <w:iCs/>
          <w:noProof/>
          <w:sz w:val="24"/>
          <w:szCs w:val="24"/>
        </w:rPr>
      </w:pPr>
      <w:r>
        <w:rPr>
          <w:rFonts w:ascii="Times New Roman" w:hAnsi="Times New Roman"/>
          <w:b/>
          <w:noProof/>
          <w:color w:val="1F497D"/>
          <w:sz w:val="24"/>
          <w:szCs w:val="24"/>
        </w:rPr>
        <w:t>Graphique 1: Ratio dette publique/PIB, France (en % du PIB)</w:t>
      </w:r>
    </w:p>
    <w:p>
      <w:pPr>
        <w:spacing w:before="120" w:after="120" w:line="240" w:lineRule="auto"/>
        <w:jc w:val="both"/>
        <w:rPr>
          <w:rFonts w:ascii="Times New Roman" w:eastAsia="Times New Roman" w:hAnsi="Times New Roman" w:cs="Times New Roman"/>
          <w:iCs/>
          <w:noProof/>
          <w:sz w:val="24"/>
        </w:rPr>
      </w:pPr>
      <w:r>
        <w:rPr>
          <w:rFonts w:ascii="Times New Roman" w:eastAsia="Times New Roman" w:hAnsi="Times New Roman" w:cs="Times New Roman"/>
          <w:iCs/>
          <w:noProof/>
          <w:sz w:val="24"/>
          <w:lang w:val="en-GB" w:eastAsia="en-GB"/>
        </w:rPr>
        <w:drawing>
          <wp:inline distT="0" distB="0" distL="0" distR="0">
            <wp:extent cx="5731510" cy="2694305"/>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before="120" w:after="120" w:line="240" w:lineRule="auto"/>
        <w:jc w:val="both"/>
        <w:rPr>
          <w:rFonts w:ascii="Times New Roman" w:eastAsia="Times New Roman" w:hAnsi="Times New Roman" w:cs="Times New Roman"/>
          <w:iCs/>
          <w:noProof/>
          <w:sz w:val="20"/>
          <w:szCs w:val="20"/>
        </w:rPr>
      </w:pPr>
      <w:r>
        <w:rPr>
          <w:rFonts w:ascii="Times New Roman" w:hAnsi="Times New Roman"/>
          <w:iCs/>
          <w:noProof/>
          <w:sz w:val="20"/>
          <w:szCs w:val="20"/>
        </w:rPr>
        <w:t>Source: services de la Commission.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Le 14 mai 2020, les autorités françaises ont transmis une liste de facteurs pertinents conformément à l’article 2, paragraphe 3, du règlement (CE) nº 1467/97. L’analyse présentée dans les sections précédentes couvre déjà largement les principaux facteurs mis en avant par les autorités. Les autres facteurs qui n’ont pas encore été abordés ci-dessus sont l’effort structurel cumulé qui, selon les calculs des autorités, a atteint environ 0,4 % du PIB sur la période 2018-2019, et la limitation de la croissance des dépenses publiques, à l’exclusion des crédits d’impôts et de la création de France compétences, qui s’est traduite par une augmentation annuelle moyenne de ¼ de point de pourcentage en termes réels sur la période 2018-2019 ainsi que par une baisse du ratio des dépenses publiques au PIB de 1,3 point de pourcentage entre 2017 et 2019.</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Cs/>
          <w:noProof/>
          <w:sz w:val="24"/>
        </w:rPr>
        <w:t xml:space="preserve"> </w:t>
      </w:r>
      <w:r>
        <w:rPr>
          <w:rFonts w:ascii="Times New Roman" w:hAnsi="Times New Roman"/>
          <w:b/>
          <w:smallCaps/>
          <w:noProof/>
          <w:sz w:val="24"/>
        </w:rPr>
        <w:t xml:space="preserve"> 5.</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le programme de stabilité, le déficit public de la France devrait augmenter pour atteindre 9,0 % en 2020, ce qui est supérieur à la valeur de référence de 3 % du PIB prévue par le traité et n’en est pas proche. Ce dépassement prévu de la valeur de référence est considéré comme exceptionnel, mais pas comme temporaire.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 dette publique brute s’est établie à 98,1 % du PIB à la fin de 2019, ce qui dépasse la valeur de référence de 60 % du PIB prévue par le traité.</w:t>
      </w:r>
      <w:r>
        <w:rPr>
          <w:rFonts w:ascii="Times New Roman" w:hAnsi="Times New Roman"/>
          <w:bCs/>
          <w:noProof/>
          <w:sz w:val="24"/>
          <w:szCs w:val="24"/>
        </w:rPr>
        <w:t xml:space="preserve"> </w:t>
      </w:r>
      <w:r>
        <w:rPr>
          <w:rFonts w:ascii="Times New Roman" w:hAnsi="Times New Roman"/>
          <w:bCs/>
          <w:noProof/>
          <w:sz w:val="24"/>
        </w:rPr>
        <w:t>La France n’a pas accompli de progrès suffisants vers le respect de la référence d’ajustement du ratio de la dette en 2019.</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Conformément à l’article 2, paragraphe 4, du règlement (CE) nº 1467/97, en ce qui concerne le respect du critère du déficit en 2020, toutefois, puisque le ratio d’endettement dépasse la valeur de référence de 60 % et que la double condition à respecter pour cette prise en compte – à savoir que le déficit demeure proche de la valeur de référence et que le dépassement de cette valeur soit temporaire – n’est pas remplie, ces facteurs pertinents ne peuvent pas être pris en compte au cours des étapes conduisant à la décision sur l’existence d’un déficit excessif en France sur la base du critère du déficit.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En ce qui concerne le respect du critère de la dette en 2019, les facteurs pertinents pris en considération, en particulier i) les conditions macroéconomiques observées; ii) certains progrès accomplis au cours des dernières années dans la mise en œuvre de réformes structurelles propices à la croissance, et iii) l’écart important par rapport à la trajectoire recommandée d’ajustement vers l’objectif budgétaire à moyen terme, portent à conclure que le critère de la dette au sens du traité et du règlement (CE) nº 1467/97 n’est pas respecté.</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l’ensemble, l’analyse semble indiquer que les critères du déficit et de la dette, tels qu’ils sont définis dans le traité et dans le règlement (CE) nº 1467/97, ne sont pas respectés.</w:t>
      </w:r>
    </w:p>
    <w:p>
      <w:pPr>
        <w:spacing w:before="120" w:after="120" w:line="240" w:lineRule="auto"/>
        <w:jc w:val="both"/>
        <w:rPr>
          <w:rFonts w:ascii="Times New Roman" w:eastAsia="Times New Roman" w:hAnsi="Times New Roman" w:cs="Times New Roman"/>
          <w:noProof/>
          <w:sz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200"/>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 w:id="3">
    <w:p>
      <w:pPr>
        <w:pStyle w:val="FootnoteText"/>
        <w:spacing w:after="200"/>
        <w:ind w:left="142" w:hanging="142"/>
      </w:pPr>
      <w:r>
        <w:rPr>
          <w:rStyle w:val="FootnoteReference"/>
        </w:rPr>
        <w:footnoteRef/>
      </w:r>
      <w:r>
        <w:t xml:space="preserve"> Voir le document de travail des services de la Commission SWD(2020) 509 final du 26.2.2020, intitulé «</w:t>
      </w:r>
      <w:r>
        <w:rPr>
          <w:i/>
          <w:iCs/>
        </w:rPr>
        <w:t xml:space="preserve">Rapport 2020 pour la France comprenant un bilan approfondi des mesures de prévention et de correction des déséquilibres macroéconomiques». </w:t>
      </w:r>
      <w:r>
        <w:t xml:space="preserve"> </w:t>
      </w:r>
    </w:p>
  </w:footnote>
  <w:footnote w:id="4">
    <w:p>
      <w:pPr>
        <w:pStyle w:val="FootnoteText"/>
        <w:spacing w:after="200"/>
        <w:ind w:left="170" w:hanging="170"/>
      </w:pPr>
      <w:r>
        <w:rPr>
          <w:rStyle w:val="FootnoteReference"/>
        </w:rPr>
        <w:footnoteRef/>
      </w:r>
      <w:r>
        <w:t xml:space="preserve"> Recommandation du Conseil du 13 juillet 2018 concernant le programme national de réforme de la France pour 2018 et portant avis du Conseil sur le programme de stabilité de la France pour 2018 (JO C 320 du 10.9.2018, p. 39).</w:t>
      </w:r>
    </w:p>
  </w:footnote>
  <w:footnote w:id="5">
    <w:p>
      <w:pPr>
        <w:pStyle w:val="FootnoteText"/>
        <w:spacing w:after="200"/>
        <w:ind w:left="142" w:hanging="153"/>
      </w:pPr>
      <w:r>
        <w:rPr>
          <w:rStyle w:val="FootnoteReference"/>
        </w:rPr>
        <w:footnoteRef/>
      </w:r>
      <w:r>
        <w:t xml:space="preserve"> Le chiffre définitif du déficit nominal de 2019 est inférieur de 0,1 % du PIB aux prévisions de l’automne 2019 de la Commission, qui anticipait alors un ajustement structurel de 0,0 %. Malgré le déficit plus faible que prévu enregistré en 2019, l’ajustement structurel reste à 0,0 % du PIB en raison à la fois de la révision à la baisse de la croissance potentielle, imputable à la grave récession économique provoquée par la pandémie de COVID-19, et d’une révision de la série de mesures ponctuelles en 2017 et 2018. </w:t>
      </w:r>
    </w:p>
  </w:footnote>
  <w:footnote w:id="6">
    <w:p>
      <w:pPr>
        <w:pStyle w:val="FootnoteText"/>
        <w:spacing w:after="200"/>
        <w:ind w:left="0" w:firstLine="0"/>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B76C4F-025F-4600-91B8-6608C4D3411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Franc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5871">
      <w:bodyDiv w:val="1"/>
      <w:marLeft w:val="0"/>
      <w:marRight w:val="0"/>
      <w:marTop w:val="0"/>
      <w:marBottom w:val="0"/>
      <w:divBdr>
        <w:top w:val="none" w:sz="0" w:space="0" w:color="auto"/>
        <w:left w:val="none" w:sz="0" w:space="0" w:color="auto"/>
        <w:bottom w:val="none" w:sz="0" w:space="0" w:color="auto"/>
        <w:right w:val="none" w:sz="0" w:space="0" w:color="auto"/>
      </w:divBdr>
    </w:div>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83573148">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talde\AppData\Local\CATE\DGT\Dossiers\ECFIN\ECFIN-2020-80082\ECFIN-2020-80082-01-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Scénario de référence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98.097084045410156</c:v>
                </c:pt>
                <c:pt idx="1">
                  <c:v>116.51848602294922</c:v>
                </c:pt>
                <c:pt idx="2">
                  <c:v>111.89267730712891</c:v>
                </c:pt>
                <c:pt idx="3">
                  <c:v>112.22979736328125</c:v>
                </c:pt>
                <c:pt idx="4">
                  <c:v>112.08436584472656</c:v>
                </c:pt>
                <c:pt idx="5">
                  <c:v>111.38489532470703</c:v>
                </c:pt>
                <c:pt idx="6">
                  <c:v>110.03795623779297</c:v>
                </c:pt>
                <c:pt idx="7">
                  <c:v>107.85688018798828</c:v>
                </c:pt>
                <c:pt idx="8">
                  <c:v>105.57737731933594</c:v>
                </c:pt>
                <c:pt idx="9">
                  <c:v>103.20439147949219</c:v>
                </c:pt>
                <c:pt idx="10">
                  <c:v>100.78914642333984</c:v>
                </c:pt>
                <c:pt idx="11">
                  <c:v>98.25567626953125</c:v>
                </c:pt>
              </c:numCache>
            </c:numRef>
          </c:val>
          <c:smooth val="0"/>
          <c:extLst xmlns:c16r2="http://schemas.microsoft.com/office/drawing/2015/06/chart">
            <c:ext xmlns:c16="http://schemas.microsoft.com/office/drawing/2014/chart" uri="{C3380CC4-5D6E-409C-BE32-E72D297353CC}">
              <c16:uniqueId val="{00000000-613C-4B48-BF07-D2C301735B1F}"/>
            </c:ext>
          </c:extLst>
        </c:ser>
        <c:ser>
          <c:idx val="2"/>
          <c:order val="1"/>
          <c:tx>
            <c:strRef>
              <c:f>'COUNTRY FICHE coronavirus'!$V$38</c:f>
              <c:strCache>
                <c:ptCount val="1"/>
                <c:pt idx="0">
                  <c:v>Scénario défavorable</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98.097084045410156</c:v>
                </c:pt>
                <c:pt idx="1">
                  <c:v>117.23948669433594</c:v>
                </c:pt>
                <c:pt idx="2">
                  <c:v>113.27525329589844</c:v>
                </c:pt>
                <c:pt idx="3">
                  <c:v>114.39185333251953</c:v>
                </c:pt>
                <c:pt idx="4">
                  <c:v>115.05878448486328</c:v>
                </c:pt>
                <c:pt idx="5">
                  <c:v>115.19782257080078</c:v>
                </c:pt>
                <c:pt idx="6">
                  <c:v>114.70205688476562</c:v>
                </c:pt>
                <c:pt idx="7">
                  <c:v>113.34438323974609</c:v>
                </c:pt>
                <c:pt idx="8">
                  <c:v>111.88181304931641</c:v>
                </c:pt>
                <c:pt idx="9">
                  <c:v>110.31238555908203</c:v>
                </c:pt>
                <c:pt idx="10">
                  <c:v>108.68495941162109</c:v>
                </c:pt>
                <c:pt idx="11">
                  <c:v>106.91166687011719</c:v>
                </c:pt>
              </c:numCache>
            </c:numRef>
          </c:val>
          <c:smooth val="0"/>
          <c:extLst xmlns:c16r2="http://schemas.microsoft.com/office/drawing/2015/06/chart">
            <c:ext xmlns:c16="http://schemas.microsoft.com/office/drawing/2014/chart" uri="{C3380CC4-5D6E-409C-BE32-E72D297353CC}">
              <c16:uniqueId val="{00000001-613C-4B48-BF07-D2C301735B1F}"/>
            </c:ext>
          </c:extLst>
        </c:ser>
        <c:dLbls>
          <c:showLegendKey val="0"/>
          <c:showVal val="0"/>
          <c:showCatName val="0"/>
          <c:showSerName val="0"/>
          <c:showPercent val="0"/>
          <c:showBubbleSize val="0"/>
        </c:dLbls>
        <c:marker val="1"/>
        <c:smooth val="0"/>
        <c:axId val="49705344"/>
        <c:axId val="49706880"/>
      </c:lineChart>
      <c:catAx>
        <c:axId val="49705344"/>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49706880"/>
        <c:crosses val="autoZero"/>
        <c:auto val="1"/>
        <c:lblAlgn val="ctr"/>
        <c:lblOffset val="100"/>
        <c:noMultiLvlLbl val="0"/>
      </c:catAx>
      <c:valAx>
        <c:axId val="49706880"/>
        <c:scaling>
          <c:orientation val="minMax"/>
          <c:max val="135"/>
          <c:min val="75"/>
        </c:scaling>
        <c:delete val="0"/>
        <c:axPos val="l"/>
        <c:numFmt formatCode="0" sourceLinked="0"/>
        <c:majorTickMark val="in"/>
        <c:minorTickMark val="none"/>
        <c:tickLblPos val="nextTo"/>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49705344"/>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txPr>
        <a:bodyPr/>
        <a:lstStyle/>
        <a:p>
          <a:pPr>
            <a:defRPr sz="1000"/>
          </a:pPr>
          <a:endParaRPr lang="en-US"/>
        </a:p>
      </c:txPr>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E3CB-4A9D-44E4-BF30-A3C9E63B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3322</Words>
  <Characters>17043</Characters>
  <Application>Microsoft Office Word</Application>
  <DocSecurity>0</DocSecurity>
  <Lines>258</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2020-05-19T16:36:00Z</dcterms:created>
  <dcterms:modified xsi:type="dcterms:W3CDTF">2020-05-20T07:50:00Z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