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48CABD2-8149-492A-B85C-B8E4B05382D6"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Finland</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jc w:val="both"/>
        <w:rPr>
          <w:rFonts w:ascii="Times New Roman" w:eastAsia="Times New Roman" w:hAnsi="Times New Roman" w:cs="Calibri"/>
          <w:noProof/>
          <w:sz w:val="24"/>
          <w:szCs w:val="24"/>
          <w:lang w:eastAsia="en-GB"/>
        </w:rPr>
      </w:pPr>
      <w:r>
        <w:rPr>
          <w:rFonts w:ascii="Times New Roman" w:hAnsi="Times New Roman" w:cs="Times New Roman"/>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r>
        <w:rPr>
          <w:rFonts w:ascii="Times New Roman" w:eastAsia="Times New Roman" w:hAnsi="Times New Roman" w:cs="Calibri"/>
          <w:noProof/>
          <w:sz w:val="24"/>
          <w:szCs w:val="24"/>
          <w:lang w:eastAsia="en-GB"/>
        </w:rPr>
        <w: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Finnish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Finland reached 1.1% of GDP in 2019, while general governent gross debt stood at 59.4% of GDP. According to the 2020 Stability Programme, Finland plans a deficit of 7.2% of GDP in 2020, while debt is planned at 69.1%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Finland’s compliance with the deficit criterion of the Treaty. The debt criterion can be considered to be met as the debt ratio in 2019 was  below the Treaty reference value of 60% of GDP. It takes into account all relevant factors and </w:t>
      </w:r>
      <w:r>
        <w:rPr>
          <w:rFonts w:ascii="Times New Roman" w:hAnsi="Times New Roman" w:cs="Times New Roman"/>
          <w:bCs/>
          <w:iCs/>
          <w:noProof/>
          <w:sz w:val="24"/>
          <w:szCs w:val="24"/>
        </w:rPr>
        <w:t xml:space="preserve">gives due consideration to the major economic shock linked </w:t>
      </w:r>
      <w:r>
        <w:rPr>
          <w:rFonts w:ascii="Times New Roman" w:eastAsia="Times New Roman" w:hAnsi="Times New Roman" w:cs="Calibri"/>
          <w:noProof/>
          <w:sz w:val="24"/>
          <w:szCs w:val="24"/>
          <w:lang w:eastAsia="en-GB"/>
        </w:rPr>
        <w:t xml:space="preserve">to the COVID-19 pandemic. </w:t>
      </w:r>
    </w:p>
    <w:p>
      <w:pPr>
        <w:autoSpaceDE w:val="0"/>
        <w:autoSpaceDN w:val="0"/>
        <w:adjustRightInd w:val="0"/>
        <w:spacing w:before="120" w:after="0" w:line="240" w:lineRule="auto"/>
        <w:jc w:val="both"/>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-1.7 </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-0.9</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-7.4</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-3.4</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63.2 </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61.3</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59.6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59.4</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69.4</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69.6</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2020 Stability Programme, Commission 2020 spring forecast</w:t>
      </w:r>
    </w:p>
    <w:p>
      <w:pPr>
        <w:pStyle w:val="ManualHeading1"/>
        <w:ind w:left="851" w:hanging="851"/>
        <w:rPr>
          <w:rFonts w:eastAsia="Calibri"/>
          <w:noProof/>
          <w:szCs w:val="24"/>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Based on the 2020 Stability Programme, Finland’s general government deficit in 2020 is planned to reach 7.2% of GDP,  above and not close to the Treaty reference value of 3% of GDP.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excess over the Treaty reference value in 2020 is exceptional, as it results from a severe economic downturn. Taking into account the impact of the COVID-19 pandemic on Finland’s economy, the Commission spring forecast projects a contraction of real GDP in 2020 by 6.3%.</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excess over the Treaty reference value is not temporary based on the Commission 2020 spring forecast, which projects the deficit to remain above 3% of GDP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excess is considered to be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Relevant factors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r>
        <w:rPr>
          <w:rFonts w:ascii="Times New Roman" w:eastAsia="Times New Roman" w:hAnsi="Times New Roman" w:cs="Times New Roman"/>
          <w:noProof/>
          <w:sz w:val="24"/>
          <w:lang w:eastAsia="en-GB"/>
        </w:rPr>
        <w:t>As specified in Article 2(4) of Regulation (EC) No 1467/97, as regards the deficit criterion,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Finland. However, the Commission recognises the exceptional nature of the circumstances leading to the assessment of compliance with the deficit criterion in 2020.</w:t>
      </w:r>
    </w:p>
    <w:p>
      <w:pPr>
        <w:keepNext/>
        <w:tabs>
          <w:tab w:val="left" w:pos="850"/>
        </w:tabs>
        <w:spacing w:before="360" w:after="120" w:line="240" w:lineRule="auto"/>
        <w:ind w:left="851" w:hanging="851"/>
        <w:jc w:val="both"/>
        <w:outlineLvl w:val="1"/>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recent activation of the general escape clause in the light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3.1.</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3.2</w:t>
      </w:r>
      <w:r>
        <w:rPr>
          <w:rFonts w:ascii="Times New Roman" w:eastAsia="Times New Roman" w:hAnsi="Times New Roman" w:cs="Times New Roman"/>
          <w:b/>
          <w:noProof/>
          <w:sz w:val="24"/>
          <w:szCs w:val="24"/>
          <w:lang w:eastAsia="en-GB"/>
        </w:rPr>
        <w:tab/>
        <w:t xml:space="preserve">Medium-term economic position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Already prior to the crisis, Finland’s economic growth was slowing down. Economic growth is severely affected as a result of the COVID-19 pandemic and the measures taken to contain it. Real GDP is forecast to contract sharply by about 6.3% in 2020, before rebounding to 3.7% in 2021. Private consumption and private investment are expected to be the main drivers of the slowdown in 2020, while government consumption and investment will support the economy. The macroeconomic forecast underlying the Stability Programme assumes that Finland’s gross domestic product will contract by 5.5% in 2020 and grow by 1.3% in 2021, driven by the same combination of factors. The sharp drop of GDP in 2020 is a mitigating factor in the assessment of Finland’s compliance with the deficit criterion in 2020.</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High uncertainties and rising unemployment are expected to shrink domestic demand in 2020. Households are expected to increase precautionary savings, delaying discretionary spending and reducing consumption.</w:t>
      </w:r>
      <w:r>
        <w:rPr>
          <w:noProof/>
        </w:rPr>
        <w:t xml:space="preserve"> </w:t>
      </w:r>
      <w:r>
        <w:rPr>
          <w:rFonts w:ascii="Times New Roman" w:eastAsia="Times New Roman" w:hAnsi="Times New Roman" w:cs="Calibri"/>
          <w:bCs/>
          <w:noProof/>
          <w:sz w:val="24"/>
          <w:lang w:eastAsia="en-GB"/>
        </w:rPr>
        <w:t xml:space="preserve">Private investment is set to fall sharply due to the uncertain outlook in both the housing market and the business sector. Contribution of net exports will be negative. The labour market, already stagnant prior to the crisis, is set to be strongly affected. Unemployment is set to rise markedly by mid-2020. </w:t>
      </w:r>
    </w:p>
    <w:p>
      <w:pPr>
        <w:spacing w:before="120" w:after="120" w:line="240" w:lineRule="auto"/>
        <w:jc w:val="both"/>
        <w:rPr>
          <w:rFonts w:ascii="Times New Roman" w:eastAsia="Times New Roman" w:hAnsi="Times New Roman" w:cs="Calibri"/>
          <w:bCs/>
          <w:noProof/>
          <w:sz w:val="24"/>
          <w:highlight w:val="cyan"/>
          <w:lang w:eastAsia="en-GB"/>
        </w:rPr>
      </w:pPr>
      <w:r>
        <w:rPr>
          <w:rFonts w:ascii="Times New Roman" w:eastAsia="Times New Roman" w:hAnsi="Times New Roman" w:cs="Calibri"/>
          <w:bCs/>
          <w:noProof/>
          <w:sz w:val="24"/>
          <w:lang w:eastAsia="en-GB"/>
        </w:rPr>
        <w:t>There is an exceptionally high level of uncertainty about the evolution of the pandemic and the timeline of de-confinement measures, and their impact on economic activity.. Downside risks to the forecast scenarios mostly relate to the length and severity of the pandemic-induced domestic and foreign demand shock. A more prolonged crisis in some leisure-related activities, such as the cruise ship industry, could cause a sizeable additional shock to Finland’s public finances. On the other hand, Finland’s main trading partners appear to be entering  a recovery period more quickly than previously expected.</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On 13 July 2018, </w:t>
      </w:r>
      <w:r>
        <w:rPr>
          <w:rFonts w:ascii="Times New Roman" w:eastAsia="Times New Roman" w:hAnsi="Times New Roman" w:cs="Times New Roman"/>
          <w:bCs/>
          <w:noProof/>
          <w:sz w:val="24"/>
          <w:szCs w:val="24"/>
          <w:lang w:eastAsia="en-GB"/>
        </w:rPr>
        <w:t>Finland</w:t>
      </w:r>
      <w:r>
        <w:rPr>
          <w:rFonts w:ascii="Times New Roman" w:eastAsia="Times New Roman" w:hAnsi="Times New Roman" w:cs="Times New Roman"/>
          <w:noProof/>
          <w:sz w:val="24"/>
          <w:szCs w:val="24"/>
          <w:lang w:eastAsia="en-GB"/>
        </w:rPr>
        <w:t xml:space="preserve"> was recommended to ensure that the nominal growth rate of net primary government expenditure does not exceed 2.9% in 2019 (‘the expenditure benchmark’), corresponding to a structural adjustment of -0.2% of GDP.</w:t>
      </w:r>
      <w:r>
        <w:rPr>
          <w:rFonts w:ascii="Times New Roman" w:eastAsia="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lang w:eastAsia="en-GB"/>
        </w:rPr>
        <w:t xml:space="preserve"> Based on outturn data and the Commission forecast the </w:t>
      </w:r>
      <w:r>
        <w:rPr>
          <w:rFonts w:ascii="Times New Roman" w:hAnsi="Times New Roman" w:cs="Times New Roman"/>
          <w:noProof/>
          <w:sz w:val="24"/>
          <w:szCs w:val="24"/>
          <w:lang w:eastAsia="en-GB"/>
        </w:rPr>
        <w:t>growth of primary government expenditure led to some deviation from the recommended adjustment</w:t>
      </w:r>
      <w:r>
        <w:rPr>
          <w:rFonts w:ascii="Times New Roman" w:hAnsi="Times New Roman" w:cs="Times New Roman"/>
          <w:noProof/>
          <w:sz w:val="24"/>
          <w:lang w:eastAsia="en-GB"/>
        </w:rPr>
        <w:t xml:space="preserve"> path towards the medium-term budgetary objective in 2019. The structural balance also points to some deviation in 2019. Therefore, the overall assessment  indicates some deviation from the recommended adjustment path towards the medium-term budgetary objective in 2019.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The economic slowdown and the measures taken by the government to contain the spread of the COVID-19 virus are set to take a heavy toll on public finances. In the first supplementary budget for 2020, the government introduced many fixed-term and targeted measures to combat the impact of the coronavirus pandemic on human health and the economy. The measures include discretionary investments totalling approximately EUR 4.1 billion in 2020–2024. They weigh particularly on the 2020 budget that frontloaded expenditure related to implementation of the 2019-2023 government programme.</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pandemic relief measures adopted by mid-April 2020 have a fiscal cost amounting to 1.7% of GDP in 2020. Most of the measures consist of subsidies for the most affected sectors of the economy, helping SMEs and the self-employed get through the lockdown period. The government also decided to lower temporarily social contributions. Spending on healthcare and medical supplies, public order and border protection is also covered. In addition, the impact of automatic stabilisers ranging from 3% to 4% of GDP, i.e. lower tax revenues and higher expenditure on social security, will further weigh on public finances. Overall, the impact of the crisis is currently projected to worsen the general government balance to -7.2% of GDP in 2020.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Although an economic recovery is expected in 2021, government revenues are expected to remain below their pre-crisis forecasts, based on a no-policy-change assumption. The bulk of expenditure related to the pandemic is expected to be fully cancelled by the end of 2020, but some business support programmes are set to continue. The government is also expected to incur some losses from the loans and investments it has guaranteed. Consequently, the general government balance projected for 2021 is -3.4% of GDP, according to the Commission forecast. </w:t>
      </w:r>
    </w:p>
    <w:p>
      <w:pPr>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fiscal projections are surrounded by a high degree of uncertainty stemming from the  macroeconomic developments, the amount of guarantees called, the budgetary costs of the relief measuress adopted to mitigate the COVID-19 pandemic and the need to adopt additional measures. </w:t>
      </w:r>
    </w:p>
    <w:p>
      <w:pPr>
        <w:spacing w:before="360" w:after="12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b/>
          <w:noProof/>
          <w:sz w:val="24"/>
          <w:lang w:eastAsia="en-GB"/>
        </w:rPr>
        <w:t>3</w:t>
      </w:r>
      <w:r>
        <w:rPr>
          <w:rFonts w:ascii="Times New Roman" w:eastAsia="Times New Roman" w:hAnsi="Times New Roman" w:cs="Times New Roman"/>
          <w:b/>
          <w:noProof/>
          <w:sz w:val="24"/>
          <w:szCs w:val="24"/>
          <w:lang w:eastAsia="en-GB"/>
        </w:rPr>
        <w:t>.4.</w:t>
      </w:r>
      <w:r>
        <w:rPr>
          <w:rFonts w:ascii="Times New Roman" w:eastAsia="Times New Roman" w:hAnsi="Times New Roman" w:cs="Times New Roman"/>
          <w:b/>
          <w:noProof/>
          <w:sz w:val="24"/>
          <w:szCs w:val="24"/>
          <w:lang w:eastAsia="en-GB"/>
        </w:rPr>
        <w:tab/>
        <w:t>Medium-term government debt position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59.4% of GDP in 2019 to 69.6% by 2021. The debt sustainability assessment indicates that notwithstanding some risks, the debt position remains sustainable over the medium-term, which also takes account of important mitigating factors (including the debt profile). In particular, while the debt position deteriorates as a result of the COVID-19 crisis, the debt ratio in the baseline is expected to be on a sustainable (declining) trajectory over the medium term .</w:t>
      </w:r>
      <w:r>
        <w:rPr>
          <w:rStyle w:val="FootnoteReference"/>
          <w:rFonts w:eastAsiaTheme="minorHAnsi"/>
          <w:noProof/>
        </w:rPr>
        <w:footnoteReference w:id="4"/>
      </w:r>
    </w:p>
    <w:p>
      <w:pPr>
        <w:spacing w:before="36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Graph 1: Government debt-to-GDP ratio, Finland, % of GDP</w:t>
      </w:r>
    </w:p>
    <w:p>
      <w:pPr>
        <w:spacing w:before="360" w:after="120" w:line="240" w:lineRule="auto"/>
        <w:jc w:val="center"/>
        <w:rPr>
          <w:rFonts w:ascii="Times New Roman" w:eastAsia="Times New Roman" w:hAnsi="Times New Roman" w:cs="Times New Roman"/>
          <w:b/>
          <w:noProof/>
          <w:sz w:val="24"/>
          <w:lang w:eastAsia="en-GB"/>
        </w:rPr>
      </w:pPr>
      <w:r>
        <w:rPr>
          <w:noProof/>
          <w:lang w:eastAsia="en-GB"/>
        </w:rPr>
        <w:drawing>
          <wp:inline distT="0" distB="0" distL="0" distR="0">
            <wp:extent cx="5661660" cy="239847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20" w:after="120" w:line="240" w:lineRule="auto"/>
        <w:rPr>
          <w:rFonts w:ascii="Times New Roman" w:eastAsia="Times New Roman" w:hAnsi="Times New Roman" w:cs="Times New Roman"/>
          <w:noProof/>
          <w:sz w:val="20"/>
          <w:lang w:eastAsia="en-GB"/>
        </w:rPr>
      </w:pPr>
      <w:r>
        <w:rPr>
          <w:rFonts w:ascii="Times New Roman" w:eastAsia="Times New Roman" w:hAnsi="Times New Roman" w:cs="Times New Roman"/>
          <w:noProof/>
          <w:sz w:val="20"/>
          <w:lang w:eastAsia="en-GB"/>
        </w:rPr>
        <w:t>Source: Commission services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3.5</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11 May 2020, the Finnish authorities transmitted a letter with relevant factors in accordance with Article 2(3) of Regulation (EC) No 1467/97. The analysis presented in the previous sections already broadly covers the key factors put forward by the authorities. Additional factors not yet mentioned above are the government’s plans for structural reforms and enhancing long-term sustainability. They cover in particular preparations for the social and health care services reform as well as of a roadmap to reduce the fiscal sustainability gap. Furthermore, the letter recalls that Finland has a strong net asset position, which can be used to promote future growth and improve the long-term sustainability of the economy. Finally, the government affirms that it will outline an economic policy package in the budget sesssion in autumn 2020. It will also prepare a fully-fledged Stability Programme, including multi-annual targets for general government finances. The letter emphasises that the Stability Programme submitted on 30 April 2020 presented only the independent macroeconomic and fiscal forecasts for 2020-2022 and  not the government’s officially adopted fiscal targets.</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According to the 2020 Stability Programme, Finland’s headline general government deficit in 2020 is planned to reach 7.2% of GDP, above and not close to the 3% of GDP Treaty reference value. The planned excess over the reference value is considered to be exceptional</w:t>
      </w:r>
      <w:r>
        <w:rPr>
          <w:noProof/>
        </w:rPr>
        <w:t xml:space="preserve"> </w:t>
      </w:r>
      <w:r>
        <w:rPr>
          <w:rFonts w:ascii="Times New Roman" w:eastAsia="Times New Roman" w:hAnsi="Times New Roman" w:cs="Calibri"/>
          <w:bCs/>
          <w:noProof/>
          <w:sz w:val="24"/>
          <w:lang w:eastAsia="en-GB"/>
        </w:rPr>
        <w:t xml:space="preserve">but not temporary.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As specified in Article 2(4) of Regulation (EC) No 1467/97, as regards compliance with the deficit criterion in 2020, </w:t>
      </w:r>
      <w:r>
        <w:rPr>
          <w:rFonts w:ascii="Times New Roman" w:eastAsia="Times New Roman" w:hAnsi="Times New Roman" w:cs="Times New Roman"/>
          <w:noProof/>
          <w:sz w:val="24"/>
          <w:lang w:eastAsia="en-GB"/>
        </w:rPr>
        <w:t xml:space="preserve">however, since the government debt-to-GDP ratio exceeds the 60% reference value and the double condition is not met – i.e. that the deficit remains close to the reference value and that its excess over the reference value is temporary – the relevant factors cannot be taken into account in the steps leading to the decision on the existence of an excessive deficit on the basis of the deficit criterion for Finland.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Overall, </w:t>
      </w:r>
      <w:r>
        <w:rPr>
          <w:rFonts w:ascii="Times New Roman" w:hAnsi="Times New Roman" w:cs="Times New Roman"/>
          <w:noProof/>
          <w:sz w:val="24"/>
          <w:szCs w:val="24"/>
        </w:rPr>
        <w:t>t</w:t>
      </w:r>
      <w:r>
        <w:rPr>
          <w:rFonts w:ascii="Times New Roman" w:eastAsia="Times New Roman" w:hAnsi="Times New Roman" w:cs="Times New Roman"/>
          <w:noProof/>
          <w:sz w:val="24"/>
          <w:lang w:eastAsia="en-GB"/>
        </w:rPr>
        <w:t xml:space="preserve">he analysis suggests that the deficit criterion as defined in the Treaty and in Regulation (EC) No 1467/1997 is not fulfilled. </w:t>
      </w:r>
    </w:p>
    <w:p>
      <w:pPr>
        <w:spacing w:before="120" w:after="120" w:line="240" w:lineRule="auto"/>
        <w:jc w:val="both"/>
        <w:rPr>
          <w:rFonts w:ascii="Times New Roman" w:eastAsia="Times New Roman" w:hAnsi="Times New Roman" w:cs="Calibri"/>
          <w:bCs/>
          <w:i/>
          <w:noProof/>
          <w:sz w:val="24"/>
          <w:lang w:eastAsia="en-GB"/>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Council Recommendation of 13 July 2018 on the 2018 National Reform Programme of Finland and delivering a Council opinion on the 2018 Stability Programme of Finland, OJ C 320, 10.9.2018, p. 112.</w:t>
      </w:r>
    </w:p>
  </w:footnote>
  <w:footnote w:id="4">
    <w:p>
      <w:pPr>
        <w:pStyle w:val="FootnoteText"/>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177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8CABD2-8149-492A-B85C-B8E4B05382D6"/>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Finland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9716994">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C\2\SUSTAINABILITY\DEBT%20SUSTAINABILITY%20MONITOR-DSM%20projections\Spring%202020\country_fiches\Final%20storage%20(for%20DSA%20report%20and%20art%20126(3)%20reports\DSM%20country%20fiche%20-%20Finland%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59.358623504638672</c:v>
                </c:pt>
                <c:pt idx="1">
                  <c:v>69.446571350097656</c:v>
                </c:pt>
                <c:pt idx="2">
                  <c:v>69.605255126953125</c:v>
                </c:pt>
                <c:pt idx="3">
                  <c:v>69.69903564453125</c:v>
                </c:pt>
                <c:pt idx="4">
                  <c:v>69.489128112792969</c:v>
                </c:pt>
                <c:pt idx="5">
                  <c:v>68.703224182128906</c:v>
                </c:pt>
                <c:pt idx="6">
                  <c:v>67.510200500488281</c:v>
                </c:pt>
                <c:pt idx="7">
                  <c:v>66.202865600585937</c:v>
                </c:pt>
                <c:pt idx="8">
                  <c:v>64.819694519042969</c:v>
                </c:pt>
                <c:pt idx="9">
                  <c:v>63.361248016357422</c:v>
                </c:pt>
                <c:pt idx="10">
                  <c:v>61.879653930664062</c:v>
                </c:pt>
                <c:pt idx="11">
                  <c:v>60.441524505615234</c:v>
                </c:pt>
              </c:numCache>
            </c:numRef>
          </c:val>
          <c:smooth val="0"/>
          <c:extLst xmlns:c16r2="http://schemas.microsoft.com/office/drawing/2015/06/chart">
            <c:ext xmlns:c16="http://schemas.microsoft.com/office/drawing/2014/chart" uri="{C3380CC4-5D6E-409C-BE32-E72D297353CC}">
              <c16:uniqueId val="{00000000-1DA7-42DD-8C23-3A6F1A1E7BA2}"/>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59.358623504638672</c:v>
                </c:pt>
                <c:pt idx="1">
                  <c:v>69.852134704589844</c:v>
                </c:pt>
                <c:pt idx="2">
                  <c:v>70.417778015136719</c:v>
                </c:pt>
                <c:pt idx="3">
                  <c:v>70.948562622070313</c:v>
                </c:pt>
                <c:pt idx="4">
                  <c:v>71.191764831542969</c:v>
                </c:pt>
                <c:pt idx="5">
                  <c:v>70.86077880859375</c:v>
                </c:pt>
                <c:pt idx="6">
                  <c:v>70.11212158203125</c:v>
                </c:pt>
                <c:pt idx="7">
                  <c:v>69.2421875</c:v>
                </c:pt>
                <c:pt idx="8">
                  <c:v>68.286720275878906</c:v>
                </c:pt>
                <c:pt idx="9">
                  <c:v>67.242347717285156</c:v>
                </c:pt>
                <c:pt idx="10">
                  <c:v>66.161331176757813</c:v>
                </c:pt>
                <c:pt idx="11">
                  <c:v>65.113502502441406</c:v>
                </c:pt>
              </c:numCache>
            </c:numRef>
          </c:val>
          <c:smooth val="0"/>
          <c:extLst xmlns:c16r2="http://schemas.microsoft.com/office/drawing/2015/06/chart">
            <c:ext xmlns:c16="http://schemas.microsoft.com/office/drawing/2014/chart" uri="{C3380CC4-5D6E-409C-BE32-E72D297353CC}">
              <c16:uniqueId val="{00000001-1DA7-42DD-8C23-3A6F1A1E7BA2}"/>
            </c:ext>
          </c:extLst>
        </c:ser>
        <c:dLbls>
          <c:showLegendKey val="0"/>
          <c:showVal val="0"/>
          <c:showCatName val="0"/>
          <c:showSerName val="0"/>
          <c:showPercent val="0"/>
          <c:showBubbleSize val="0"/>
        </c:dLbls>
        <c:marker val="1"/>
        <c:smooth val="0"/>
        <c:axId val="49692672"/>
        <c:axId val="49694208"/>
      </c:lineChart>
      <c:catAx>
        <c:axId val="49692672"/>
        <c:scaling>
          <c:orientation val="minMax"/>
        </c:scaling>
        <c:delete val="0"/>
        <c:axPos val="b"/>
        <c:numFmt formatCode="General" sourceLinked="1"/>
        <c:majorTickMark val="in"/>
        <c:minorTickMark val="none"/>
        <c:tickLblPos val="low"/>
        <c:spPr>
          <a:ln w="6350" cmpd="sng">
            <a:solidFill>
              <a:srgbClr val="000000"/>
            </a:solidFill>
            <a:prstDash val="solid"/>
          </a:ln>
        </c:spPr>
        <c:crossAx val="49694208"/>
        <c:crosses val="autoZero"/>
        <c:auto val="1"/>
        <c:lblAlgn val="ctr"/>
        <c:lblOffset val="100"/>
        <c:noMultiLvlLbl val="0"/>
      </c:catAx>
      <c:valAx>
        <c:axId val="49694208"/>
        <c:scaling>
          <c:orientation val="minMax"/>
          <c:max val="80"/>
          <c:min val="50"/>
        </c:scaling>
        <c:delete val="0"/>
        <c:axPos val="l"/>
        <c:numFmt formatCode="0" sourceLinked="0"/>
        <c:majorTickMark val="in"/>
        <c:minorTickMark val="none"/>
        <c:tickLblPos val="nextTo"/>
        <c:spPr>
          <a:ln w="6350" cmpd="sng">
            <a:solidFill>
              <a:srgbClr val="000000"/>
            </a:solidFill>
            <a:prstDash val="solid"/>
          </a:ln>
        </c:spPr>
        <c:crossAx val="49692672"/>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7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ACC099D41BB364295D90711D3C7A11A" ma:contentTypeVersion="4" ma:contentTypeDescription="Create a new document in this library." ma:contentTypeScope="" ma:versionID="a4cb66557cda87a76018bd4246d53e59">
  <xsd:schema xmlns:xsd="http://www.w3.org/2001/XMLSchema" xmlns:xs="http://www.w3.org/2001/XMLSchema" xmlns:p="http://schemas.microsoft.com/office/2006/metadata/properties" xmlns:ns3="034daf51-606d-4ae8-90d4-9d4b24656bbb" targetNamespace="http://schemas.microsoft.com/office/2006/metadata/properties" ma:root="true" ma:fieldsID="155b5f05fe77694e64e8cc770ab38c5a" ns3:_="">
    <xsd:import namespace="034daf51-606d-4ae8-90d4-9d4b24656bb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daf51-606d-4ae8-90d4-9d4b24656bb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034daf51-606d-4ae8-90d4-9d4b24656bbb" xsi:nil="true"/>
    <EC_ARES_NUMBER xmlns="034daf51-606d-4ae8-90d4-9d4b24656bbb">
      <Url xsi:nil="true"/>
      <Description xsi:nil="true"/>
    </EC_ARES_NUMBER>
    <EC_Collab_Status xmlns="034daf51-606d-4ae8-90d4-9d4b24656bbb">Not Started</EC_Collab_Status>
    <EC_Collab_DocumentLanguage xmlns="034daf51-606d-4ae8-90d4-9d4b24656bbb">EN</EC_Collab_DocumentLanguage>
    <EC_ARES_DATE_TRANSFERRED xmlns="034daf51-606d-4ae8-90d4-9d4b24656bbb" xsi:nil="true"/>
    <EC_ARES_TRANSFERRED_BY xmlns="034daf51-606d-4ae8-90d4-9d4b24656bb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8F0C-DDDB-4D09-B4C9-3453ECC6FF67}">
  <ds:schemaRefs>
    <ds:schemaRef ds:uri="http://schemas.microsoft.com/sharepoint/v3/contenttype/forms"/>
  </ds:schemaRefs>
</ds:datastoreItem>
</file>

<file path=customXml/itemProps2.xml><?xml version="1.0" encoding="utf-8"?>
<ds:datastoreItem xmlns:ds="http://schemas.openxmlformats.org/officeDocument/2006/customXml" ds:itemID="{C1FAB9E8-B465-4CBE-99A0-EC5EF99C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daf51-606d-4ae8-90d4-9d4b24656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80AAF-E11D-422F-B440-27A66C406CE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34daf51-606d-4ae8-90d4-9d4b24656bbb"/>
    <ds:schemaRef ds:uri="http://www.w3.org/XML/1998/namespace"/>
  </ds:schemaRefs>
</ds:datastoreItem>
</file>

<file path=customXml/itemProps4.xml><?xml version="1.0" encoding="utf-8"?>
<ds:datastoreItem xmlns:ds="http://schemas.openxmlformats.org/officeDocument/2006/customXml" ds:itemID="{666A12F0-A47B-4326-AB27-81FE1787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2271</Words>
  <Characters>12247</Characters>
  <Application>Microsoft Office Word</Application>
  <DocSecurity>0</DocSecurity>
  <Lines>222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2019-05-13T14:09:00Z</cp:lastPrinted>
  <dcterms:created xsi:type="dcterms:W3CDTF">2020-05-18T14:39:00Z</dcterms:created>
  <dcterms:modified xsi:type="dcterms:W3CDTF">2020-05-19T15:56:00Z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_LW_INVALIDATED_ContentTypeId">
    <vt:lpwstr>0x010100258AA79CEB83498886A3A08681123250007ACC099D41BB364295D90711D3C7A11A</vt:lpwstr>
  </property>
  <property fmtid="{D5CDD505-2E9C-101B-9397-08002B2CF9AE}" pid="9" name="CPTemplateID">
    <vt:lpwstr>CP-003</vt:lpwstr>
  </property>
</Properties>
</file>