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EF2C5D-DB86-4FA3-BE24-28BA0BB15229"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Luxembourg</w:t>
      </w:r>
      <w:r>
        <w:rPr>
          <w:noProof/>
        </w:rPr>
        <w:br/>
      </w:r>
      <w:r>
        <w:rPr>
          <w:noProof/>
        </w:rPr>
        <w:br/>
        <w:t>Report prepared in accordance with Article 126(3) of the Treaty on the Functioning of the European Union</w:t>
      </w:r>
    </w:p>
    <w:p>
      <w:pPr>
        <w:pStyle w:val="Sous-titreobjet"/>
        <w:rPr>
          <w:noProof/>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Luxembourg authorities on 31 March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balance in Luxembourg reached a surplus of  2.2% of GDP in 2019, while general government gross debt stood at 22.1% of GDP. According to the 2020 Stability Programme, Luxembourg plans a deficit of 8.5% of GDP in 2020, while debt would reach 28.7%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planned deficit for 2020 provides</w:t>
      </w:r>
      <w:r>
        <w:rPr>
          <w:rFonts w:ascii="Times New Roman" w:eastAsia="Times New Roman" w:hAnsi="Times New Roman" w:cs="Times New Roman"/>
          <w:i/>
          <w:noProof/>
          <w:sz w:val="24"/>
          <w:szCs w:val="24"/>
          <w:lang w:eastAsia="en-GB"/>
        </w:rPr>
        <w:t xml:space="preserve"> 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 xml:space="preserve">his report, which analyses Luxembourg’s compliance with the deficit criterion of the Treaty. The debt criterion can be considered to be met as the debt ratio in 2019 is below the Treaty reference value of 60% of GDP. It takes into account all relevant factors and gives due consideration to the major economic shock linked to the COVID-19 pandemic.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xml:space="preserve">. General government deficit and debt (% of GDP) </w:t>
      </w:r>
    </w:p>
    <w:tbl>
      <w:tblPr>
        <w:tblStyle w:val="TableGrid"/>
        <w:tblW w:w="5000" w:type="pct"/>
        <w:tblLook w:val="04A0" w:firstRow="1" w:lastRow="0" w:firstColumn="1" w:lastColumn="0" w:noHBand="0" w:noVBand="1"/>
      </w:tblPr>
      <w:tblGrid>
        <w:gridCol w:w="1341"/>
        <w:gridCol w:w="1317"/>
        <w:gridCol w:w="1316"/>
        <w:gridCol w:w="1316"/>
        <w:gridCol w:w="1316"/>
        <w:gridCol w:w="1318"/>
        <w:gridCol w:w="1318"/>
      </w:tblGrid>
      <w:tr>
        <w:trPr>
          <w:trHeight w:val="603"/>
        </w:trPr>
        <w:tc>
          <w:tcPr>
            <w:tcW w:w="725" w:type="pct"/>
          </w:tcPr>
          <w:p>
            <w:pPr>
              <w:keepNext/>
              <w:jc w:val="center"/>
              <w:rPr>
                <w:rFonts w:ascii="Times New Roman" w:eastAsia="Times New Roman" w:hAnsi="Times New Roman" w:cs="Calibri"/>
                <w:noProof/>
                <w:sz w:val="20"/>
                <w:szCs w:val="20"/>
                <w:lang w:eastAsia="en-GB"/>
              </w:rPr>
            </w:pPr>
          </w:p>
        </w:tc>
        <w:tc>
          <w:tcPr>
            <w:tcW w:w="712" w:type="pct"/>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712" w:type="pct"/>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712" w:type="pct"/>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712" w:type="pct"/>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713" w:type="pct"/>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713" w:type="pct"/>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725" w:type="pct"/>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712" w:type="pct"/>
          </w:tcPr>
          <w:p>
            <w:pPr>
              <w:keepNext/>
              <w:jc w:val="center"/>
              <w:rPr>
                <w:rFonts w:ascii="Times New Roman" w:eastAsia="Times New Roman" w:hAnsi="Times New Roman" w:cs="Calibri"/>
                <w:noProof/>
                <w:sz w:val="20"/>
                <w:szCs w:val="20"/>
                <w:lang w:eastAsia="en-GB"/>
              </w:rPr>
            </w:pPr>
            <w:r>
              <w:rPr>
                <w:noProof/>
              </w:rPr>
              <w:t>1.8</w:t>
            </w:r>
          </w:p>
        </w:tc>
        <w:tc>
          <w:tcPr>
            <w:tcW w:w="712" w:type="pct"/>
          </w:tcPr>
          <w:p>
            <w:pPr>
              <w:keepNext/>
              <w:jc w:val="center"/>
              <w:rPr>
                <w:rFonts w:ascii="Times New Roman" w:eastAsia="Times New Roman" w:hAnsi="Times New Roman" w:cs="Calibri"/>
                <w:noProof/>
                <w:sz w:val="20"/>
                <w:szCs w:val="20"/>
                <w:lang w:eastAsia="en-GB"/>
              </w:rPr>
            </w:pPr>
            <w:r>
              <w:rPr>
                <w:noProof/>
              </w:rPr>
              <w:t>1.3</w:t>
            </w:r>
          </w:p>
        </w:tc>
        <w:tc>
          <w:tcPr>
            <w:tcW w:w="712" w:type="pct"/>
          </w:tcPr>
          <w:p>
            <w:pPr>
              <w:keepNext/>
              <w:jc w:val="center"/>
              <w:rPr>
                <w:rFonts w:ascii="Times New Roman" w:eastAsia="Times New Roman" w:hAnsi="Times New Roman" w:cs="Calibri"/>
                <w:noProof/>
                <w:sz w:val="20"/>
                <w:szCs w:val="20"/>
                <w:lang w:eastAsia="en-GB"/>
              </w:rPr>
            </w:pPr>
            <w:r>
              <w:rPr>
                <w:noProof/>
              </w:rPr>
              <w:t>3.1</w:t>
            </w:r>
          </w:p>
        </w:tc>
        <w:tc>
          <w:tcPr>
            <w:tcW w:w="712" w:type="pct"/>
          </w:tcPr>
          <w:p>
            <w:pPr>
              <w:keepNext/>
              <w:jc w:val="center"/>
              <w:rPr>
                <w:rFonts w:ascii="Times New Roman" w:eastAsia="Times New Roman" w:hAnsi="Times New Roman" w:cs="Calibri"/>
                <w:noProof/>
                <w:sz w:val="20"/>
                <w:szCs w:val="20"/>
                <w:lang w:eastAsia="en-GB"/>
              </w:rPr>
            </w:pPr>
            <w:r>
              <w:rPr>
                <w:noProof/>
              </w:rPr>
              <w:t>2.2</w:t>
            </w:r>
          </w:p>
        </w:tc>
        <w:tc>
          <w:tcPr>
            <w:tcW w:w="713" w:type="pct"/>
          </w:tcPr>
          <w:p>
            <w:pPr>
              <w:keepNext/>
              <w:jc w:val="center"/>
              <w:rPr>
                <w:rFonts w:ascii="Times New Roman" w:eastAsia="Times New Roman" w:hAnsi="Times New Roman" w:cs="Calibri"/>
                <w:noProof/>
                <w:sz w:val="20"/>
                <w:szCs w:val="20"/>
                <w:highlight w:val="lightGray"/>
                <w:lang w:eastAsia="en-GB"/>
              </w:rPr>
            </w:pPr>
            <w:r>
              <w:rPr>
                <w:noProof/>
              </w:rPr>
              <w:t>-4.8</w:t>
            </w:r>
          </w:p>
        </w:tc>
        <w:tc>
          <w:tcPr>
            <w:tcW w:w="713" w:type="pct"/>
          </w:tcPr>
          <w:p>
            <w:pPr>
              <w:keepNext/>
              <w:jc w:val="center"/>
              <w:rPr>
                <w:rFonts w:ascii="Times New Roman" w:eastAsia="Times New Roman" w:hAnsi="Times New Roman" w:cs="Calibri"/>
                <w:noProof/>
                <w:sz w:val="20"/>
                <w:szCs w:val="20"/>
                <w:highlight w:val="lightGray"/>
                <w:lang w:eastAsia="en-GB"/>
              </w:rPr>
            </w:pPr>
            <w:r>
              <w:rPr>
                <w:noProof/>
              </w:rPr>
              <w:t>0.1</w:t>
            </w:r>
          </w:p>
        </w:tc>
      </w:tr>
      <w:tr>
        <w:tc>
          <w:tcPr>
            <w:tcW w:w="725" w:type="pct"/>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712" w:type="pct"/>
          </w:tcPr>
          <w:p>
            <w:pPr>
              <w:keepNext/>
              <w:jc w:val="center"/>
              <w:rPr>
                <w:rFonts w:ascii="Times New Roman" w:eastAsia="Times New Roman" w:hAnsi="Times New Roman" w:cs="Calibri"/>
                <w:noProof/>
                <w:sz w:val="20"/>
                <w:szCs w:val="20"/>
                <w:lang w:eastAsia="en-GB"/>
              </w:rPr>
            </w:pPr>
            <w:r>
              <w:rPr>
                <w:noProof/>
              </w:rPr>
              <w:t>20.1</w:t>
            </w:r>
          </w:p>
        </w:tc>
        <w:tc>
          <w:tcPr>
            <w:tcW w:w="712" w:type="pct"/>
          </w:tcPr>
          <w:p>
            <w:pPr>
              <w:keepNext/>
              <w:jc w:val="center"/>
              <w:rPr>
                <w:rFonts w:ascii="Times New Roman" w:eastAsia="Times New Roman" w:hAnsi="Times New Roman" w:cs="Calibri"/>
                <w:noProof/>
                <w:sz w:val="20"/>
                <w:szCs w:val="20"/>
                <w:lang w:eastAsia="en-GB"/>
              </w:rPr>
            </w:pPr>
            <w:r>
              <w:rPr>
                <w:noProof/>
              </w:rPr>
              <w:t>22.3</w:t>
            </w:r>
          </w:p>
        </w:tc>
        <w:tc>
          <w:tcPr>
            <w:tcW w:w="712" w:type="pct"/>
          </w:tcPr>
          <w:p>
            <w:pPr>
              <w:keepNext/>
              <w:jc w:val="center"/>
              <w:rPr>
                <w:rFonts w:ascii="Times New Roman" w:eastAsia="Times New Roman" w:hAnsi="Times New Roman" w:cs="Calibri"/>
                <w:noProof/>
                <w:sz w:val="20"/>
                <w:szCs w:val="20"/>
                <w:lang w:eastAsia="en-GB"/>
              </w:rPr>
            </w:pPr>
            <w:r>
              <w:rPr>
                <w:noProof/>
              </w:rPr>
              <w:t>21.0</w:t>
            </w:r>
          </w:p>
        </w:tc>
        <w:tc>
          <w:tcPr>
            <w:tcW w:w="712" w:type="pct"/>
          </w:tcPr>
          <w:p>
            <w:pPr>
              <w:keepNext/>
              <w:jc w:val="center"/>
              <w:rPr>
                <w:rFonts w:ascii="Times New Roman" w:eastAsia="Times New Roman" w:hAnsi="Times New Roman" w:cs="Calibri"/>
                <w:noProof/>
                <w:sz w:val="20"/>
                <w:szCs w:val="20"/>
                <w:lang w:eastAsia="en-GB"/>
              </w:rPr>
            </w:pPr>
            <w:r>
              <w:rPr>
                <w:noProof/>
              </w:rPr>
              <w:t>22.1</w:t>
            </w:r>
          </w:p>
        </w:tc>
        <w:tc>
          <w:tcPr>
            <w:tcW w:w="713" w:type="pct"/>
          </w:tcPr>
          <w:p>
            <w:pPr>
              <w:keepNext/>
              <w:jc w:val="center"/>
              <w:rPr>
                <w:rFonts w:ascii="Times New Roman" w:eastAsia="Times New Roman" w:hAnsi="Times New Roman" w:cs="Calibri"/>
                <w:noProof/>
                <w:sz w:val="20"/>
                <w:szCs w:val="20"/>
                <w:highlight w:val="lightGray"/>
                <w:lang w:eastAsia="en-GB"/>
              </w:rPr>
            </w:pPr>
            <w:r>
              <w:rPr>
                <w:noProof/>
              </w:rPr>
              <w:t>26.4</w:t>
            </w:r>
          </w:p>
        </w:tc>
        <w:tc>
          <w:tcPr>
            <w:tcW w:w="713" w:type="pct"/>
          </w:tcPr>
          <w:p>
            <w:pPr>
              <w:keepNext/>
              <w:jc w:val="center"/>
              <w:rPr>
                <w:rFonts w:ascii="Times New Roman" w:eastAsia="Times New Roman" w:hAnsi="Times New Roman" w:cs="Calibri"/>
                <w:noProof/>
                <w:sz w:val="20"/>
                <w:szCs w:val="20"/>
                <w:highlight w:val="lightGray"/>
                <w:lang w:eastAsia="en-GB"/>
              </w:rPr>
            </w:pPr>
            <w:r>
              <w:rPr>
                <w:noProof/>
              </w:rPr>
              <w:t>25.7</w:t>
            </w:r>
          </w:p>
        </w:tc>
      </w:tr>
    </w:tbl>
    <w:p>
      <w:pPr>
        <w:keepNext/>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European Commission 2020 spring forecast</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 xml:space="preserve">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2020 Stability Programme, Luxembourg’s general government deficit in 2020 is planned to reach 8.5% of GDP, above and not close to the Treaty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the Commission 2020 spring forecast projects a contraction of real GDP in 2020 by 5.4%.</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would be temporary based on the Commission 2020 spring forecast, which projects the general government deficit to fall under 3% of GDP in 2021. However, those projections are surrounded by an exceptionally high degree of uncertainty.</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3%-of-GDP Treaty reference value. The planned excess is considered to be exceptional as defined by the Treaty and the Stability and Growth Pact, while the nature of the excess is currently considered temporary. Hence, the analysis suggests that </w:t>
      </w:r>
      <w:r>
        <w:rPr>
          <w:rFonts w:ascii="Times New Roman" w:eastAsia="Calibri" w:hAnsi="Times New Roman" w:cs="Times New Roman"/>
          <w:i/>
          <w:noProof/>
          <w:sz w:val="24"/>
          <w:szCs w:val="24"/>
          <w:lang w:eastAsia="en-GB"/>
        </w:rPr>
        <w:t>prima facie</w:t>
      </w:r>
      <w:r>
        <w:rPr>
          <w:rFonts w:ascii="Times New Roman" w:eastAsia="Calibri" w:hAnsi="Times New Roman" w:cs="Times New Roman"/>
          <w:noProof/>
          <w:sz w:val="24"/>
          <w:szCs w:val="24"/>
          <w:lang w:eastAsia="en-GB"/>
        </w:rPr>
        <w:t xml:space="preserve"> the deficit criterion for the purpose of the Treaty and Regulation (EC) No 1467/97 is not fulfilled.</w:t>
      </w:r>
    </w:p>
    <w:p>
      <w:pPr>
        <w:pStyle w:val="ManualHeading1"/>
        <w:ind w:left="0" w:firstLine="0"/>
        <w:rPr>
          <w:noProof/>
        </w:rPr>
      </w:pPr>
      <w:r>
        <w:rPr>
          <w:noProof/>
        </w:rPr>
        <w:t>3.</w:t>
      </w:r>
      <w:r>
        <w:rPr>
          <w:noProof/>
        </w:rPr>
        <w:tab/>
        <w:t xml:space="preserve">Relevant factors </w:t>
      </w:r>
    </w:p>
    <w:p>
      <w:pPr>
        <w:spacing w:before="120" w:after="120" w:line="240" w:lineRule="auto"/>
        <w:jc w:val="both"/>
        <w:rPr>
          <w:rFonts w:eastAsia="Calibri" w:cs="Times New Roman"/>
          <w:b/>
          <w:smallCaps/>
          <w:noProof/>
          <w:szCs w:val="24"/>
        </w:rPr>
      </w:pPr>
      <w:r>
        <w:rPr>
          <w:rFonts w:ascii="Times New Roman" w:eastAsia="Calibri" w:hAnsi="Times New Roman" w:cs="Times New Roman"/>
          <w:noProof/>
          <w:sz w:val="24"/>
          <w:szCs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 xml:space="preserve">COVID-19 pandemic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3.2</w:t>
      </w:r>
      <w:r>
        <w:rPr>
          <w:rFonts w:ascii="Times New Roman" w:eastAsia="Times New Roman" w:hAnsi="Times New Roman" w:cs="Times New Roman"/>
          <w:b/>
          <w:noProof/>
          <w:sz w:val="24"/>
          <w:lang w:eastAsia="en-GB"/>
        </w:rPr>
        <w:tab/>
        <w:t xml:space="preserve">Medium-term economic position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Economic activity grew by 2.3% in 2019, which was lower than in the year before. Before the outbreak of the pandemic GDP was still expected to grow by 2.7% in 2020. However, following the outbreak of the pandemic and the health measures adopted to contain the spread of the virus, whole parts of the economy have come to a stop, while others operate at much lower capacity. Economic activity is projected to contract sharply in 2020. This a mitigating factor in the assessment of Luxembourg’s compliance with the deficit criterion in 2020.</w:t>
      </w:r>
    </w:p>
    <w:p>
      <w:pPr>
        <w:spacing w:before="120" w:after="120" w:line="240" w:lineRule="auto"/>
        <w:jc w:val="both"/>
        <w:rPr>
          <w:rFonts w:ascii="Times New Roman" w:eastAsia="Times New Roman" w:hAnsi="Times New Roman" w:cs="Calibri"/>
          <w:bCs/>
          <w:noProof/>
          <w:sz w:val="24"/>
          <w:highlight w:val="cyan"/>
          <w:lang w:eastAsia="en-GB"/>
        </w:rPr>
      </w:pPr>
      <w:r>
        <w:rPr>
          <w:rFonts w:ascii="Times New Roman" w:hAnsi="Times New Roman" w:cs="Times New Roman"/>
          <w:noProof/>
          <w:sz w:val="24"/>
          <w:szCs w:val="24"/>
        </w:rPr>
        <w:t xml:space="preserve">Moreover, </w:t>
      </w:r>
      <w:r>
        <w:rPr>
          <w:rFonts w:ascii="Times New Roman" w:eastAsia="Times New Roman" w:hAnsi="Times New Roman" w:cs="Calibri"/>
          <w:bCs/>
          <w:noProof/>
          <w:sz w:val="24"/>
          <w:lang w:eastAsia="en-GB"/>
        </w:rPr>
        <w:t xml:space="preserve">the uncertainty related to the duration of the COVID-19 pandemic and its economic impact puts an exceptional degree of uncertainty on the near-term macroeconomic outlook. As a small open economy, the evolution of economic activity in Luxembourg will depend largely on the economic performance of its main trading partners. Furthermore, the strong dependence of the economy on the financial sector, which represents a large share of GDP, will heigthen the uncertainty about the size of the contraction, uncertainty that is also the result of the high volatility on financial markets.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Based on outturn data and the Commission 2020 spring forecast, in 2019 Luxembourg overachieved its medium-term budgetary objective. </w:t>
      </w:r>
    </w:p>
    <w:p>
      <w:pPr>
        <w:spacing w:before="120" w:after="120" w:line="240" w:lineRule="auto"/>
        <w:jc w:val="both"/>
        <w:rPr>
          <w:rFonts w:ascii="Times New Roman" w:eastAsia="Calibri" w:hAnsi="Times New Roman" w:cs="Times New Roman"/>
          <w:noProof/>
          <w:sz w:val="24"/>
          <w:szCs w:val="24"/>
          <w:lang w:eastAsia="en-GB"/>
        </w:rPr>
      </w:pPr>
      <w:r>
        <w:rPr>
          <w:rFonts w:ascii="Times New Roman" w:hAnsi="Times New Roman" w:cs="Times New Roman"/>
          <w:noProof/>
          <w:sz w:val="24"/>
          <w:lang w:eastAsia="en-GB"/>
        </w:rPr>
        <w:t xml:space="preserve">The 2020 Stability Programme for Luxembourg projects a major worsening of public finances from a surplus of 2.2% of GDP in 2019 to a deficit of 8.5% of GDP in 2020 amid the COVID-19 pandemic. The government has adopted a comprehensive support package amounting to 5.5% of GDP, made up of measures to preserve employment, support for distressed undetakings and additional healthcare spending. The amount of 5.5% of GDP includes as well refundable loans and a part of the tax deferrals on direct taxes, which would have a direct budgetary impact according to the authorities. The deficit also reflects an expected plunge on the revenue side reflecting mainly a drop in both indirect and direct taxes. The medium-term fiscal outlook remains subject to high uncertainty.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3.4</w:t>
      </w:r>
      <w:r>
        <w:rPr>
          <w:rFonts w:ascii="Times New Roman" w:eastAsia="Times New Roman" w:hAnsi="Times New Roman" w:cs="Times New Roman"/>
          <w:b/>
          <w:noProof/>
          <w:sz w:val="24"/>
          <w:lang w:eastAsia="en-GB"/>
        </w:rPr>
        <w:tab/>
        <w:t xml:space="preserve">Other factors put forward by the Member State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On 11 May 2020, the Luxembourg authorities transmitted a letter with relevant factors in accordance with Article 2(3) of Regulation (EC) No 1467/97. The analysis presented in the previous sections already broadly covers the key factors put forward by the authorities. In their letter the Luxembourg authorities highlighted that their budgetary projections are based on very prudent assumptions for both revenues and expenditures. Lower than usual elasticities have been used to project revenues in order to cater for the high degree of uncertainty.</w:t>
      </w:r>
    </w:p>
    <w:p>
      <w:pPr>
        <w:pStyle w:val="ManualHeading1"/>
        <w:ind w:left="0" w:firstLine="0"/>
        <w:rPr>
          <w:noProof/>
        </w:rPr>
      </w:pPr>
      <w:r>
        <w:rPr>
          <w:noProof/>
        </w:rPr>
        <w:t>4.</w:t>
      </w:r>
      <w:r>
        <w:rPr>
          <w:noProof/>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According to the Stability Programme, Luxembourg’s general government deficit in 2020 is planned to reach 8.5% of GDP, above and not close to the 3% of GDP Treaty reference value. The planned excess over the reference value is considered to be exceptional and currently considered to be temporary.</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Overall, since the planned deficit is well above 3% of GDP and taking into account all relevant factors, the analysis suggests that the deficit criterion as defined in the Treaty and in Regulation (EC) No 1467/1997 is not fulfilled.</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https://ec.europa.eu/eurostat/documents/2995521/10294648/2-22042020-AP-EN.pdf/6c8f0ef4-6221-1094-fef7-a07764b0369f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5EF2C5D-DB86-4FA3-BE24-28BA0BB15229"/>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uxembourg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57946407">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1BEF-B0D3-4229-B737-7BE92850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7972</Characters>
  <Application>Microsoft Office Word</Application>
  <DocSecurity>0</DocSecurity>
  <Lines>156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16</cp:revision>
  <cp:lastPrinted>2019-05-13T14:09:00Z</cp:lastPrinted>
  <dcterms:created xsi:type="dcterms:W3CDTF">2020-05-18T14:49:00Z</dcterms:created>
  <dcterms:modified xsi:type="dcterms:W3CDTF">2020-05-19T16:19:00Z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